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59BB" w14:textId="15D5476F" w:rsidR="00D535FE" w:rsidRPr="00EA0DC7" w:rsidRDefault="00D87252" w:rsidP="00D535FE">
      <w:pPr>
        <w:autoSpaceDE w:val="0"/>
        <w:autoSpaceDN w:val="0"/>
        <w:adjustRightInd w:val="0"/>
        <w:spacing w:after="0" w:line="240" w:lineRule="auto"/>
        <w:rPr>
          <w:rFonts w:asciiTheme="majorBidi" w:hAnsiTheme="majorBidi" w:cstheme="majorBidi"/>
          <w:szCs w:val="24"/>
        </w:rPr>
      </w:pPr>
      <w:bookmarkStart w:id="0" w:name="_GoBack"/>
      <w:bookmarkEnd w:id="0"/>
      <w:r w:rsidRPr="00EA0DC7">
        <w:rPr>
          <w:rFonts w:asciiTheme="majorBidi" w:hAnsiTheme="majorBidi" w:cstheme="majorBidi"/>
          <w:noProof/>
          <w:szCs w:val="24"/>
        </w:rPr>
        <w:drawing>
          <wp:anchor distT="0" distB="0" distL="114300" distR="114300" simplePos="0" relativeHeight="251658240" behindDoc="0" locked="0" layoutInCell="1" allowOverlap="1" wp14:anchorId="09402E68" wp14:editId="56FD2EBF">
            <wp:simplePos x="0" y="0"/>
            <wp:positionH relativeFrom="column">
              <wp:posOffset>1059402</wp:posOffset>
            </wp:positionH>
            <wp:positionV relativeFrom="paragraph">
              <wp:posOffset>-310515</wp:posOffset>
            </wp:positionV>
            <wp:extent cx="3036570" cy="1104265"/>
            <wp:effectExtent l="0" t="0" r="0" b="635"/>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5AC728EF" w14:textId="77777777" w:rsidR="00D535FE" w:rsidRPr="00EA0DC7" w:rsidRDefault="00D535FE" w:rsidP="00D535FE">
      <w:pPr>
        <w:autoSpaceDE w:val="0"/>
        <w:autoSpaceDN w:val="0"/>
        <w:adjustRightInd w:val="0"/>
        <w:spacing w:after="0" w:line="240" w:lineRule="auto"/>
        <w:rPr>
          <w:rFonts w:asciiTheme="majorBidi" w:hAnsiTheme="majorBidi" w:cstheme="majorBidi"/>
          <w:szCs w:val="24"/>
        </w:rPr>
      </w:pPr>
    </w:p>
    <w:p w14:paraId="257A3609" w14:textId="77777777" w:rsidR="00D535FE" w:rsidRPr="00EA0DC7" w:rsidRDefault="00D535FE" w:rsidP="00D535FE">
      <w:pPr>
        <w:autoSpaceDE w:val="0"/>
        <w:autoSpaceDN w:val="0"/>
        <w:adjustRightInd w:val="0"/>
        <w:spacing w:after="0" w:line="240" w:lineRule="auto"/>
        <w:rPr>
          <w:rFonts w:asciiTheme="majorBidi" w:hAnsiTheme="majorBidi" w:cstheme="majorBidi"/>
          <w:szCs w:val="24"/>
        </w:rPr>
      </w:pPr>
    </w:p>
    <w:p w14:paraId="5C77CF9C" w14:textId="77777777" w:rsidR="00D535FE" w:rsidRPr="00EA0DC7" w:rsidRDefault="00D535FE" w:rsidP="00D535FE">
      <w:pPr>
        <w:autoSpaceDE w:val="0"/>
        <w:autoSpaceDN w:val="0"/>
        <w:adjustRightInd w:val="0"/>
        <w:spacing w:after="0" w:line="240" w:lineRule="auto"/>
        <w:rPr>
          <w:rFonts w:asciiTheme="majorBidi" w:hAnsiTheme="majorBidi" w:cstheme="majorBidi"/>
          <w:szCs w:val="24"/>
        </w:rPr>
      </w:pPr>
    </w:p>
    <w:p w14:paraId="7B64736D" w14:textId="77777777" w:rsidR="00D81745" w:rsidRPr="00EA0DC7" w:rsidRDefault="00D81745" w:rsidP="00D535FE">
      <w:pPr>
        <w:autoSpaceDE w:val="0"/>
        <w:autoSpaceDN w:val="0"/>
        <w:adjustRightInd w:val="0"/>
        <w:spacing w:after="0" w:line="240" w:lineRule="auto"/>
        <w:jc w:val="center"/>
        <w:rPr>
          <w:rFonts w:asciiTheme="majorBidi" w:hAnsiTheme="majorBidi" w:cstheme="majorBidi"/>
          <w:szCs w:val="24"/>
        </w:rPr>
      </w:pPr>
    </w:p>
    <w:p w14:paraId="57AD220B" w14:textId="77777777" w:rsidR="00C66A65" w:rsidRPr="00EA0DC7" w:rsidRDefault="00C66A65" w:rsidP="00D535FE">
      <w:pPr>
        <w:autoSpaceDE w:val="0"/>
        <w:autoSpaceDN w:val="0"/>
        <w:adjustRightInd w:val="0"/>
        <w:spacing w:after="0" w:line="240" w:lineRule="auto"/>
        <w:jc w:val="center"/>
        <w:rPr>
          <w:rFonts w:asciiTheme="majorBidi" w:hAnsiTheme="majorBidi" w:cstheme="majorBidi"/>
          <w:szCs w:val="24"/>
        </w:rPr>
      </w:pPr>
    </w:p>
    <w:p w14:paraId="27FFED2B" w14:textId="77777777" w:rsidR="00C66A65" w:rsidRPr="00EA0DC7" w:rsidRDefault="00C66A65" w:rsidP="00D535FE">
      <w:pPr>
        <w:autoSpaceDE w:val="0"/>
        <w:autoSpaceDN w:val="0"/>
        <w:adjustRightInd w:val="0"/>
        <w:spacing w:after="0" w:line="240" w:lineRule="auto"/>
        <w:jc w:val="center"/>
        <w:rPr>
          <w:rFonts w:asciiTheme="majorBidi" w:hAnsiTheme="majorBidi" w:cstheme="majorBidi"/>
          <w:szCs w:val="24"/>
        </w:rPr>
      </w:pPr>
    </w:p>
    <w:p w14:paraId="203A570D" w14:textId="77777777" w:rsidR="00D87252" w:rsidRPr="00EA0DC7" w:rsidRDefault="00D87252" w:rsidP="00D535FE">
      <w:pPr>
        <w:autoSpaceDE w:val="0"/>
        <w:autoSpaceDN w:val="0"/>
        <w:adjustRightInd w:val="0"/>
        <w:spacing w:after="0" w:line="240" w:lineRule="auto"/>
        <w:jc w:val="center"/>
        <w:rPr>
          <w:rFonts w:asciiTheme="majorBidi" w:hAnsiTheme="majorBidi" w:cstheme="majorBidi"/>
          <w:szCs w:val="24"/>
        </w:rPr>
      </w:pPr>
    </w:p>
    <w:p w14:paraId="792A4BAF" w14:textId="77777777" w:rsidR="00C66A65" w:rsidRPr="00EA0DC7" w:rsidRDefault="00C66A65" w:rsidP="00D535FE">
      <w:pPr>
        <w:autoSpaceDE w:val="0"/>
        <w:autoSpaceDN w:val="0"/>
        <w:adjustRightInd w:val="0"/>
        <w:spacing w:after="0" w:line="240" w:lineRule="auto"/>
        <w:jc w:val="center"/>
        <w:rPr>
          <w:rFonts w:asciiTheme="majorBidi" w:hAnsiTheme="majorBidi" w:cstheme="majorBidi"/>
          <w:szCs w:val="24"/>
        </w:rPr>
      </w:pPr>
    </w:p>
    <w:p w14:paraId="66A68117" w14:textId="77777777" w:rsidR="00C66A65" w:rsidRPr="00EA0DC7" w:rsidRDefault="00C66A65" w:rsidP="00D535FE">
      <w:pPr>
        <w:autoSpaceDE w:val="0"/>
        <w:autoSpaceDN w:val="0"/>
        <w:adjustRightInd w:val="0"/>
        <w:spacing w:after="0" w:line="240" w:lineRule="auto"/>
        <w:jc w:val="center"/>
        <w:rPr>
          <w:rFonts w:asciiTheme="majorBidi" w:hAnsiTheme="majorBidi" w:cstheme="majorBidi"/>
          <w:szCs w:val="24"/>
        </w:rPr>
      </w:pPr>
    </w:p>
    <w:p w14:paraId="1CB34DC3" w14:textId="77777777" w:rsidR="00D81745" w:rsidRPr="00EA0DC7" w:rsidRDefault="00D81745" w:rsidP="00D535FE">
      <w:pPr>
        <w:autoSpaceDE w:val="0"/>
        <w:autoSpaceDN w:val="0"/>
        <w:adjustRightInd w:val="0"/>
        <w:spacing w:after="0" w:line="240" w:lineRule="auto"/>
        <w:jc w:val="center"/>
        <w:rPr>
          <w:rFonts w:asciiTheme="majorBidi" w:hAnsiTheme="majorBidi" w:cstheme="majorBidi"/>
          <w:szCs w:val="24"/>
        </w:rPr>
      </w:pPr>
    </w:p>
    <w:p w14:paraId="30667155" w14:textId="59BCCE50" w:rsidR="008873FB" w:rsidRPr="00EA0DC7" w:rsidRDefault="008873FB" w:rsidP="00E561C9">
      <w:pPr>
        <w:autoSpaceDE w:val="0"/>
        <w:autoSpaceDN w:val="0"/>
        <w:adjustRightInd w:val="0"/>
        <w:spacing w:after="0" w:line="240" w:lineRule="auto"/>
        <w:jc w:val="center"/>
        <w:rPr>
          <w:rFonts w:cs="Arial"/>
          <w:b/>
          <w:bCs/>
          <w:sz w:val="28"/>
          <w:szCs w:val="28"/>
          <w:shd w:val="clear" w:color="auto" w:fill="FFFFFF"/>
        </w:rPr>
      </w:pPr>
      <w:r w:rsidRPr="00EA0DC7">
        <w:rPr>
          <w:rFonts w:cs="Arial"/>
          <w:b/>
          <w:bCs/>
          <w:sz w:val="28"/>
          <w:szCs w:val="28"/>
          <w:shd w:val="clear" w:color="auto" w:fill="FFFFFF"/>
        </w:rPr>
        <w:t xml:space="preserve">Clinical supervision </w:t>
      </w:r>
      <w:r w:rsidR="00B621EF" w:rsidRPr="00EA0DC7">
        <w:rPr>
          <w:rFonts w:cs="Arial"/>
          <w:b/>
          <w:bCs/>
          <w:sz w:val="28"/>
          <w:szCs w:val="28"/>
          <w:shd w:val="clear" w:color="auto" w:fill="FFFFFF"/>
        </w:rPr>
        <w:t>of</w:t>
      </w:r>
      <w:r w:rsidRPr="00EA0DC7">
        <w:rPr>
          <w:rFonts w:cs="Arial"/>
          <w:b/>
          <w:bCs/>
          <w:sz w:val="28"/>
          <w:szCs w:val="28"/>
          <w:shd w:val="clear" w:color="auto" w:fill="FFFFFF"/>
        </w:rPr>
        <w:t xml:space="preserve"> the treatment of depression:</w:t>
      </w:r>
    </w:p>
    <w:p w14:paraId="25BAF5BA" w14:textId="18131DAF" w:rsidR="00177AB6" w:rsidRPr="00EA0DC7" w:rsidRDefault="008873FB" w:rsidP="00E561C9">
      <w:pPr>
        <w:autoSpaceDE w:val="0"/>
        <w:autoSpaceDN w:val="0"/>
        <w:adjustRightInd w:val="0"/>
        <w:spacing w:after="0" w:line="240" w:lineRule="auto"/>
        <w:jc w:val="center"/>
        <w:rPr>
          <w:rFonts w:cs="Arial"/>
          <w:b/>
          <w:bCs/>
          <w:sz w:val="28"/>
          <w:szCs w:val="28"/>
        </w:rPr>
      </w:pPr>
      <w:r w:rsidRPr="00EA0DC7">
        <w:rPr>
          <w:rFonts w:cs="Arial"/>
          <w:b/>
          <w:bCs/>
          <w:sz w:val="28"/>
          <w:szCs w:val="28"/>
          <w:shd w:val="clear" w:color="auto" w:fill="FFFFFF"/>
        </w:rPr>
        <w:t>The role of supervisor, supervisee, and patient characteristics</w:t>
      </w:r>
      <w:r w:rsidR="001D3BF3" w:rsidRPr="00EA0DC7">
        <w:rPr>
          <w:rFonts w:cs="Arial"/>
          <w:b/>
          <w:bCs/>
          <w:sz w:val="28"/>
          <w:szCs w:val="28"/>
        </w:rPr>
        <w:br/>
      </w:r>
      <w:r w:rsidR="001D3BF3" w:rsidRPr="00EA0DC7">
        <w:rPr>
          <w:rFonts w:cs="Arial"/>
          <w:b/>
          <w:bCs/>
          <w:sz w:val="28"/>
          <w:szCs w:val="28"/>
        </w:rPr>
        <w:br/>
      </w:r>
    </w:p>
    <w:p w14:paraId="1071A9C7" w14:textId="77777777" w:rsidR="00D81745" w:rsidRPr="00EA0DC7" w:rsidRDefault="00D81745" w:rsidP="00D85950">
      <w:pPr>
        <w:autoSpaceDE w:val="0"/>
        <w:autoSpaceDN w:val="0"/>
        <w:adjustRightInd w:val="0"/>
        <w:spacing w:after="0" w:line="240" w:lineRule="auto"/>
        <w:rPr>
          <w:rFonts w:cs="Arial"/>
          <w:szCs w:val="24"/>
        </w:rPr>
      </w:pPr>
    </w:p>
    <w:p w14:paraId="738AFC86" w14:textId="77777777" w:rsidR="00D81745" w:rsidRPr="00EA0DC7" w:rsidRDefault="00D81745" w:rsidP="00D535FE">
      <w:pPr>
        <w:autoSpaceDE w:val="0"/>
        <w:autoSpaceDN w:val="0"/>
        <w:adjustRightInd w:val="0"/>
        <w:spacing w:after="0" w:line="240" w:lineRule="auto"/>
        <w:jc w:val="center"/>
        <w:rPr>
          <w:rFonts w:cs="Arial"/>
          <w:szCs w:val="24"/>
        </w:rPr>
      </w:pPr>
    </w:p>
    <w:p w14:paraId="36069A97" w14:textId="77777777" w:rsidR="001D36B7" w:rsidRPr="00EA0DC7" w:rsidRDefault="001D36B7" w:rsidP="00D535FE">
      <w:pPr>
        <w:autoSpaceDE w:val="0"/>
        <w:autoSpaceDN w:val="0"/>
        <w:adjustRightInd w:val="0"/>
        <w:spacing w:after="0" w:line="240" w:lineRule="auto"/>
        <w:jc w:val="center"/>
        <w:rPr>
          <w:rFonts w:cs="Arial"/>
          <w:szCs w:val="24"/>
        </w:rPr>
      </w:pPr>
    </w:p>
    <w:p w14:paraId="36655AB6" w14:textId="77777777" w:rsidR="00D535FE" w:rsidRPr="00EA0DC7" w:rsidRDefault="00D535FE" w:rsidP="00D535FE">
      <w:pPr>
        <w:autoSpaceDE w:val="0"/>
        <w:autoSpaceDN w:val="0"/>
        <w:adjustRightInd w:val="0"/>
        <w:spacing w:after="0" w:line="240" w:lineRule="auto"/>
        <w:jc w:val="center"/>
        <w:rPr>
          <w:rFonts w:cs="Arial"/>
          <w:b/>
          <w:bCs/>
          <w:szCs w:val="24"/>
        </w:rPr>
      </w:pPr>
      <w:r w:rsidRPr="00EA0DC7">
        <w:rPr>
          <w:rFonts w:cs="Arial"/>
          <w:b/>
          <w:bCs/>
          <w:szCs w:val="24"/>
        </w:rPr>
        <w:t>By:</w:t>
      </w:r>
    </w:p>
    <w:p w14:paraId="6955D95F" w14:textId="77777777" w:rsidR="00FB352E" w:rsidRPr="00EA0DC7" w:rsidRDefault="00FB352E" w:rsidP="00D535FE">
      <w:pPr>
        <w:autoSpaceDE w:val="0"/>
        <w:autoSpaceDN w:val="0"/>
        <w:adjustRightInd w:val="0"/>
        <w:spacing w:after="0" w:line="240" w:lineRule="auto"/>
        <w:jc w:val="center"/>
        <w:rPr>
          <w:rFonts w:cs="Arial"/>
          <w:szCs w:val="24"/>
        </w:rPr>
      </w:pPr>
    </w:p>
    <w:p w14:paraId="1D8108E0" w14:textId="77777777" w:rsidR="00D535FE" w:rsidRPr="00EA0DC7" w:rsidRDefault="00C62DBA" w:rsidP="00D535FE">
      <w:pPr>
        <w:autoSpaceDE w:val="0"/>
        <w:autoSpaceDN w:val="0"/>
        <w:adjustRightInd w:val="0"/>
        <w:spacing w:after="0" w:line="240" w:lineRule="auto"/>
        <w:jc w:val="center"/>
        <w:rPr>
          <w:rFonts w:cs="Arial"/>
          <w:sz w:val="28"/>
          <w:szCs w:val="24"/>
        </w:rPr>
      </w:pPr>
      <w:r w:rsidRPr="00EA0DC7">
        <w:rPr>
          <w:rFonts w:cs="Arial"/>
          <w:sz w:val="28"/>
          <w:szCs w:val="24"/>
        </w:rPr>
        <w:t>Chloe Simpson-Southward</w:t>
      </w:r>
    </w:p>
    <w:p w14:paraId="7A3E3A69" w14:textId="77777777" w:rsidR="00D535FE" w:rsidRPr="00EA0DC7" w:rsidRDefault="00D535FE" w:rsidP="00D535FE">
      <w:pPr>
        <w:autoSpaceDE w:val="0"/>
        <w:autoSpaceDN w:val="0"/>
        <w:adjustRightInd w:val="0"/>
        <w:spacing w:after="0" w:line="240" w:lineRule="auto"/>
        <w:rPr>
          <w:rFonts w:cs="Arial"/>
          <w:sz w:val="28"/>
          <w:szCs w:val="28"/>
        </w:rPr>
      </w:pPr>
    </w:p>
    <w:p w14:paraId="4053C176" w14:textId="77777777" w:rsidR="00DD4E40" w:rsidRPr="00EA0DC7" w:rsidRDefault="00DD4E40" w:rsidP="00D535FE">
      <w:pPr>
        <w:autoSpaceDE w:val="0"/>
        <w:autoSpaceDN w:val="0"/>
        <w:adjustRightInd w:val="0"/>
        <w:spacing w:after="0" w:line="240" w:lineRule="auto"/>
        <w:rPr>
          <w:rFonts w:cs="Arial"/>
          <w:szCs w:val="24"/>
        </w:rPr>
      </w:pPr>
    </w:p>
    <w:p w14:paraId="68319452" w14:textId="77777777" w:rsidR="00C40509" w:rsidRPr="00EA0DC7" w:rsidRDefault="00C40509" w:rsidP="00D535FE">
      <w:pPr>
        <w:autoSpaceDE w:val="0"/>
        <w:autoSpaceDN w:val="0"/>
        <w:adjustRightInd w:val="0"/>
        <w:spacing w:after="0" w:line="240" w:lineRule="auto"/>
        <w:rPr>
          <w:rFonts w:cs="Arial"/>
          <w:szCs w:val="24"/>
        </w:rPr>
      </w:pPr>
    </w:p>
    <w:p w14:paraId="5114006E" w14:textId="77777777" w:rsidR="00DD4E40" w:rsidRPr="00EA0DC7" w:rsidRDefault="00DD4E40" w:rsidP="00D535FE">
      <w:pPr>
        <w:autoSpaceDE w:val="0"/>
        <w:autoSpaceDN w:val="0"/>
        <w:adjustRightInd w:val="0"/>
        <w:spacing w:after="0" w:line="240" w:lineRule="auto"/>
        <w:rPr>
          <w:rFonts w:cs="Arial"/>
          <w:szCs w:val="24"/>
        </w:rPr>
      </w:pPr>
    </w:p>
    <w:p w14:paraId="0761525B" w14:textId="77777777" w:rsidR="00D535FE" w:rsidRPr="00EA0DC7" w:rsidRDefault="00D535FE" w:rsidP="001E7C75">
      <w:pPr>
        <w:autoSpaceDE w:val="0"/>
        <w:autoSpaceDN w:val="0"/>
        <w:adjustRightInd w:val="0"/>
        <w:spacing w:after="0" w:line="240" w:lineRule="auto"/>
        <w:jc w:val="center"/>
        <w:rPr>
          <w:rFonts w:cs="Arial"/>
          <w:szCs w:val="24"/>
        </w:rPr>
      </w:pPr>
      <w:r w:rsidRPr="00EA0DC7">
        <w:rPr>
          <w:rFonts w:cs="Arial"/>
          <w:szCs w:val="24"/>
        </w:rPr>
        <w:t xml:space="preserve">A thesis submitted in </w:t>
      </w:r>
      <w:r w:rsidR="00C40509" w:rsidRPr="00EA0DC7">
        <w:rPr>
          <w:rFonts w:cs="Arial"/>
          <w:szCs w:val="24"/>
        </w:rPr>
        <w:t>partial</w:t>
      </w:r>
      <w:r w:rsidRPr="00EA0DC7">
        <w:rPr>
          <w:rFonts w:cs="Arial"/>
          <w:szCs w:val="24"/>
        </w:rPr>
        <w:t xml:space="preserve"> fulfilment of the requirements </w:t>
      </w:r>
      <w:r w:rsidR="001E7C75" w:rsidRPr="00EA0DC7">
        <w:rPr>
          <w:rFonts w:cs="Arial"/>
          <w:szCs w:val="24"/>
        </w:rPr>
        <w:t>for</w:t>
      </w:r>
      <w:r w:rsidRPr="00EA0DC7">
        <w:rPr>
          <w:rFonts w:cs="Arial"/>
          <w:szCs w:val="24"/>
        </w:rPr>
        <w:t xml:space="preserve"> the degree of</w:t>
      </w:r>
    </w:p>
    <w:p w14:paraId="3BA13118" w14:textId="77777777" w:rsidR="001032C0" w:rsidRPr="00EA0DC7" w:rsidRDefault="00D535FE" w:rsidP="00D87252">
      <w:pPr>
        <w:jc w:val="center"/>
        <w:rPr>
          <w:rFonts w:cs="Arial"/>
          <w:szCs w:val="24"/>
        </w:rPr>
      </w:pPr>
      <w:r w:rsidRPr="00EA0DC7">
        <w:rPr>
          <w:rFonts w:cs="Arial"/>
          <w:szCs w:val="24"/>
        </w:rPr>
        <w:t>Doctor of Philosophy</w:t>
      </w:r>
      <w:r w:rsidR="006F71DD" w:rsidRPr="00EA0DC7">
        <w:rPr>
          <w:rFonts w:cs="Arial"/>
          <w:szCs w:val="24"/>
        </w:rPr>
        <w:t xml:space="preserve"> </w:t>
      </w:r>
    </w:p>
    <w:p w14:paraId="31E53CDD" w14:textId="77777777" w:rsidR="00DD4E40" w:rsidRPr="00EA0DC7" w:rsidRDefault="00DD4E40" w:rsidP="00D535FE">
      <w:pPr>
        <w:jc w:val="center"/>
        <w:rPr>
          <w:rFonts w:cs="Arial"/>
          <w:szCs w:val="24"/>
        </w:rPr>
      </w:pPr>
    </w:p>
    <w:p w14:paraId="425CA747" w14:textId="77777777" w:rsidR="00B55FD0" w:rsidRPr="00EA0DC7" w:rsidRDefault="00B55FD0" w:rsidP="00D535FE">
      <w:pPr>
        <w:jc w:val="center"/>
        <w:rPr>
          <w:rFonts w:cs="Arial"/>
          <w:szCs w:val="24"/>
        </w:rPr>
      </w:pPr>
    </w:p>
    <w:p w14:paraId="778A2316" w14:textId="77777777" w:rsidR="00B55FD0" w:rsidRPr="00EA0DC7" w:rsidRDefault="00B55FD0" w:rsidP="00D535FE">
      <w:pPr>
        <w:jc w:val="center"/>
        <w:rPr>
          <w:rFonts w:cs="Arial"/>
          <w:szCs w:val="24"/>
        </w:rPr>
      </w:pPr>
    </w:p>
    <w:p w14:paraId="0970EA19" w14:textId="77777777" w:rsidR="00DD4E40" w:rsidRPr="00EA0DC7" w:rsidRDefault="00DD4E40" w:rsidP="00DD4E40">
      <w:pPr>
        <w:spacing w:after="0" w:line="240" w:lineRule="auto"/>
        <w:jc w:val="center"/>
        <w:rPr>
          <w:rFonts w:cs="Arial"/>
          <w:szCs w:val="24"/>
        </w:rPr>
      </w:pPr>
      <w:r w:rsidRPr="00EA0DC7">
        <w:rPr>
          <w:rFonts w:cs="Arial"/>
          <w:szCs w:val="24"/>
        </w:rPr>
        <w:t>The University of Sheffield</w:t>
      </w:r>
    </w:p>
    <w:p w14:paraId="4BD17229" w14:textId="77777777" w:rsidR="00D535FE" w:rsidRPr="00EA0DC7" w:rsidRDefault="00D535FE" w:rsidP="001F36AE">
      <w:pPr>
        <w:autoSpaceDE w:val="0"/>
        <w:autoSpaceDN w:val="0"/>
        <w:adjustRightInd w:val="0"/>
        <w:spacing w:after="0" w:line="240" w:lineRule="auto"/>
        <w:jc w:val="center"/>
        <w:rPr>
          <w:rFonts w:cs="Arial"/>
          <w:szCs w:val="24"/>
        </w:rPr>
      </w:pPr>
      <w:r w:rsidRPr="00EA0DC7">
        <w:rPr>
          <w:rFonts w:cs="Arial"/>
          <w:szCs w:val="24"/>
        </w:rPr>
        <w:t>Faculty of</w:t>
      </w:r>
      <w:r w:rsidR="00C62DBA" w:rsidRPr="00EA0DC7">
        <w:rPr>
          <w:rFonts w:cs="Arial"/>
          <w:szCs w:val="24"/>
        </w:rPr>
        <w:t xml:space="preserve"> Science</w:t>
      </w:r>
    </w:p>
    <w:p w14:paraId="397F14A3" w14:textId="7B51F768" w:rsidR="00C66A65" w:rsidRPr="00EA0DC7" w:rsidRDefault="004C3CE6" w:rsidP="00D535FE">
      <w:pPr>
        <w:jc w:val="center"/>
        <w:rPr>
          <w:rFonts w:cs="Arial"/>
          <w:szCs w:val="24"/>
        </w:rPr>
      </w:pPr>
      <w:r w:rsidRPr="00EA0DC7">
        <w:rPr>
          <w:rFonts w:cs="Arial"/>
          <w:szCs w:val="24"/>
        </w:rPr>
        <w:t>Department</w:t>
      </w:r>
      <w:r w:rsidR="00D535FE" w:rsidRPr="00EA0DC7">
        <w:rPr>
          <w:rFonts w:cs="Arial"/>
          <w:szCs w:val="24"/>
        </w:rPr>
        <w:t xml:space="preserve"> of </w:t>
      </w:r>
      <w:r w:rsidR="00C62DBA" w:rsidRPr="00EA0DC7">
        <w:rPr>
          <w:rFonts w:cs="Arial"/>
          <w:szCs w:val="24"/>
        </w:rPr>
        <w:t>Psychology</w:t>
      </w:r>
    </w:p>
    <w:p w14:paraId="5B478462" w14:textId="77777777" w:rsidR="00B55FD0" w:rsidRPr="00EA0DC7" w:rsidRDefault="00B55FD0" w:rsidP="00D535FE">
      <w:pPr>
        <w:jc w:val="center"/>
        <w:rPr>
          <w:rFonts w:cs="Arial"/>
          <w:szCs w:val="24"/>
        </w:rPr>
      </w:pPr>
    </w:p>
    <w:p w14:paraId="61AE9544" w14:textId="77777777" w:rsidR="00C66A65" w:rsidRPr="00EA0DC7" w:rsidRDefault="00C66A65" w:rsidP="00D535FE">
      <w:pPr>
        <w:jc w:val="center"/>
        <w:rPr>
          <w:rFonts w:cs="Arial"/>
          <w:szCs w:val="24"/>
        </w:rPr>
      </w:pPr>
    </w:p>
    <w:p w14:paraId="223800D4" w14:textId="7A2A4732" w:rsidR="008B3AA3" w:rsidRPr="00EA0DC7" w:rsidRDefault="005161A2" w:rsidP="005161A2">
      <w:pPr>
        <w:tabs>
          <w:tab w:val="center" w:pos="4099"/>
          <w:tab w:val="right" w:pos="8198"/>
        </w:tabs>
        <w:jc w:val="left"/>
        <w:rPr>
          <w:rFonts w:cs="Arial"/>
          <w:szCs w:val="24"/>
        </w:rPr>
      </w:pPr>
      <w:r w:rsidRPr="00EA0DC7">
        <w:rPr>
          <w:rFonts w:cs="Arial"/>
          <w:szCs w:val="24"/>
        </w:rPr>
        <w:tab/>
      </w:r>
      <w:r w:rsidR="001F36AE" w:rsidRPr="00EA0DC7">
        <w:rPr>
          <w:rFonts w:cs="Arial"/>
          <w:szCs w:val="24"/>
        </w:rPr>
        <w:t>Submission</w:t>
      </w:r>
      <w:r w:rsidR="00DE2DFA" w:rsidRPr="00EA0DC7">
        <w:rPr>
          <w:rFonts w:cs="Arial"/>
          <w:szCs w:val="24"/>
        </w:rPr>
        <w:t xml:space="preserve"> Date</w:t>
      </w:r>
      <w:r w:rsidR="00C9497D" w:rsidRPr="00EA0DC7">
        <w:rPr>
          <w:rFonts w:cs="Arial"/>
          <w:szCs w:val="24"/>
        </w:rPr>
        <w:t xml:space="preserve">: </w:t>
      </w:r>
      <w:r w:rsidR="00D03483" w:rsidRPr="00EA0DC7">
        <w:rPr>
          <w:rFonts w:cs="Arial"/>
          <w:szCs w:val="24"/>
        </w:rPr>
        <w:t>21/11/2019</w:t>
      </w:r>
      <w:r w:rsidRPr="00EA0DC7">
        <w:rPr>
          <w:rFonts w:cs="Arial"/>
          <w:szCs w:val="24"/>
        </w:rPr>
        <w:tab/>
      </w:r>
    </w:p>
    <w:p w14:paraId="4A84418C" w14:textId="77777777" w:rsidR="00F7217B" w:rsidRPr="00EA0DC7" w:rsidRDefault="00F7217B">
      <w:pPr>
        <w:spacing w:line="276" w:lineRule="auto"/>
        <w:jc w:val="left"/>
        <w:rPr>
          <w:rFonts w:cs="Arial"/>
          <w:b/>
          <w:sz w:val="32"/>
          <w:szCs w:val="32"/>
        </w:rPr>
      </w:pPr>
      <w:r w:rsidRPr="00EA0DC7">
        <w:lastRenderedPageBreak/>
        <w:br w:type="page"/>
      </w:r>
    </w:p>
    <w:p w14:paraId="71DF333D" w14:textId="164C1BCD" w:rsidR="007E6849" w:rsidRPr="00EA0DC7" w:rsidRDefault="007E6849" w:rsidP="001027B1">
      <w:pPr>
        <w:pStyle w:val="Heading1"/>
        <w:numPr>
          <w:ilvl w:val="0"/>
          <w:numId w:val="0"/>
        </w:numPr>
      </w:pPr>
      <w:bookmarkStart w:id="1" w:name="_Toc47039817"/>
      <w:r w:rsidRPr="00EA0DC7">
        <w:lastRenderedPageBreak/>
        <w:t>Abstract</w:t>
      </w:r>
      <w:bookmarkEnd w:id="1"/>
    </w:p>
    <w:p w14:paraId="00D34957" w14:textId="30A67E9D" w:rsidR="00992A39" w:rsidRPr="00EA0DC7" w:rsidRDefault="00992A39" w:rsidP="00992A39">
      <w:r w:rsidRPr="00EA0DC7">
        <w:tab/>
      </w:r>
      <w:r w:rsidR="001D71CC" w:rsidRPr="00EA0DC7">
        <w:t xml:space="preserve">This thesis </w:t>
      </w:r>
      <w:r w:rsidR="00D00559" w:rsidRPr="00EA0DC7">
        <w:t>investigated</w:t>
      </w:r>
      <w:r w:rsidR="00323C3C" w:rsidRPr="00EA0DC7">
        <w:t xml:space="preserve"> the use of clinical supervision in therapy for depression</w:t>
      </w:r>
      <w:r w:rsidR="00F9600D" w:rsidRPr="00EA0DC7">
        <w:t xml:space="preserve"> and other disorders</w:t>
      </w:r>
      <w:r w:rsidR="00323C3C" w:rsidRPr="00EA0DC7">
        <w:t xml:space="preserve">. </w:t>
      </w:r>
      <w:r w:rsidR="00F9600D" w:rsidRPr="00EA0DC7">
        <w:t>The Introduction addresses the relevant existing literature, leading to this work. Initially, a</w:t>
      </w:r>
      <w:r w:rsidR="00D00559" w:rsidRPr="00EA0DC7">
        <w:t xml:space="preserve"> content analysis indicated that</w:t>
      </w:r>
      <w:r w:rsidR="00D44673" w:rsidRPr="00EA0DC7">
        <w:t xml:space="preserve"> t</w:t>
      </w:r>
      <w:r w:rsidR="00D00559" w:rsidRPr="00EA0DC7">
        <w:t>he models literature is unclear</w:t>
      </w:r>
      <w:r w:rsidR="00F9600D" w:rsidRPr="00EA0DC7">
        <w:t xml:space="preserve">, often </w:t>
      </w:r>
      <w:r w:rsidR="00D00559" w:rsidRPr="00EA0DC7">
        <w:t>lack</w:t>
      </w:r>
      <w:r w:rsidR="00F9600D" w:rsidRPr="00EA0DC7">
        <w:t>ing</w:t>
      </w:r>
      <w:r w:rsidR="00D00559" w:rsidRPr="00EA0DC7">
        <w:t xml:space="preserve"> patient focus. F</w:t>
      </w:r>
      <w:r w:rsidR="00D44673" w:rsidRPr="00EA0DC7">
        <w:t xml:space="preserve">ew models </w:t>
      </w:r>
      <w:r w:rsidR="00D00559" w:rsidRPr="00EA0DC7">
        <w:t>are based on empirical evidence</w:t>
      </w:r>
      <w:r w:rsidR="00D44673" w:rsidRPr="00EA0DC7">
        <w:t xml:space="preserve"> and fewer are empirically tested. Meta-analyses of the empirical literature indicated that supervision has a moderate, positive impact on supervisees</w:t>
      </w:r>
      <w:r w:rsidR="00F9600D" w:rsidRPr="00EA0DC7">
        <w:t>,</w:t>
      </w:r>
      <w:r w:rsidR="00D44673" w:rsidRPr="00EA0DC7">
        <w:t xml:space="preserve"> but no impact on patients. Three </w:t>
      </w:r>
      <w:r w:rsidR="00D00559" w:rsidRPr="00EA0DC7">
        <w:t>e</w:t>
      </w:r>
      <w:r w:rsidR="00146F7F" w:rsidRPr="00EA0DC7">
        <w:t>xperimental</w:t>
      </w:r>
      <w:r w:rsidR="00D44673" w:rsidRPr="00EA0DC7">
        <w:t xml:space="preserve"> studies were carried out to investigate </w:t>
      </w:r>
      <w:r w:rsidR="006E4ED7" w:rsidRPr="00EA0DC7">
        <w:t>the content of supervision sessions</w:t>
      </w:r>
      <w:r w:rsidR="00D44673" w:rsidRPr="00EA0DC7">
        <w:t xml:space="preserve"> for cognitive behavioural therapists treating depression. </w:t>
      </w:r>
      <w:r w:rsidR="006E4ED7" w:rsidRPr="00EA0DC7">
        <w:t>Results indicated supervisors often lack</w:t>
      </w:r>
      <w:r w:rsidR="00D44673" w:rsidRPr="00EA0DC7">
        <w:t xml:space="preserve"> focus in supervision. There is a tendency for supervisors to hold back on therapeutic techniques or to encourage focus on the alliance or case management aspects of supervision. This pattern of focus</w:t>
      </w:r>
      <w:r w:rsidR="00D00559" w:rsidRPr="00EA0DC7">
        <w:t xml:space="preserve"> often</w:t>
      </w:r>
      <w:r w:rsidR="00D44673" w:rsidRPr="00EA0DC7">
        <w:t xml:space="preserve"> </w:t>
      </w:r>
      <w:r w:rsidR="006E4ED7" w:rsidRPr="00EA0DC7">
        <w:t>occurs</w:t>
      </w:r>
      <w:r w:rsidR="00D44673" w:rsidRPr="00EA0DC7">
        <w:t xml:space="preserve"> when the patient has a diffuse depression</w:t>
      </w:r>
      <w:r w:rsidR="006E4ED7" w:rsidRPr="00EA0DC7">
        <w:t xml:space="preserve"> presentation</w:t>
      </w:r>
      <w:r w:rsidR="00D44673" w:rsidRPr="00EA0DC7">
        <w:t xml:space="preserve">, the therapist is female and anxious, or when the supervisor themselves </w:t>
      </w:r>
      <w:r w:rsidR="00F9600D" w:rsidRPr="00EA0DC7">
        <w:t xml:space="preserve">is more </w:t>
      </w:r>
      <w:r w:rsidR="00D44673" w:rsidRPr="00EA0DC7">
        <w:t>anxi</w:t>
      </w:r>
      <w:r w:rsidR="00F9600D" w:rsidRPr="00EA0DC7">
        <w:t>ous</w:t>
      </w:r>
      <w:r w:rsidR="00D44673" w:rsidRPr="00EA0DC7">
        <w:t xml:space="preserve">. </w:t>
      </w:r>
      <w:r w:rsidR="005118C7" w:rsidRPr="00EA0DC7">
        <w:t>F</w:t>
      </w:r>
      <w:r w:rsidR="00D44673" w:rsidRPr="00EA0DC7">
        <w:t>indings indicate that supervisors</w:t>
      </w:r>
      <w:r w:rsidR="006E4ED7" w:rsidRPr="00EA0DC7">
        <w:t xml:space="preserve"> have biases and</w:t>
      </w:r>
      <w:r w:rsidR="00D44673" w:rsidRPr="00EA0DC7">
        <w:t xml:space="preserve"> can drift</w:t>
      </w:r>
      <w:r w:rsidR="006E4ED7" w:rsidRPr="00EA0DC7">
        <w:t xml:space="preserve"> in their practice</w:t>
      </w:r>
      <w:r w:rsidR="00D44673" w:rsidRPr="00EA0DC7">
        <w:t xml:space="preserve">, as therapists do. </w:t>
      </w:r>
      <w:r w:rsidR="005118C7" w:rsidRPr="00EA0DC7">
        <w:t>T</w:t>
      </w:r>
      <w:r w:rsidR="00D44673" w:rsidRPr="00EA0DC7">
        <w:t>here needs to be greater monitoring of clinical supervision in practice,</w:t>
      </w:r>
      <w:r w:rsidR="006E4ED7" w:rsidRPr="00EA0DC7">
        <w:t xml:space="preserve"> and the influence of</w:t>
      </w:r>
      <w:r w:rsidR="00D44673" w:rsidRPr="00EA0DC7">
        <w:t xml:space="preserve"> </w:t>
      </w:r>
      <w:r w:rsidR="006E4ED7" w:rsidRPr="00EA0DC7">
        <w:t>patient, therapist</w:t>
      </w:r>
      <w:r w:rsidR="00D00559" w:rsidRPr="00EA0DC7">
        <w:t>,</w:t>
      </w:r>
      <w:r w:rsidR="006E4ED7" w:rsidRPr="00EA0DC7">
        <w:t xml:space="preserve"> and supervisor characteristics should be acknowledged in training and protocols. Future research would benefit from similar investigations into other disorders and therapies, and the inclusion of observational and clinical data.</w:t>
      </w:r>
    </w:p>
    <w:p w14:paraId="1BCE2B4F" w14:textId="067ED4E9" w:rsidR="007E6849" w:rsidRPr="00EA0DC7" w:rsidRDefault="007E6849">
      <w:pPr>
        <w:spacing w:line="276" w:lineRule="auto"/>
        <w:jc w:val="left"/>
        <w:rPr>
          <w:rFonts w:cs="Arial"/>
          <w:szCs w:val="24"/>
        </w:rPr>
      </w:pPr>
      <w:r w:rsidRPr="00EA0DC7">
        <w:rPr>
          <w:rFonts w:cs="Arial"/>
          <w:szCs w:val="24"/>
        </w:rPr>
        <w:br w:type="page"/>
      </w:r>
    </w:p>
    <w:p w14:paraId="4D5EC546" w14:textId="68125818" w:rsidR="00EB5A5C" w:rsidRPr="00EA0DC7" w:rsidRDefault="007E6849" w:rsidP="001027B1">
      <w:pPr>
        <w:pStyle w:val="Heading1"/>
        <w:numPr>
          <w:ilvl w:val="0"/>
          <w:numId w:val="0"/>
        </w:numPr>
      </w:pPr>
      <w:bookmarkStart w:id="2" w:name="_Toc47039818"/>
      <w:r w:rsidRPr="00EA0DC7">
        <w:lastRenderedPageBreak/>
        <w:t>Acknowledgements</w:t>
      </w:r>
      <w:bookmarkEnd w:id="2"/>
    </w:p>
    <w:p w14:paraId="58EF17C9" w14:textId="3177B6F9" w:rsidR="008D2B2D" w:rsidRPr="00EA0DC7" w:rsidRDefault="00C87FAB" w:rsidP="00182B65">
      <w:r w:rsidRPr="00EA0DC7">
        <w:tab/>
      </w:r>
      <w:r w:rsidR="00D210D8" w:rsidRPr="00EA0DC7">
        <w:t>First, I would like to thank my supervisors, Glenn Waller and Gillian Hardy, for all the support that they have provided throughout my PhD.</w:t>
      </w:r>
      <w:r w:rsidR="00182B65" w:rsidRPr="00EA0DC7">
        <w:t xml:space="preserve"> Their encouragement and expertise have</w:t>
      </w:r>
      <w:r w:rsidR="005E7FB3" w:rsidRPr="00EA0DC7">
        <w:t xml:space="preserve"> been</w:t>
      </w:r>
      <w:r w:rsidR="00182B65" w:rsidRPr="00EA0DC7">
        <w:t xml:space="preserve"> invaluable and </w:t>
      </w:r>
      <w:r w:rsidR="00015B5B" w:rsidRPr="00EA0DC7">
        <w:t>they have both been</w:t>
      </w:r>
      <w:r w:rsidR="009C2DF8" w:rsidRPr="00EA0DC7">
        <w:t xml:space="preserve"> instrumental in shaping</w:t>
      </w:r>
      <w:r w:rsidR="00182B65" w:rsidRPr="00EA0DC7">
        <w:t xml:space="preserve"> me as a researcher.</w:t>
      </w:r>
    </w:p>
    <w:p w14:paraId="5286B5F4" w14:textId="381002ED" w:rsidR="00182B65" w:rsidRPr="00EA0DC7" w:rsidRDefault="005E7FB3" w:rsidP="008D2B2D">
      <w:pPr>
        <w:ind w:firstLine="720"/>
      </w:pPr>
      <w:r w:rsidRPr="00EA0DC7">
        <w:t>I</w:t>
      </w:r>
      <w:r w:rsidR="00B61293" w:rsidRPr="00EA0DC7">
        <w:t xml:space="preserve"> want to thank the Howard Morton Trust for funding this research and all of the clinical supervisors who took part in </w:t>
      </w:r>
      <w:r w:rsidRPr="00EA0DC7">
        <w:t>the studies, without whom this PhD</w:t>
      </w:r>
      <w:r w:rsidR="00B61293" w:rsidRPr="00EA0DC7">
        <w:t xml:space="preserve"> would not have been possible.</w:t>
      </w:r>
    </w:p>
    <w:p w14:paraId="6B64FAC4" w14:textId="3C3D7650" w:rsidR="0094074B" w:rsidRPr="00EA0DC7" w:rsidRDefault="00A42A1E" w:rsidP="00182B65">
      <w:r w:rsidRPr="00EA0DC7">
        <w:tab/>
      </w:r>
      <w:r w:rsidR="005E7FB3" w:rsidRPr="00EA0DC7">
        <w:t xml:space="preserve">Thank you to everyone in Sheffield who made my time there </w:t>
      </w:r>
      <w:r w:rsidR="0003056C" w:rsidRPr="00EA0DC7">
        <w:t>so enjoyable</w:t>
      </w:r>
      <w:r w:rsidR="0094074B" w:rsidRPr="00EA0DC7">
        <w:t xml:space="preserve">. </w:t>
      </w:r>
      <w:r w:rsidR="005E7FB3" w:rsidRPr="00EA0DC7">
        <w:t xml:space="preserve">In particular, </w:t>
      </w:r>
      <w:r w:rsidR="0094074B" w:rsidRPr="00EA0DC7">
        <w:t>Kerry for being my first office buddy and always available for a cup of tea and a long chat. Connor for being my second office buddy</w:t>
      </w:r>
      <w:r w:rsidR="00115A9F" w:rsidRPr="00EA0DC7">
        <w:t xml:space="preserve">, my reliable second-rater, and </w:t>
      </w:r>
      <w:r w:rsidR="0094074B" w:rsidRPr="00EA0DC7">
        <w:t xml:space="preserve">always </w:t>
      </w:r>
      <w:r w:rsidR="00115A9F" w:rsidRPr="00EA0DC7">
        <w:t>up</w:t>
      </w:r>
      <w:r w:rsidR="0094074B" w:rsidRPr="00EA0DC7">
        <w:t xml:space="preserve"> </w:t>
      </w:r>
      <w:r w:rsidR="00115A9F" w:rsidRPr="00EA0DC7">
        <w:t xml:space="preserve">for a good debate. Kira for being the best flatmate – a </w:t>
      </w:r>
      <w:r w:rsidR="0003056C" w:rsidRPr="00EA0DC7">
        <w:t>role that meant she</w:t>
      </w:r>
      <w:r w:rsidR="00B272AF" w:rsidRPr="00EA0DC7">
        <w:t xml:space="preserve"> was </w:t>
      </w:r>
      <w:r w:rsidR="00115A9F" w:rsidRPr="00EA0DC7">
        <w:t xml:space="preserve">around for the </w:t>
      </w:r>
      <w:r w:rsidR="005E7FB3" w:rsidRPr="00EA0DC7">
        <w:t>good</w:t>
      </w:r>
      <w:r w:rsidR="00115A9F" w:rsidRPr="00EA0DC7">
        <w:t xml:space="preserve"> times</w:t>
      </w:r>
      <w:r w:rsidR="0003056C" w:rsidRPr="00EA0DC7">
        <w:t xml:space="preserve"> (nights at West St Live)</w:t>
      </w:r>
      <w:r w:rsidR="00115A9F" w:rsidRPr="00EA0DC7">
        <w:t xml:space="preserve"> and the </w:t>
      </w:r>
      <w:r w:rsidR="005E7FB3" w:rsidRPr="00EA0DC7">
        <w:t xml:space="preserve">bad </w:t>
      </w:r>
      <w:r w:rsidR="00115A9F" w:rsidRPr="00EA0DC7">
        <w:t>(</w:t>
      </w:r>
      <w:r w:rsidR="0003056C" w:rsidRPr="00EA0DC7">
        <w:t>a</w:t>
      </w:r>
      <w:r w:rsidR="00B272AF" w:rsidRPr="00EA0DC7">
        <w:t xml:space="preserve">lso nights </w:t>
      </w:r>
      <w:r w:rsidR="0003056C" w:rsidRPr="00EA0DC7">
        <w:t>at West St Live</w:t>
      </w:r>
      <w:r w:rsidR="00115A9F" w:rsidRPr="00EA0DC7">
        <w:t xml:space="preserve">). Carola for </w:t>
      </w:r>
      <w:r w:rsidR="0003056C" w:rsidRPr="00EA0DC7">
        <w:t xml:space="preserve">always making time for me </w:t>
      </w:r>
      <w:r w:rsidR="00B61293" w:rsidRPr="00EA0DC7">
        <w:t xml:space="preserve">– </w:t>
      </w:r>
      <w:r w:rsidR="0003056C" w:rsidRPr="00EA0DC7">
        <w:t>even when she was on the other side of the world</w:t>
      </w:r>
      <w:r w:rsidR="00B61293" w:rsidRPr="00EA0DC7">
        <w:t xml:space="preserve"> and seemingly working all hours of the day</w:t>
      </w:r>
      <w:r w:rsidR="0003056C" w:rsidRPr="00EA0DC7">
        <w:t>. Carla for</w:t>
      </w:r>
      <w:r w:rsidR="005D1F03" w:rsidRPr="00EA0DC7">
        <w:t xml:space="preserve"> </w:t>
      </w:r>
      <w:r w:rsidR="0003056C" w:rsidRPr="00EA0DC7">
        <w:t>being on hand with a spare office wine</w:t>
      </w:r>
      <w:r w:rsidR="00B61293" w:rsidRPr="00EA0DC7">
        <w:t xml:space="preserve"> when needed</w:t>
      </w:r>
      <w:r w:rsidR="0003056C" w:rsidRPr="00EA0DC7">
        <w:t xml:space="preserve"> and always up for a trip to Poptarts. Mel for </w:t>
      </w:r>
      <w:r w:rsidR="00B272AF" w:rsidRPr="00EA0DC7">
        <w:t xml:space="preserve">the long lunches and for her expert guidance in meta-analyses. And Harriet for always making time for </w:t>
      </w:r>
      <w:r w:rsidR="00B61293" w:rsidRPr="00EA0DC7">
        <w:t>a</w:t>
      </w:r>
      <w:r w:rsidR="005E7FB3" w:rsidRPr="00EA0DC7">
        <w:t xml:space="preserve"> </w:t>
      </w:r>
      <w:r w:rsidR="00B61293" w:rsidRPr="00EA0DC7">
        <w:t>catch-up</w:t>
      </w:r>
      <w:r w:rsidR="00B272AF" w:rsidRPr="00EA0DC7">
        <w:t xml:space="preserve"> before I run for the train back down south.</w:t>
      </w:r>
    </w:p>
    <w:p w14:paraId="1CF0C1CB" w14:textId="28F4F590" w:rsidR="00F91623" w:rsidRPr="00EA0DC7" w:rsidRDefault="00F91623" w:rsidP="00182B65">
      <w:r w:rsidRPr="00EA0DC7">
        <w:tab/>
        <w:t>Thank you to everyone who has made my move down south less intimidating. Particular thanks to Lucia and Alex – my fellow northerners down south</w:t>
      </w:r>
      <w:r w:rsidR="00D43710" w:rsidRPr="00EA0DC7">
        <w:t xml:space="preserve"> – for being friendly faces in a new city</w:t>
      </w:r>
      <w:r w:rsidRPr="00EA0DC7">
        <w:t>.</w:t>
      </w:r>
      <w:r w:rsidR="00D43710" w:rsidRPr="00EA0DC7">
        <w:t xml:space="preserve"> To Alex for always providing a </w:t>
      </w:r>
      <w:r w:rsidR="00D43710" w:rsidRPr="00EA0DC7">
        <w:lastRenderedPageBreak/>
        <w:t>level of scepticism equal to my own and to Lucia for always providing essential late-night medical advice.</w:t>
      </w:r>
    </w:p>
    <w:p w14:paraId="6A56437F" w14:textId="0BE158E0" w:rsidR="00971D1A" w:rsidRPr="00EA0DC7" w:rsidRDefault="00C87637" w:rsidP="00B61293">
      <w:r w:rsidRPr="00EA0DC7">
        <w:tab/>
        <w:t>I woul</w:t>
      </w:r>
      <w:r w:rsidR="00971D1A" w:rsidRPr="00EA0DC7">
        <w:t>d also like to thank my family</w:t>
      </w:r>
      <w:r w:rsidR="0094074B" w:rsidRPr="00EA0DC7">
        <w:t xml:space="preserve"> for their support and invaluable childcare contributions. Special thanks go to Peter</w:t>
      </w:r>
      <w:r w:rsidR="00492A3F" w:rsidRPr="00EA0DC7">
        <w:t xml:space="preserve"> and Christine</w:t>
      </w:r>
      <w:r w:rsidR="0094074B" w:rsidRPr="00EA0DC7">
        <w:t xml:space="preserve"> for being my number one childminder</w:t>
      </w:r>
      <w:r w:rsidR="00492A3F" w:rsidRPr="00EA0DC7">
        <w:t>s</w:t>
      </w:r>
      <w:r w:rsidR="0094074B" w:rsidRPr="00EA0DC7">
        <w:t xml:space="preserve"> and for the weekly chippy chips that kept my brain ticking over.</w:t>
      </w:r>
      <w:r w:rsidR="008D2B2D" w:rsidRPr="00EA0DC7">
        <w:t xml:space="preserve"> Finally, a</w:t>
      </w:r>
      <w:r w:rsidR="0094074B" w:rsidRPr="00EA0DC7">
        <w:t xml:space="preserve"> huge t</w:t>
      </w:r>
      <w:r w:rsidR="00971D1A" w:rsidRPr="00EA0DC7">
        <w:t>hank you to Will for</w:t>
      </w:r>
      <w:r w:rsidR="0094074B" w:rsidRPr="00EA0DC7">
        <w:t xml:space="preserve"> supporting me throughout this seemingly never-ending PhD</w:t>
      </w:r>
      <w:r w:rsidR="004C2847" w:rsidRPr="00EA0DC7">
        <w:t xml:space="preserve">, for </w:t>
      </w:r>
      <w:r w:rsidR="00B272AF" w:rsidRPr="00EA0DC7">
        <w:t xml:space="preserve">inspiring me with his </w:t>
      </w:r>
      <w:r w:rsidR="005E7FB3" w:rsidRPr="00EA0DC7">
        <w:t>ambition and determination</w:t>
      </w:r>
      <w:r w:rsidR="004C2847" w:rsidRPr="00EA0DC7">
        <w:t>, for always pushing me out of my comfort-zone,</w:t>
      </w:r>
      <w:r w:rsidR="0094074B" w:rsidRPr="00EA0DC7">
        <w:t xml:space="preserve"> and for limiting his ‘</w:t>
      </w:r>
      <w:r w:rsidR="0094074B" w:rsidRPr="00EA0DC7">
        <w:rPr>
          <w:i/>
        </w:rPr>
        <w:t>when will it be finished?</w:t>
      </w:r>
      <w:r w:rsidR="0094074B" w:rsidRPr="00EA0DC7">
        <w:t xml:space="preserve">’ questions to </w:t>
      </w:r>
      <w:r w:rsidR="004C2847" w:rsidRPr="00EA0DC7">
        <w:t xml:space="preserve">only </w:t>
      </w:r>
      <w:r w:rsidR="0094074B" w:rsidRPr="00EA0DC7">
        <w:t>once every few weeks. And thank you to Theo for</w:t>
      </w:r>
      <w:r w:rsidR="008D2B2D" w:rsidRPr="00EA0DC7">
        <w:t xml:space="preserve"> making me laugh every day a</w:t>
      </w:r>
      <w:r w:rsidR="00B61293" w:rsidRPr="00EA0DC7">
        <w:t>nd</w:t>
      </w:r>
      <w:r w:rsidR="0094074B" w:rsidRPr="00EA0DC7">
        <w:t xml:space="preserve"> </w:t>
      </w:r>
      <w:r w:rsidR="00B272AF" w:rsidRPr="00EA0DC7">
        <w:t>giving me something much more important to focus on than this PhD</w:t>
      </w:r>
      <w:r w:rsidR="00B61293" w:rsidRPr="00EA0DC7">
        <w:t>.</w:t>
      </w:r>
    </w:p>
    <w:p w14:paraId="2043C53E" w14:textId="655156FF" w:rsidR="00EB5A5C" w:rsidRPr="00EA0DC7" w:rsidRDefault="00EB5A5C" w:rsidP="00B61293">
      <w:pPr>
        <w:ind w:firstLine="720"/>
      </w:pPr>
      <w:r w:rsidRPr="00EA0DC7">
        <w:br w:type="page"/>
      </w:r>
    </w:p>
    <w:sdt>
      <w:sdtPr>
        <w:rPr>
          <w:rFonts w:cstheme="minorBidi"/>
          <w:b w:val="0"/>
          <w:sz w:val="24"/>
          <w:szCs w:val="22"/>
          <w:lang w:val="en-GB" w:eastAsia="en-GB"/>
        </w:rPr>
        <w:id w:val="-939989780"/>
        <w:docPartObj>
          <w:docPartGallery w:val="Table of Contents"/>
          <w:docPartUnique/>
        </w:docPartObj>
      </w:sdtPr>
      <w:sdtEndPr>
        <w:rPr>
          <w:bCs/>
          <w:noProof/>
          <w:szCs w:val="24"/>
        </w:rPr>
      </w:sdtEndPr>
      <w:sdtContent>
        <w:p w14:paraId="64E330DD" w14:textId="5C487D53" w:rsidR="003941AA" w:rsidRPr="00EA0DC7" w:rsidRDefault="003941AA" w:rsidP="00FC1183">
          <w:pPr>
            <w:pStyle w:val="TOCHeading"/>
            <w:numPr>
              <w:ilvl w:val="0"/>
              <w:numId w:val="0"/>
            </w:numPr>
            <w:spacing w:line="480" w:lineRule="auto"/>
          </w:pPr>
          <w:r w:rsidRPr="00EA0DC7">
            <w:t>Contents</w:t>
          </w:r>
        </w:p>
        <w:p w14:paraId="27569A82" w14:textId="019B413F" w:rsidR="00987943" w:rsidRPr="00B328B8" w:rsidRDefault="009C2DF8">
          <w:pPr>
            <w:pStyle w:val="TOC1"/>
            <w:rPr>
              <w:rFonts w:ascii="Arial" w:hAnsi="Arial" w:cs="Arial"/>
              <w:b w:val="0"/>
              <w:bCs w:val="0"/>
              <w:noProof/>
              <w:sz w:val="22"/>
              <w:szCs w:val="22"/>
            </w:rPr>
          </w:pPr>
          <w:r w:rsidRPr="00EA0DC7">
            <w:rPr>
              <w:rFonts w:ascii="Arial" w:hAnsi="Arial" w:cs="Arial"/>
              <w:sz w:val="24"/>
              <w:szCs w:val="24"/>
            </w:rPr>
            <w:fldChar w:fldCharType="begin"/>
          </w:r>
          <w:r w:rsidRPr="00EA0DC7">
            <w:rPr>
              <w:rFonts w:ascii="Arial" w:hAnsi="Arial" w:cs="Arial"/>
              <w:sz w:val="24"/>
              <w:szCs w:val="24"/>
            </w:rPr>
            <w:instrText xml:space="preserve"> TOC \o "1-2" \h \z \u </w:instrText>
          </w:r>
          <w:r w:rsidRPr="00EA0DC7">
            <w:rPr>
              <w:rFonts w:ascii="Arial" w:hAnsi="Arial" w:cs="Arial"/>
              <w:sz w:val="24"/>
              <w:szCs w:val="24"/>
            </w:rPr>
            <w:fldChar w:fldCharType="separate"/>
          </w:r>
          <w:hyperlink w:anchor="_Toc47039817" w:history="1">
            <w:r w:rsidR="00987943" w:rsidRPr="00B328B8">
              <w:rPr>
                <w:rStyle w:val="Hyperlink"/>
                <w:rFonts w:ascii="Arial" w:hAnsi="Arial" w:cs="Arial"/>
                <w:noProof/>
              </w:rPr>
              <w:t>Abstract</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_Toc47039817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3</w:t>
            </w:r>
            <w:r w:rsidR="00987943" w:rsidRPr="00B328B8">
              <w:rPr>
                <w:rFonts w:ascii="Arial" w:hAnsi="Arial" w:cs="Arial"/>
                <w:noProof/>
                <w:webHidden/>
              </w:rPr>
              <w:fldChar w:fldCharType="end"/>
            </w:r>
          </w:hyperlink>
        </w:p>
        <w:p w14:paraId="40723C34" w14:textId="197B4438" w:rsidR="00987943" w:rsidRPr="00B328B8" w:rsidRDefault="004F2FDB">
          <w:pPr>
            <w:pStyle w:val="TOC1"/>
            <w:rPr>
              <w:rFonts w:ascii="Arial" w:hAnsi="Arial" w:cs="Arial"/>
              <w:b w:val="0"/>
              <w:bCs w:val="0"/>
              <w:noProof/>
              <w:sz w:val="22"/>
              <w:szCs w:val="22"/>
            </w:rPr>
          </w:pPr>
          <w:hyperlink w:anchor="_Toc47039818" w:history="1">
            <w:r w:rsidR="00987943" w:rsidRPr="00B328B8">
              <w:rPr>
                <w:rStyle w:val="Hyperlink"/>
                <w:rFonts w:ascii="Arial" w:hAnsi="Arial" w:cs="Arial"/>
                <w:noProof/>
              </w:rPr>
              <w:t>Acknowledgements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_Toc47039818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97C5B99" w14:textId="5186F11C" w:rsidR="00987943" w:rsidRPr="00B328B8" w:rsidRDefault="004F2FDB">
          <w:pPr>
            <w:pStyle w:val="TOC1"/>
            <w:rPr>
              <w:rFonts w:ascii="Arial" w:hAnsi="Arial" w:cs="Arial"/>
              <w:b w:val="0"/>
              <w:bCs w:val="0"/>
              <w:noProof/>
              <w:sz w:val="22"/>
              <w:szCs w:val="22"/>
            </w:rPr>
          </w:pPr>
          <w:hyperlink w:anchor="_Toc47039819" w:history="1">
            <w:r w:rsidR="00987943" w:rsidRPr="00B328B8">
              <w:rPr>
                <w:rStyle w:val="Hyperlink"/>
                <w:rFonts w:ascii="Arial" w:hAnsi="Arial" w:cs="Arial"/>
                <w:noProof/>
              </w:rPr>
              <w:t>List of Figures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_Toc47039819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2D2EC14" w14:textId="687F89ED" w:rsidR="00987943" w:rsidRPr="00B328B8" w:rsidRDefault="004F2FDB">
          <w:pPr>
            <w:pStyle w:val="TOC1"/>
            <w:rPr>
              <w:rFonts w:ascii="Arial" w:hAnsi="Arial" w:cs="Arial"/>
              <w:b w:val="0"/>
              <w:bCs w:val="0"/>
              <w:noProof/>
              <w:sz w:val="22"/>
              <w:szCs w:val="22"/>
            </w:rPr>
          </w:pPr>
          <w:hyperlink w:anchor="_Toc47039820" w:history="1">
            <w:r w:rsidR="00987943" w:rsidRPr="00B328B8">
              <w:rPr>
                <w:rStyle w:val="Hyperlink"/>
                <w:rFonts w:ascii="Arial" w:hAnsi="Arial" w:cs="Arial"/>
                <w:noProof/>
              </w:rPr>
              <w:t>List of Tables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0B77988" w14:textId="173C6751" w:rsidR="00987943" w:rsidRPr="00B328B8" w:rsidRDefault="004F2FDB">
          <w:pPr>
            <w:pStyle w:val="TOC1"/>
            <w:rPr>
              <w:rFonts w:ascii="Arial" w:hAnsi="Arial" w:cs="Arial"/>
              <w:b w:val="0"/>
              <w:bCs w:val="0"/>
              <w:noProof/>
              <w:sz w:val="22"/>
              <w:szCs w:val="22"/>
            </w:rPr>
          </w:pPr>
          <w:hyperlink w:anchor="_Toc47039821" w:history="1">
            <w:r w:rsidR="00987943" w:rsidRPr="00B328B8">
              <w:rPr>
                <w:rStyle w:val="Hyperlink"/>
                <w:rFonts w:ascii="Arial" w:hAnsi="Arial" w:cs="Arial"/>
                <w:noProof/>
              </w:rPr>
              <w:t>Publications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9BE2E12" w14:textId="53120559" w:rsidR="00987943" w:rsidRPr="00B328B8" w:rsidRDefault="004F2FDB">
          <w:pPr>
            <w:pStyle w:val="TOC1"/>
            <w:rPr>
              <w:rFonts w:ascii="Arial" w:hAnsi="Arial" w:cs="Arial"/>
              <w:b w:val="0"/>
              <w:bCs w:val="0"/>
              <w:noProof/>
              <w:sz w:val="22"/>
              <w:szCs w:val="22"/>
            </w:rPr>
          </w:pPr>
          <w:hyperlink w:anchor="_Toc47039822" w:history="1">
            <w:r w:rsidR="00987943" w:rsidRPr="00B328B8">
              <w:rPr>
                <w:rStyle w:val="Hyperlink"/>
                <w:rFonts w:ascii="Arial" w:hAnsi="Arial" w:cs="Arial"/>
                <w:noProof/>
              </w:rPr>
              <w:t>Chapter 1 – The status of psychological treatments for depression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FFA5650" w14:textId="18659F79" w:rsidR="00987943" w:rsidRPr="00B328B8" w:rsidRDefault="004F2FDB">
          <w:pPr>
            <w:pStyle w:val="TOC2"/>
            <w:tabs>
              <w:tab w:val="right" w:leader="dot" w:pos="8188"/>
            </w:tabs>
            <w:rPr>
              <w:rFonts w:ascii="Arial" w:hAnsi="Arial" w:cs="Arial"/>
              <w:i w:val="0"/>
              <w:iCs w:val="0"/>
              <w:noProof/>
              <w:sz w:val="22"/>
              <w:szCs w:val="22"/>
            </w:rPr>
          </w:pPr>
          <w:hyperlink w:anchor="_Toc47039823" w:history="1">
            <w:r w:rsidR="00987943" w:rsidRPr="00B328B8">
              <w:rPr>
                <w:rStyle w:val="Hyperlink"/>
                <w:rFonts w:ascii="Arial" w:eastAsia="SimSun" w:hAnsi="Arial" w:cs="Arial"/>
                <w:b/>
                <w:noProof/>
              </w:rPr>
              <w:t>1.1 Chapter overview</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1CDF296" w14:textId="59971AEC" w:rsidR="00987943" w:rsidRPr="00B328B8" w:rsidRDefault="004F2FDB">
          <w:pPr>
            <w:pStyle w:val="TOC2"/>
            <w:tabs>
              <w:tab w:val="right" w:leader="dot" w:pos="8188"/>
            </w:tabs>
            <w:rPr>
              <w:rFonts w:ascii="Arial" w:hAnsi="Arial" w:cs="Arial"/>
              <w:i w:val="0"/>
              <w:iCs w:val="0"/>
              <w:noProof/>
              <w:sz w:val="22"/>
              <w:szCs w:val="22"/>
            </w:rPr>
          </w:pPr>
          <w:hyperlink w:anchor="_Toc47039824" w:history="1">
            <w:r w:rsidR="00987943" w:rsidRPr="00B328B8">
              <w:rPr>
                <w:rStyle w:val="Hyperlink"/>
                <w:rFonts w:ascii="Arial" w:eastAsia="SimSun" w:hAnsi="Arial" w:cs="Arial"/>
                <w:b/>
                <w:noProof/>
              </w:rPr>
              <w:t>1.2 The nature of depression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4E02ED3" w14:textId="744C4888" w:rsidR="00987943" w:rsidRPr="00B328B8" w:rsidRDefault="004F2FDB">
          <w:pPr>
            <w:pStyle w:val="TOC2"/>
            <w:tabs>
              <w:tab w:val="right" w:leader="dot" w:pos="8188"/>
            </w:tabs>
            <w:rPr>
              <w:rFonts w:ascii="Arial" w:hAnsi="Arial" w:cs="Arial"/>
              <w:i w:val="0"/>
              <w:iCs w:val="0"/>
              <w:noProof/>
              <w:sz w:val="22"/>
              <w:szCs w:val="22"/>
            </w:rPr>
          </w:pPr>
          <w:hyperlink w:anchor="_Toc47039825" w:history="1">
            <w:r w:rsidR="00987943" w:rsidRPr="00B328B8">
              <w:rPr>
                <w:rStyle w:val="Hyperlink"/>
                <w:rFonts w:ascii="Arial" w:eastAsia="SimSun" w:hAnsi="Arial" w:cs="Arial"/>
                <w:b/>
                <w:noProof/>
              </w:rPr>
              <w:t>1.3 Treatment</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7710F52" w14:textId="40EE177E" w:rsidR="00987943" w:rsidRPr="00B328B8" w:rsidRDefault="004F2FDB">
          <w:pPr>
            <w:pStyle w:val="TOC2"/>
            <w:tabs>
              <w:tab w:val="right" w:leader="dot" w:pos="8188"/>
            </w:tabs>
            <w:rPr>
              <w:rFonts w:ascii="Arial" w:hAnsi="Arial" w:cs="Arial"/>
              <w:i w:val="0"/>
              <w:iCs w:val="0"/>
              <w:noProof/>
              <w:sz w:val="22"/>
              <w:szCs w:val="22"/>
            </w:rPr>
          </w:pPr>
          <w:hyperlink w:anchor="_Toc47039826" w:history="1">
            <w:r w:rsidR="00987943" w:rsidRPr="00B328B8">
              <w:rPr>
                <w:rStyle w:val="Hyperlink"/>
                <w:rFonts w:ascii="Arial" w:eastAsia="SimSun" w:hAnsi="Arial" w:cs="Arial"/>
                <w:b/>
                <w:noProof/>
              </w:rPr>
              <w:t>1.4 Factors influencing psychotherapy outcomes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7659F3E" w14:textId="15418341" w:rsidR="00987943" w:rsidRPr="00B328B8" w:rsidRDefault="004F2FDB">
          <w:pPr>
            <w:pStyle w:val="TOC2"/>
            <w:tabs>
              <w:tab w:val="right" w:leader="dot" w:pos="8188"/>
            </w:tabs>
            <w:rPr>
              <w:rFonts w:ascii="Arial" w:hAnsi="Arial" w:cs="Arial"/>
              <w:i w:val="0"/>
              <w:iCs w:val="0"/>
              <w:noProof/>
              <w:sz w:val="22"/>
              <w:szCs w:val="22"/>
            </w:rPr>
          </w:pPr>
          <w:hyperlink w:anchor="_Toc47039827" w:history="1">
            <w:r w:rsidR="00987943" w:rsidRPr="00B328B8">
              <w:rPr>
                <w:rStyle w:val="Hyperlink"/>
                <w:rFonts w:ascii="Arial" w:eastAsia="SimSun" w:hAnsi="Arial" w:cs="Arial"/>
                <w:b/>
                <w:noProof/>
              </w:rPr>
              <w:t>1.5 The importance of supervision of therapists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09B0149" w14:textId="147CF100" w:rsidR="00987943" w:rsidRPr="00B328B8" w:rsidRDefault="004F2FDB">
          <w:pPr>
            <w:pStyle w:val="TOC2"/>
            <w:tabs>
              <w:tab w:val="right" w:leader="dot" w:pos="8188"/>
            </w:tabs>
            <w:rPr>
              <w:rFonts w:ascii="Arial" w:hAnsi="Arial" w:cs="Arial"/>
              <w:i w:val="0"/>
              <w:iCs w:val="0"/>
              <w:noProof/>
              <w:sz w:val="22"/>
              <w:szCs w:val="22"/>
            </w:rPr>
          </w:pPr>
          <w:hyperlink w:anchor="_Toc47039828" w:history="1">
            <w:r w:rsidR="00987943" w:rsidRPr="00B328B8">
              <w:rPr>
                <w:rStyle w:val="Hyperlink"/>
                <w:rFonts w:ascii="Arial" w:eastAsia="SimSun" w:hAnsi="Arial" w:cs="Arial"/>
                <w:b/>
                <w:noProof/>
              </w:rPr>
              <w:t>1.6 Thesis overview</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58D3FB7" w14:textId="776AD66D" w:rsidR="00987943" w:rsidRPr="00B328B8" w:rsidRDefault="004F2FDB">
          <w:pPr>
            <w:pStyle w:val="TOC1"/>
            <w:rPr>
              <w:rFonts w:ascii="Arial" w:hAnsi="Arial" w:cs="Arial"/>
              <w:b w:val="0"/>
              <w:bCs w:val="0"/>
              <w:noProof/>
              <w:sz w:val="22"/>
              <w:szCs w:val="22"/>
            </w:rPr>
          </w:pPr>
          <w:hyperlink w:anchor="_Toc47039829" w:history="1">
            <w:r w:rsidR="00987943" w:rsidRPr="00B328B8">
              <w:rPr>
                <w:rStyle w:val="Hyperlink"/>
                <w:rFonts w:ascii="Arial" w:hAnsi="Arial" w:cs="Arial"/>
                <w:noProof/>
              </w:rPr>
              <w:t>Chapter 2 – How do we know what makes for ‘best practice’ in clinical supervision for psychological therapists? A content analysis of supervisory models and approaches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_Toc47039829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6D1FC11" w14:textId="1923F5BF" w:rsidR="00987943" w:rsidRPr="00B328B8" w:rsidRDefault="004F2FDB">
          <w:pPr>
            <w:pStyle w:val="TOC2"/>
            <w:tabs>
              <w:tab w:val="right" w:leader="dot" w:pos="8188"/>
            </w:tabs>
            <w:rPr>
              <w:rFonts w:ascii="Arial" w:hAnsi="Arial" w:cs="Arial"/>
              <w:i w:val="0"/>
              <w:iCs w:val="0"/>
              <w:noProof/>
              <w:sz w:val="22"/>
              <w:szCs w:val="22"/>
            </w:rPr>
          </w:pPr>
          <w:hyperlink w:anchor="_Toc47039830" w:history="1">
            <w:r w:rsidR="00987943" w:rsidRPr="00B328B8">
              <w:rPr>
                <w:rStyle w:val="Hyperlink"/>
                <w:rFonts w:ascii="Arial" w:eastAsia="SimSun" w:hAnsi="Arial" w:cs="Arial"/>
                <w:b/>
                <w:noProof/>
              </w:rPr>
              <w:t>2.1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0BFCE94" w14:textId="31B51D39" w:rsidR="00987943" w:rsidRPr="00B328B8" w:rsidRDefault="004F2FDB">
          <w:pPr>
            <w:pStyle w:val="TOC2"/>
            <w:tabs>
              <w:tab w:val="right" w:leader="dot" w:pos="8188"/>
            </w:tabs>
            <w:rPr>
              <w:rFonts w:ascii="Arial" w:hAnsi="Arial" w:cs="Arial"/>
              <w:i w:val="0"/>
              <w:iCs w:val="0"/>
              <w:noProof/>
              <w:sz w:val="22"/>
              <w:szCs w:val="22"/>
            </w:rPr>
          </w:pPr>
          <w:hyperlink w:anchor="_Toc47039831" w:history="1">
            <w:r w:rsidR="00987943" w:rsidRPr="00B328B8">
              <w:rPr>
                <w:rStyle w:val="Hyperlink"/>
                <w:rFonts w:ascii="Arial" w:eastAsia="SimSun" w:hAnsi="Arial" w:cs="Arial"/>
                <w:b/>
                <w:noProof/>
              </w:rPr>
              <w:t>2.2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964B24C" w14:textId="7D1FDF43" w:rsidR="00987943" w:rsidRPr="00B328B8" w:rsidRDefault="004F2FDB">
          <w:pPr>
            <w:pStyle w:val="TOC2"/>
            <w:tabs>
              <w:tab w:val="right" w:leader="dot" w:pos="8188"/>
            </w:tabs>
            <w:rPr>
              <w:rFonts w:ascii="Arial" w:hAnsi="Arial" w:cs="Arial"/>
              <w:i w:val="0"/>
              <w:iCs w:val="0"/>
              <w:noProof/>
              <w:sz w:val="22"/>
              <w:szCs w:val="22"/>
            </w:rPr>
          </w:pPr>
          <w:hyperlink w:anchor="_Toc47039832" w:history="1">
            <w:r w:rsidR="00987943" w:rsidRPr="00B328B8">
              <w:rPr>
                <w:rStyle w:val="Hyperlink"/>
                <w:rFonts w:ascii="Arial" w:eastAsia="SimSun" w:hAnsi="Arial" w:cs="Arial"/>
                <w:b/>
                <w:noProof/>
              </w:rPr>
              <w:t>2.3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718DFBC" w14:textId="06BEE723" w:rsidR="00987943" w:rsidRPr="00B328B8" w:rsidRDefault="004F2FDB">
          <w:pPr>
            <w:pStyle w:val="TOC2"/>
            <w:tabs>
              <w:tab w:val="right" w:leader="dot" w:pos="8188"/>
            </w:tabs>
            <w:rPr>
              <w:rFonts w:ascii="Arial" w:hAnsi="Arial" w:cs="Arial"/>
              <w:i w:val="0"/>
              <w:iCs w:val="0"/>
              <w:noProof/>
              <w:sz w:val="22"/>
              <w:szCs w:val="22"/>
            </w:rPr>
          </w:pPr>
          <w:hyperlink w:anchor="_Toc47039833" w:history="1">
            <w:r w:rsidR="00987943" w:rsidRPr="00B328B8">
              <w:rPr>
                <w:rStyle w:val="Hyperlink"/>
                <w:rFonts w:ascii="Arial" w:eastAsia="SimSun" w:hAnsi="Arial" w:cs="Arial"/>
                <w:b/>
                <w:noProof/>
              </w:rPr>
              <w:t>2.4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04BE5C5" w14:textId="31778104" w:rsidR="00987943" w:rsidRPr="00B328B8" w:rsidRDefault="004F2FDB">
          <w:pPr>
            <w:pStyle w:val="TOC1"/>
            <w:rPr>
              <w:rFonts w:ascii="Arial" w:hAnsi="Arial" w:cs="Arial"/>
              <w:b w:val="0"/>
              <w:bCs w:val="0"/>
              <w:noProof/>
              <w:sz w:val="22"/>
              <w:szCs w:val="22"/>
            </w:rPr>
          </w:pPr>
          <w:hyperlink w:anchor="_Toc47039834" w:history="1">
            <w:r w:rsidR="00987943" w:rsidRPr="00B328B8">
              <w:rPr>
                <w:rStyle w:val="Hyperlink"/>
                <w:rFonts w:ascii="Arial" w:hAnsi="Arial" w:cs="Arial"/>
                <w:noProof/>
                <w:lang w:eastAsia="en-US"/>
              </w:rPr>
              <w:t>Chapter 3 – Does clinical supervision contribute to supervisee and patient outcomes? A meta-analysis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ABA926D" w14:textId="3B2A20EE" w:rsidR="00987943" w:rsidRPr="00B328B8" w:rsidRDefault="004F2FDB">
          <w:pPr>
            <w:pStyle w:val="TOC2"/>
            <w:tabs>
              <w:tab w:val="right" w:leader="dot" w:pos="8188"/>
            </w:tabs>
            <w:rPr>
              <w:rFonts w:ascii="Arial" w:hAnsi="Arial" w:cs="Arial"/>
              <w:i w:val="0"/>
              <w:iCs w:val="0"/>
              <w:noProof/>
              <w:sz w:val="22"/>
              <w:szCs w:val="22"/>
            </w:rPr>
          </w:pPr>
          <w:hyperlink w:anchor="_Toc47039835" w:history="1">
            <w:r w:rsidR="00987943" w:rsidRPr="00B328B8">
              <w:rPr>
                <w:rStyle w:val="Hyperlink"/>
                <w:rFonts w:ascii="Arial" w:hAnsi="Arial" w:cs="Arial"/>
                <w:noProof/>
                <w:lang w:eastAsia="en-US"/>
              </w:rPr>
              <w:t>3.1 Background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29053F7" w14:textId="1E64FFBD" w:rsidR="00987943" w:rsidRPr="00B328B8" w:rsidRDefault="004F2FDB">
          <w:pPr>
            <w:pStyle w:val="TOC2"/>
            <w:tabs>
              <w:tab w:val="right" w:leader="dot" w:pos="8188"/>
            </w:tabs>
            <w:rPr>
              <w:rFonts w:ascii="Arial" w:hAnsi="Arial" w:cs="Arial"/>
              <w:i w:val="0"/>
              <w:iCs w:val="0"/>
              <w:noProof/>
              <w:sz w:val="22"/>
              <w:szCs w:val="22"/>
            </w:rPr>
          </w:pPr>
          <w:hyperlink w:anchor="_Toc47039836" w:history="1">
            <w:r w:rsidR="00987943" w:rsidRPr="00B328B8">
              <w:rPr>
                <w:rStyle w:val="Hyperlink"/>
                <w:rFonts w:ascii="Arial" w:hAnsi="Arial" w:cs="Arial"/>
                <w:noProof/>
                <w:lang w:eastAsia="en-US"/>
              </w:rPr>
              <w:t>3.2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5F1E194" w14:textId="42E1A20B" w:rsidR="00987943" w:rsidRPr="00B328B8" w:rsidRDefault="004F2FDB">
          <w:pPr>
            <w:pStyle w:val="TOC2"/>
            <w:tabs>
              <w:tab w:val="right" w:leader="dot" w:pos="8188"/>
            </w:tabs>
            <w:rPr>
              <w:rFonts w:ascii="Arial" w:hAnsi="Arial" w:cs="Arial"/>
              <w:i w:val="0"/>
              <w:iCs w:val="0"/>
              <w:noProof/>
              <w:sz w:val="22"/>
              <w:szCs w:val="22"/>
            </w:rPr>
          </w:pPr>
          <w:hyperlink w:anchor="_Toc47039837" w:history="1">
            <w:r w:rsidR="00987943" w:rsidRPr="00B328B8">
              <w:rPr>
                <w:rStyle w:val="Hyperlink"/>
                <w:rFonts w:ascii="Arial" w:hAnsi="Arial" w:cs="Arial"/>
                <w:noProof/>
              </w:rPr>
              <w:t>3.3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B67C31B" w14:textId="0E0441C9" w:rsidR="00987943" w:rsidRPr="00B328B8" w:rsidRDefault="004F2FDB">
          <w:pPr>
            <w:pStyle w:val="TOC2"/>
            <w:tabs>
              <w:tab w:val="right" w:leader="dot" w:pos="8188"/>
            </w:tabs>
            <w:rPr>
              <w:rFonts w:ascii="Arial" w:hAnsi="Arial" w:cs="Arial"/>
              <w:i w:val="0"/>
              <w:iCs w:val="0"/>
              <w:noProof/>
              <w:sz w:val="22"/>
              <w:szCs w:val="22"/>
            </w:rPr>
          </w:pPr>
          <w:hyperlink w:anchor="_Toc47039838" w:history="1">
            <w:r w:rsidR="00987943" w:rsidRPr="00B328B8">
              <w:rPr>
                <w:rStyle w:val="Hyperlink"/>
                <w:rFonts w:ascii="Arial" w:hAnsi="Arial" w:cs="Arial"/>
                <w:noProof/>
              </w:rPr>
              <w:t>3.4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6B4C292" w14:textId="7A450043" w:rsidR="00987943" w:rsidRPr="00B328B8" w:rsidRDefault="004F2FDB">
          <w:pPr>
            <w:pStyle w:val="TOC2"/>
            <w:tabs>
              <w:tab w:val="right" w:leader="dot" w:pos="8188"/>
            </w:tabs>
            <w:rPr>
              <w:rFonts w:ascii="Arial" w:hAnsi="Arial" w:cs="Arial"/>
              <w:i w:val="0"/>
              <w:iCs w:val="0"/>
              <w:noProof/>
              <w:sz w:val="22"/>
              <w:szCs w:val="22"/>
            </w:rPr>
          </w:pPr>
          <w:hyperlink w:anchor="_Toc47039839" w:history="1">
            <w:r w:rsidR="00987943" w:rsidRPr="00B328B8">
              <w:rPr>
                <w:rStyle w:val="Hyperlink"/>
                <w:rFonts w:ascii="Arial" w:hAnsi="Arial" w:cs="Arial"/>
                <w:noProof/>
                <w:lang w:eastAsia="en-US"/>
              </w:rPr>
              <w:t>3.5 Conclusions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_Toc47039839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F9913E8" w14:textId="4CAE04E6" w:rsidR="00987943" w:rsidRPr="00B328B8" w:rsidRDefault="004F2FDB">
          <w:pPr>
            <w:pStyle w:val="TOC1"/>
            <w:rPr>
              <w:rFonts w:ascii="Arial" w:hAnsi="Arial" w:cs="Arial"/>
              <w:b w:val="0"/>
              <w:bCs w:val="0"/>
              <w:noProof/>
              <w:sz w:val="22"/>
              <w:szCs w:val="22"/>
            </w:rPr>
          </w:pPr>
          <w:hyperlink w:anchor="_Toc47039840" w:history="1">
            <w:r w:rsidR="00987943" w:rsidRPr="00B328B8">
              <w:rPr>
                <w:rStyle w:val="Hyperlink"/>
                <w:rFonts w:ascii="Arial" w:hAnsi="Arial" w:cs="Arial"/>
                <w:noProof/>
              </w:rPr>
              <w:t>Chapter 4 – Supervisor practice when guiding therapists working with depression: The impact of supervisor and patient characteristics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E9DA651" w14:textId="2B6E9F49" w:rsidR="00987943" w:rsidRPr="00B328B8" w:rsidRDefault="004F2FDB">
          <w:pPr>
            <w:pStyle w:val="TOC2"/>
            <w:tabs>
              <w:tab w:val="right" w:leader="dot" w:pos="8188"/>
            </w:tabs>
            <w:rPr>
              <w:rFonts w:ascii="Arial" w:hAnsi="Arial" w:cs="Arial"/>
              <w:i w:val="0"/>
              <w:iCs w:val="0"/>
              <w:noProof/>
              <w:sz w:val="22"/>
              <w:szCs w:val="22"/>
            </w:rPr>
          </w:pPr>
          <w:hyperlink w:anchor="_Toc47039841" w:history="1">
            <w:r w:rsidR="00987943" w:rsidRPr="00B328B8">
              <w:rPr>
                <w:rStyle w:val="Hyperlink"/>
                <w:rFonts w:ascii="Arial" w:hAnsi="Arial" w:cs="Arial"/>
                <w:noProof/>
              </w:rPr>
              <w:t>4.1 Overview of empirical chapters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1022EA4" w14:textId="609FB81A" w:rsidR="00987943" w:rsidRPr="00B328B8" w:rsidRDefault="004F2FDB">
          <w:pPr>
            <w:pStyle w:val="TOC2"/>
            <w:tabs>
              <w:tab w:val="right" w:leader="dot" w:pos="8188"/>
            </w:tabs>
            <w:rPr>
              <w:rFonts w:ascii="Arial" w:hAnsi="Arial" w:cs="Arial"/>
              <w:i w:val="0"/>
              <w:iCs w:val="0"/>
              <w:noProof/>
              <w:sz w:val="22"/>
              <w:szCs w:val="22"/>
            </w:rPr>
          </w:pPr>
          <w:hyperlink w:anchor="_Toc47039842" w:history="1">
            <w:r w:rsidR="00987943" w:rsidRPr="00B328B8">
              <w:rPr>
                <w:rStyle w:val="Hyperlink"/>
                <w:rFonts w:ascii="Arial" w:hAnsi="Arial" w:cs="Arial"/>
                <w:noProof/>
              </w:rPr>
              <w:t>4.2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BC432C7" w14:textId="7E9B281C" w:rsidR="00987943" w:rsidRPr="00B328B8" w:rsidRDefault="004F2FDB">
          <w:pPr>
            <w:pStyle w:val="TOC2"/>
            <w:tabs>
              <w:tab w:val="right" w:leader="dot" w:pos="8188"/>
            </w:tabs>
            <w:rPr>
              <w:rFonts w:ascii="Arial" w:hAnsi="Arial" w:cs="Arial"/>
              <w:i w:val="0"/>
              <w:iCs w:val="0"/>
              <w:noProof/>
              <w:sz w:val="22"/>
              <w:szCs w:val="22"/>
            </w:rPr>
          </w:pPr>
          <w:hyperlink w:anchor="_Toc47039843" w:history="1">
            <w:r w:rsidR="00987943" w:rsidRPr="00B328B8">
              <w:rPr>
                <w:rStyle w:val="Hyperlink"/>
                <w:rFonts w:ascii="Arial" w:hAnsi="Arial" w:cs="Arial"/>
                <w:noProof/>
              </w:rPr>
              <w:t>4.3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0DCD709" w14:textId="47214914" w:rsidR="00987943" w:rsidRPr="00B328B8" w:rsidRDefault="004F2FDB">
          <w:pPr>
            <w:pStyle w:val="TOC2"/>
            <w:tabs>
              <w:tab w:val="right" w:leader="dot" w:pos="8188"/>
            </w:tabs>
            <w:rPr>
              <w:rFonts w:ascii="Arial" w:hAnsi="Arial" w:cs="Arial"/>
              <w:i w:val="0"/>
              <w:iCs w:val="0"/>
              <w:noProof/>
              <w:sz w:val="22"/>
              <w:szCs w:val="22"/>
            </w:rPr>
          </w:pPr>
          <w:hyperlink w:anchor="_Toc47039844" w:history="1">
            <w:r w:rsidR="00987943" w:rsidRPr="00B328B8">
              <w:rPr>
                <w:rStyle w:val="Hyperlink"/>
                <w:rFonts w:ascii="Arial" w:hAnsi="Arial" w:cs="Arial"/>
                <w:noProof/>
              </w:rPr>
              <w:t>4.4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332267A" w14:textId="2B2A3957" w:rsidR="00987943" w:rsidRPr="00B328B8" w:rsidRDefault="004F2FDB">
          <w:pPr>
            <w:pStyle w:val="TOC2"/>
            <w:tabs>
              <w:tab w:val="right" w:leader="dot" w:pos="8188"/>
            </w:tabs>
            <w:rPr>
              <w:rFonts w:ascii="Arial" w:hAnsi="Arial" w:cs="Arial"/>
              <w:i w:val="0"/>
              <w:iCs w:val="0"/>
              <w:noProof/>
              <w:sz w:val="22"/>
              <w:szCs w:val="22"/>
            </w:rPr>
          </w:pPr>
          <w:hyperlink w:anchor="_Toc47039845" w:history="1">
            <w:r w:rsidR="00987943" w:rsidRPr="00B328B8">
              <w:rPr>
                <w:rStyle w:val="Hyperlink"/>
                <w:rFonts w:ascii="Arial" w:hAnsi="Arial" w:cs="Arial"/>
                <w:noProof/>
              </w:rPr>
              <w:t>4.5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5FABE42" w14:textId="5D8537DC" w:rsidR="00987943" w:rsidRPr="00B328B8" w:rsidRDefault="004F2FDB">
          <w:pPr>
            <w:pStyle w:val="TOC1"/>
            <w:rPr>
              <w:rFonts w:ascii="Arial" w:hAnsi="Arial" w:cs="Arial"/>
              <w:b w:val="0"/>
              <w:bCs w:val="0"/>
              <w:noProof/>
              <w:sz w:val="22"/>
              <w:szCs w:val="22"/>
            </w:rPr>
          </w:pPr>
          <w:hyperlink w:anchor="_Toc47039846" w:history="1">
            <w:r w:rsidR="00987943" w:rsidRPr="00B328B8">
              <w:rPr>
                <w:rStyle w:val="Hyperlink"/>
                <w:rFonts w:ascii="Arial" w:hAnsi="Arial" w:cs="Arial"/>
                <w:noProof/>
              </w:rPr>
              <w:t>Chapter 5 – Supervision for depression: An experimental study of the role of therapist gender and anxiety</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F61BCB2" w14:textId="18DFBCD1" w:rsidR="00987943" w:rsidRPr="00B328B8" w:rsidRDefault="004F2FDB">
          <w:pPr>
            <w:pStyle w:val="TOC2"/>
            <w:tabs>
              <w:tab w:val="right" w:leader="dot" w:pos="8188"/>
            </w:tabs>
            <w:rPr>
              <w:rFonts w:ascii="Arial" w:hAnsi="Arial" w:cs="Arial"/>
              <w:i w:val="0"/>
              <w:iCs w:val="0"/>
              <w:noProof/>
              <w:sz w:val="22"/>
              <w:szCs w:val="22"/>
            </w:rPr>
          </w:pPr>
          <w:hyperlink w:anchor="_Toc47039847" w:history="1">
            <w:r w:rsidR="00987943" w:rsidRPr="00B328B8">
              <w:rPr>
                <w:rStyle w:val="Hyperlink"/>
                <w:rFonts w:ascii="Arial" w:hAnsi="Arial" w:cs="Arial"/>
                <w:noProof/>
              </w:rPr>
              <w:t>5.1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390FDE4" w14:textId="7BEA129D" w:rsidR="00987943" w:rsidRPr="00B328B8" w:rsidRDefault="004F2FDB">
          <w:pPr>
            <w:pStyle w:val="TOC2"/>
            <w:tabs>
              <w:tab w:val="right" w:leader="dot" w:pos="8188"/>
            </w:tabs>
            <w:rPr>
              <w:rFonts w:ascii="Arial" w:hAnsi="Arial" w:cs="Arial"/>
              <w:i w:val="0"/>
              <w:iCs w:val="0"/>
              <w:noProof/>
              <w:sz w:val="22"/>
              <w:szCs w:val="22"/>
            </w:rPr>
          </w:pPr>
          <w:hyperlink w:anchor="_Toc47039848" w:history="1">
            <w:r w:rsidR="00987943" w:rsidRPr="00B328B8">
              <w:rPr>
                <w:rStyle w:val="Hyperlink"/>
                <w:rFonts w:ascii="Arial" w:hAnsi="Arial" w:cs="Arial"/>
                <w:noProof/>
              </w:rPr>
              <w:t>5.2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C68C5CE" w14:textId="6A0453AA" w:rsidR="00987943" w:rsidRPr="00B328B8" w:rsidRDefault="004F2FDB">
          <w:pPr>
            <w:pStyle w:val="TOC2"/>
            <w:tabs>
              <w:tab w:val="right" w:leader="dot" w:pos="8188"/>
            </w:tabs>
            <w:rPr>
              <w:rFonts w:ascii="Arial" w:hAnsi="Arial" w:cs="Arial"/>
              <w:i w:val="0"/>
              <w:iCs w:val="0"/>
              <w:noProof/>
              <w:sz w:val="22"/>
              <w:szCs w:val="22"/>
            </w:rPr>
          </w:pPr>
          <w:hyperlink w:anchor="_Toc47039849" w:history="1">
            <w:r w:rsidR="00987943" w:rsidRPr="00B328B8">
              <w:rPr>
                <w:rStyle w:val="Hyperlink"/>
                <w:rFonts w:ascii="Arial" w:hAnsi="Arial" w:cs="Arial"/>
                <w:noProof/>
              </w:rPr>
              <w:t>5.3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_Toc47039849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A794F99" w14:textId="0541A36B" w:rsidR="00987943" w:rsidRPr="00B328B8" w:rsidRDefault="004F2FDB">
          <w:pPr>
            <w:pStyle w:val="TOC2"/>
            <w:tabs>
              <w:tab w:val="right" w:leader="dot" w:pos="8188"/>
            </w:tabs>
            <w:rPr>
              <w:rFonts w:ascii="Arial" w:hAnsi="Arial" w:cs="Arial"/>
              <w:i w:val="0"/>
              <w:iCs w:val="0"/>
              <w:noProof/>
              <w:sz w:val="22"/>
              <w:szCs w:val="22"/>
            </w:rPr>
          </w:pPr>
          <w:hyperlink w:anchor="_Toc47039850" w:history="1">
            <w:r w:rsidR="00987943" w:rsidRPr="00B328B8">
              <w:rPr>
                <w:rStyle w:val="Hyperlink"/>
                <w:rFonts w:ascii="Arial" w:hAnsi="Arial" w:cs="Arial"/>
                <w:noProof/>
              </w:rPr>
              <w:t>5.4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AEF594E" w14:textId="6E29AE48" w:rsidR="00987943" w:rsidRPr="00B328B8" w:rsidRDefault="004F2FDB">
          <w:pPr>
            <w:pStyle w:val="TOC1"/>
            <w:rPr>
              <w:rFonts w:ascii="Arial" w:hAnsi="Arial" w:cs="Arial"/>
              <w:b w:val="0"/>
              <w:bCs w:val="0"/>
              <w:noProof/>
              <w:sz w:val="22"/>
              <w:szCs w:val="22"/>
            </w:rPr>
          </w:pPr>
          <w:hyperlink w:anchor="_Toc47039851" w:history="1">
            <w:r w:rsidR="00987943" w:rsidRPr="00B328B8">
              <w:rPr>
                <w:rStyle w:val="Hyperlink"/>
                <w:rFonts w:ascii="Arial" w:hAnsi="Arial" w:cs="Arial"/>
                <w:noProof/>
              </w:rPr>
              <w:t>Chapter 6 – The role of supervision for depression: Dealing with non-adherence from patients and therapists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B41CC12" w14:textId="0FD3C7CB" w:rsidR="00987943" w:rsidRPr="00B328B8" w:rsidRDefault="004F2FDB">
          <w:pPr>
            <w:pStyle w:val="TOC2"/>
            <w:tabs>
              <w:tab w:val="left" w:pos="720"/>
              <w:tab w:val="right" w:leader="dot" w:pos="8188"/>
            </w:tabs>
            <w:rPr>
              <w:rFonts w:ascii="Arial" w:hAnsi="Arial" w:cs="Arial"/>
              <w:i w:val="0"/>
              <w:iCs w:val="0"/>
              <w:noProof/>
              <w:sz w:val="22"/>
              <w:szCs w:val="22"/>
            </w:rPr>
          </w:pPr>
          <w:hyperlink w:anchor="_Toc47039852" w:history="1">
            <w:r w:rsidR="00987943" w:rsidRPr="00B328B8">
              <w:rPr>
                <w:rStyle w:val="Hyperlink"/>
                <w:rFonts w:ascii="Arial" w:hAnsi="Arial" w:cs="Arial"/>
                <w:noProof/>
              </w:rPr>
              <w:t>6.1</w:t>
            </w:r>
            <w:r w:rsidR="00987943" w:rsidRPr="00B328B8">
              <w:rPr>
                <w:rFonts w:ascii="Arial" w:hAnsi="Arial" w:cs="Arial"/>
                <w:i w:val="0"/>
                <w:iCs w:val="0"/>
                <w:noProof/>
                <w:sz w:val="22"/>
                <w:szCs w:val="22"/>
              </w:rPr>
              <w:tab/>
            </w:r>
            <w:r w:rsidR="00987943" w:rsidRPr="00B328B8">
              <w:rPr>
                <w:rStyle w:val="Hyperlink"/>
                <w:rFonts w:ascii="Arial" w:hAnsi="Arial" w:cs="Arial"/>
                <w:noProof/>
              </w:rPr>
              <w:t>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63E93FF" w14:textId="1F3B8D83" w:rsidR="00987943" w:rsidRPr="00B328B8" w:rsidRDefault="004F2FDB">
          <w:pPr>
            <w:pStyle w:val="TOC2"/>
            <w:tabs>
              <w:tab w:val="right" w:leader="dot" w:pos="8188"/>
            </w:tabs>
            <w:rPr>
              <w:rFonts w:ascii="Arial" w:hAnsi="Arial" w:cs="Arial"/>
              <w:i w:val="0"/>
              <w:iCs w:val="0"/>
              <w:noProof/>
              <w:sz w:val="22"/>
              <w:szCs w:val="22"/>
            </w:rPr>
          </w:pPr>
          <w:hyperlink w:anchor="_Toc47039853" w:history="1">
            <w:r w:rsidR="00987943" w:rsidRPr="00B328B8">
              <w:rPr>
                <w:rStyle w:val="Hyperlink"/>
                <w:rFonts w:ascii="Arial" w:hAnsi="Arial" w:cs="Arial"/>
                <w:noProof/>
              </w:rPr>
              <w:t>6.2 General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9C08616" w14:textId="757A2EFD" w:rsidR="00987943" w:rsidRPr="00B328B8" w:rsidRDefault="004F2FDB">
          <w:pPr>
            <w:pStyle w:val="TOC2"/>
            <w:tabs>
              <w:tab w:val="right" w:leader="dot" w:pos="8188"/>
            </w:tabs>
            <w:rPr>
              <w:rFonts w:ascii="Arial" w:hAnsi="Arial" w:cs="Arial"/>
              <w:i w:val="0"/>
              <w:iCs w:val="0"/>
              <w:noProof/>
              <w:sz w:val="22"/>
              <w:szCs w:val="22"/>
            </w:rPr>
          </w:pPr>
          <w:hyperlink w:anchor="_Toc47039854" w:history="1">
            <w:r w:rsidR="00987943" w:rsidRPr="00B328B8">
              <w:rPr>
                <w:rStyle w:val="Hyperlink"/>
                <w:rFonts w:ascii="Arial" w:hAnsi="Arial" w:cs="Arial"/>
                <w:noProof/>
              </w:rPr>
              <w:t>6.3 Study 3a – Patient non-adherence and the role of supervisee gender and anxiety</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9E4DBEC" w14:textId="4A9593DF" w:rsidR="00987943" w:rsidRPr="00B328B8" w:rsidRDefault="004F2FDB">
          <w:pPr>
            <w:pStyle w:val="TOC2"/>
            <w:tabs>
              <w:tab w:val="right" w:leader="dot" w:pos="8188"/>
            </w:tabs>
            <w:rPr>
              <w:rFonts w:ascii="Arial" w:hAnsi="Arial" w:cs="Arial"/>
              <w:i w:val="0"/>
              <w:iCs w:val="0"/>
              <w:noProof/>
              <w:sz w:val="22"/>
              <w:szCs w:val="22"/>
            </w:rPr>
          </w:pPr>
          <w:hyperlink w:anchor="_Toc47039855" w:history="1">
            <w:r w:rsidR="00987943" w:rsidRPr="00B328B8">
              <w:rPr>
                <w:rStyle w:val="Hyperlink"/>
                <w:rFonts w:ascii="Arial" w:hAnsi="Arial" w:cs="Arial"/>
                <w:noProof/>
              </w:rPr>
              <w:t>6.3.1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BD5D615" w14:textId="021A26BC" w:rsidR="00987943" w:rsidRPr="00B328B8" w:rsidRDefault="004F2FDB">
          <w:pPr>
            <w:pStyle w:val="TOC2"/>
            <w:tabs>
              <w:tab w:val="right" w:leader="dot" w:pos="8188"/>
            </w:tabs>
            <w:rPr>
              <w:rFonts w:ascii="Arial" w:hAnsi="Arial" w:cs="Arial"/>
              <w:i w:val="0"/>
              <w:iCs w:val="0"/>
              <w:noProof/>
              <w:sz w:val="22"/>
              <w:szCs w:val="22"/>
            </w:rPr>
          </w:pPr>
          <w:hyperlink w:anchor="_Toc47039856" w:history="1">
            <w:r w:rsidR="00987943" w:rsidRPr="00B328B8">
              <w:rPr>
                <w:rStyle w:val="Hyperlink"/>
                <w:rFonts w:ascii="Arial" w:hAnsi="Arial" w:cs="Arial"/>
                <w:noProof/>
              </w:rPr>
              <w:t>6.3.2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582CC4F" w14:textId="58C495D4" w:rsidR="00987943" w:rsidRPr="00B328B8" w:rsidRDefault="004F2FDB">
          <w:pPr>
            <w:pStyle w:val="TOC2"/>
            <w:tabs>
              <w:tab w:val="right" w:leader="dot" w:pos="8188"/>
            </w:tabs>
            <w:rPr>
              <w:rFonts w:ascii="Arial" w:hAnsi="Arial" w:cs="Arial"/>
              <w:i w:val="0"/>
              <w:iCs w:val="0"/>
              <w:noProof/>
              <w:sz w:val="22"/>
              <w:szCs w:val="22"/>
            </w:rPr>
          </w:pPr>
          <w:hyperlink w:anchor="_Toc47039857" w:history="1">
            <w:r w:rsidR="00987943" w:rsidRPr="00B328B8">
              <w:rPr>
                <w:rStyle w:val="Hyperlink"/>
                <w:rFonts w:ascii="Arial" w:hAnsi="Arial" w:cs="Arial"/>
                <w:noProof/>
              </w:rPr>
              <w:t>6.3.3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5E49CBD" w14:textId="18DDA9FC" w:rsidR="00987943" w:rsidRPr="00B328B8" w:rsidRDefault="004F2FDB">
          <w:pPr>
            <w:pStyle w:val="TOC2"/>
            <w:tabs>
              <w:tab w:val="right" w:leader="dot" w:pos="8188"/>
            </w:tabs>
            <w:rPr>
              <w:rFonts w:ascii="Arial" w:hAnsi="Arial" w:cs="Arial"/>
              <w:i w:val="0"/>
              <w:iCs w:val="0"/>
              <w:noProof/>
              <w:sz w:val="22"/>
              <w:szCs w:val="22"/>
            </w:rPr>
          </w:pPr>
          <w:hyperlink w:anchor="_Toc47039858" w:history="1">
            <w:r w:rsidR="00987943" w:rsidRPr="00B328B8">
              <w:rPr>
                <w:rStyle w:val="Hyperlink"/>
                <w:rFonts w:ascii="Arial" w:hAnsi="Arial" w:cs="Arial"/>
                <w:noProof/>
              </w:rPr>
              <w:t>6.3.4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E5DAE51" w14:textId="3D73FCFF" w:rsidR="00987943" w:rsidRPr="00B328B8" w:rsidRDefault="004F2FDB">
          <w:pPr>
            <w:pStyle w:val="TOC2"/>
            <w:tabs>
              <w:tab w:val="right" w:leader="dot" w:pos="8188"/>
            </w:tabs>
            <w:rPr>
              <w:rFonts w:ascii="Arial" w:hAnsi="Arial" w:cs="Arial"/>
              <w:i w:val="0"/>
              <w:iCs w:val="0"/>
              <w:noProof/>
              <w:sz w:val="22"/>
              <w:szCs w:val="22"/>
            </w:rPr>
          </w:pPr>
          <w:hyperlink w:anchor="_Toc47039859" w:history="1">
            <w:r w:rsidR="00987943" w:rsidRPr="00B328B8">
              <w:rPr>
                <w:rStyle w:val="Hyperlink"/>
                <w:rFonts w:ascii="Arial" w:hAnsi="Arial" w:cs="Arial"/>
                <w:noProof/>
              </w:rPr>
              <w:t>6.4 Study 3b – Patient non-adherence and the role of patient complexity and supervisee experience</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_Toc47039859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AF520FB" w14:textId="77DAD276" w:rsidR="00987943" w:rsidRPr="00B328B8" w:rsidRDefault="004F2FDB">
          <w:pPr>
            <w:pStyle w:val="TOC2"/>
            <w:tabs>
              <w:tab w:val="right" w:leader="dot" w:pos="8188"/>
            </w:tabs>
            <w:rPr>
              <w:rFonts w:ascii="Arial" w:hAnsi="Arial" w:cs="Arial"/>
              <w:i w:val="0"/>
              <w:iCs w:val="0"/>
              <w:noProof/>
              <w:sz w:val="22"/>
              <w:szCs w:val="22"/>
            </w:rPr>
          </w:pPr>
          <w:hyperlink w:anchor="_Toc47039860" w:history="1">
            <w:r w:rsidR="00987943" w:rsidRPr="00B328B8">
              <w:rPr>
                <w:rStyle w:val="Hyperlink"/>
                <w:rFonts w:ascii="Arial" w:hAnsi="Arial" w:cs="Arial"/>
                <w:noProof/>
              </w:rPr>
              <w:t>6.4.1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8FF28EF" w14:textId="57B1E899" w:rsidR="00987943" w:rsidRPr="00B328B8" w:rsidRDefault="004F2FDB">
          <w:pPr>
            <w:pStyle w:val="TOC2"/>
            <w:tabs>
              <w:tab w:val="right" w:leader="dot" w:pos="8188"/>
            </w:tabs>
            <w:rPr>
              <w:rFonts w:ascii="Arial" w:hAnsi="Arial" w:cs="Arial"/>
              <w:i w:val="0"/>
              <w:iCs w:val="0"/>
              <w:noProof/>
              <w:sz w:val="22"/>
              <w:szCs w:val="22"/>
            </w:rPr>
          </w:pPr>
          <w:hyperlink w:anchor="_Toc47039861" w:history="1">
            <w:r w:rsidR="00987943" w:rsidRPr="00B328B8">
              <w:rPr>
                <w:rStyle w:val="Hyperlink"/>
                <w:rFonts w:ascii="Arial" w:hAnsi="Arial" w:cs="Arial"/>
                <w:noProof/>
              </w:rPr>
              <w:t>6.4.2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FD213F1" w14:textId="160CE0D3" w:rsidR="00987943" w:rsidRPr="00B328B8" w:rsidRDefault="004F2FDB">
          <w:pPr>
            <w:pStyle w:val="TOC2"/>
            <w:tabs>
              <w:tab w:val="right" w:leader="dot" w:pos="8188"/>
            </w:tabs>
            <w:rPr>
              <w:rFonts w:ascii="Arial" w:hAnsi="Arial" w:cs="Arial"/>
              <w:i w:val="0"/>
              <w:iCs w:val="0"/>
              <w:noProof/>
              <w:sz w:val="22"/>
              <w:szCs w:val="22"/>
            </w:rPr>
          </w:pPr>
          <w:hyperlink w:anchor="_Toc47039862" w:history="1">
            <w:r w:rsidR="00987943" w:rsidRPr="00B328B8">
              <w:rPr>
                <w:rStyle w:val="Hyperlink"/>
                <w:rFonts w:ascii="Arial" w:hAnsi="Arial" w:cs="Arial"/>
                <w:noProof/>
              </w:rPr>
              <w:t>6.4.3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953EA73" w14:textId="0306A8CE" w:rsidR="00987943" w:rsidRPr="00B328B8" w:rsidRDefault="004F2FDB">
          <w:pPr>
            <w:pStyle w:val="TOC2"/>
            <w:tabs>
              <w:tab w:val="right" w:leader="dot" w:pos="8188"/>
            </w:tabs>
            <w:rPr>
              <w:rFonts w:ascii="Arial" w:hAnsi="Arial" w:cs="Arial"/>
              <w:i w:val="0"/>
              <w:iCs w:val="0"/>
              <w:noProof/>
              <w:sz w:val="22"/>
              <w:szCs w:val="22"/>
            </w:rPr>
          </w:pPr>
          <w:hyperlink w:anchor="_Toc47039863" w:history="1">
            <w:r w:rsidR="00987943" w:rsidRPr="00B328B8">
              <w:rPr>
                <w:rStyle w:val="Hyperlink"/>
                <w:rFonts w:ascii="Arial" w:hAnsi="Arial" w:cs="Arial"/>
                <w:noProof/>
              </w:rPr>
              <w:t>6.4.4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3563F2E" w14:textId="15FFC80A" w:rsidR="00987943" w:rsidRPr="00B328B8" w:rsidRDefault="004F2FDB">
          <w:pPr>
            <w:pStyle w:val="TOC2"/>
            <w:tabs>
              <w:tab w:val="right" w:leader="dot" w:pos="8188"/>
            </w:tabs>
            <w:rPr>
              <w:rFonts w:ascii="Arial" w:hAnsi="Arial" w:cs="Arial"/>
              <w:i w:val="0"/>
              <w:iCs w:val="0"/>
              <w:noProof/>
              <w:sz w:val="22"/>
              <w:szCs w:val="22"/>
            </w:rPr>
          </w:pPr>
          <w:hyperlink w:anchor="_Toc47039864" w:history="1">
            <w:r w:rsidR="00987943" w:rsidRPr="00B328B8">
              <w:rPr>
                <w:rStyle w:val="Hyperlink"/>
                <w:rFonts w:ascii="Arial" w:hAnsi="Arial" w:cs="Arial"/>
                <w:noProof/>
              </w:rPr>
              <w:t>6.5 Study 3c – Supervisee non-adherence and the role of supervisee gender and anxiety</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EC295DD" w14:textId="5FAF0E30" w:rsidR="00987943" w:rsidRPr="00B328B8" w:rsidRDefault="004F2FDB">
          <w:pPr>
            <w:pStyle w:val="TOC2"/>
            <w:tabs>
              <w:tab w:val="right" w:leader="dot" w:pos="8188"/>
            </w:tabs>
            <w:rPr>
              <w:rFonts w:ascii="Arial" w:hAnsi="Arial" w:cs="Arial"/>
              <w:i w:val="0"/>
              <w:iCs w:val="0"/>
              <w:noProof/>
              <w:sz w:val="22"/>
              <w:szCs w:val="22"/>
            </w:rPr>
          </w:pPr>
          <w:hyperlink w:anchor="_Toc47039865" w:history="1">
            <w:r w:rsidR="00987943" w:rsidRPr="00B328B8">
              <w:rPr>
                <w:rStyle w:val="Hyperlink"/>
                <w:rFonts w:ascii="Arial" w:hAnsi="Arial" w:cs="Arial"/>
                <w:noProof/>
              </w:rPr>
              <w:t>6.5.1 Background and aims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9FC0412" w14:textId="3B7BAA72" w:rsidR="00987943" w:rsidRPr="00B328B8" w:rsidRDefault="004F2FDB">
          <w:pPr>
            <w:pStyle w:val="TOC2"/>
            <w:tabs>
              <w:tab w:val="right" w:leader="dot" w:pos="8188"/>
            </w:tabs>
            <w:rPr>
              <w:rFonts w:ascii="Arial" w:hAnsi="Arial" w:cs="Arial"/>
              <w:i w:val="0"/>
              <w:iCs w:val="0"/>
              <w:noProof/>
              <w:sz w:val="22"/>
              <w:szCs w:val="22"/>
            </w:rPr>
          </w:pPr>
          <w:hyperlink w:anchor="_Toc47039866" w:history="1">
            <w:r w:rsidR="00987943" w:rsidRPr="00B328B8">
              <w:rPr>
                <w:rStyle w:val="Hyperlink"/>
                <w:rFonts w:ascii="Arial" w:hAnsi="Arial" w:cs="Arial"/>
                <w:noProof/>
              </w:rPr>
              <w:t>6.5.2 Method</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434F6A3" w14:textId="3EEDC68F" w:rsidR="00987943" w:rsidRPr="00B328B8" w:rsidRDefault="004F2FDB">
          <w:pPr>
            <w:pStyle w:val="TOC2"/>
            <w:tabs>
              <w:tab w:val="right" w:leader="dot" w:pos="8188"/>
            </w:tabs>
            <w:rPr>
              <w:rFonts w:ascii="Arial" w:hAnsi="Arial" w:cs="Arial"/>
              <w:i w:val="0"/>
              <w:iCs w:val="0"/>
              <w:noProof/>
              <w:sz w:val="22"/>
              <w:szCs w:val="22"/>
            </w:rPr>
          </w:pPr>
          <w:hyperlink w:anchor="_Toc47039867" w:history="1">
            <w:r w:rsidR="00987943" w:rsidRPr="00B328B8">
              <w:rPr>
                <w:rStyle w:val="Hyperlink"/>
                <w:rFonts w:ascii="Arial" w:hAnsi="Arial" w:cs="Arial"/>
                <w:noProof/>
              </w:rPr>
              <w:t>6.5.3 Results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EE6ABB9" w14:textId="3AB11BEF" w:rsidR="00987943" w:rsidRPr="00B328B8" w:rsidRDefault="004F2FDB">
          <w:pPr>
            <w:pStyle w:val="TOC2"/>
            <w:tabs>
              <w:tab w:val="right" w:leader="dot" w:pos="8188"/>
            </w:tabs>
            <w:rPr>
              <w:rFonts w:ascii="Arial" w:hAnsi="Arial" w:cs="Arial"/>
              <w:i w:val="0"/>
              <w:iCs w:val="0"/>
              <w:noProof/>
              <w:sz w:val="22"/>
              <w:szCs w:val="22"/>
            </w:rPr>
          </w:pPr>
          <w:hyperlink w:anchor="_Toc47039868" w:history="1">
            <w:r w:rsidR="00987943" w:rsidRPr="00B328B8">
              <w:rPr>
                <w:rStyle w:val="Hyperlink"/>
                <w:rFonts w:ascii="Arial" w:hAnsi="Arial" w:cs="Arial"/>
                <w:noProof/>
              </w:rPr>
              <w:t>6.5.4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256B03F" w14:textId="3143B277" w:rsidR="00987943" w:rsidRPr="00B328B8" w:rsidRDefault="004F2FDB">
          <w:pPr>
            <w:pStyle w:val="TOC2"/>
            <w:tabs>
              <w:tab w:val="right" w:leader="dot" w:pos="8188"/>
            </w:tabs>
            <w:rPr>
              <w:rFonts w:ascii="Arial" w:hAnsi="Arial" w:cs="Arial"/>
              <w:i w:val="0"/>
              <w:iCs w:val="0"/>
              <w:noProof/>
              <w:sz w:val="22"/>
              <w:szCs w:val="22"/>
            </w:rPr>
          </w:pPr>
          <w:hyperlink w:anchor="_Toc47039869" w:history="1">
            <w:r w:rsidR="00987943" w:rsidRPr="00B328B8">
              <w:rPr>
                <w:rStyle w:val="Hyperlink"/>
                <w:rFonts w:ascii="Arial" w:hAnsi="Arial" w:cs="Arial"/>
                <w:noProof/>
              </w:rPr>
              <w:t>6.6 General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_Toc47039869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2B44B22" w14:textId="763941D1" w:rsidR="00987943" w:rsidRPr="00B328B8" w:rsidRDefault="004F2FDB">
          <w:pPr>
            <w:pStyle w:val="TOC1"/>
            <w:rPr>
              <w:rFonts w:ascii="Arial" w:hAnsi="Arial" w:cs="Arial"/>
              <w:b w:val="0"/>
              <w:bCs w:val="0"/>
              <w:noProof/>
              <w:sz w:val="22"/>
              <w:szCs w:val="22"/>
            </w:rPr>
          </w:pPr>
          <w:hyperlink w:anchor="_Toc47039870" w:history="1">
            <w:r w:rsidR="00987943" w:rsidRPr="00B328B8">
              <w:rPr>
                <w:rStyle w:val="Hyperlink"/>
                <w:rFonts w:ascii="Arial" w:hAnsi="Arial" w:cs="Arial"/>
                <w:noProof/>
              </w:rPr>
              <w:t>Chapter 7 – General Discussion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9B346EC" w14:textId="23AAA95C" w:rsidR="00987943" w:rsidRPr="00B328B8" w:rsidRDefault="004F2FDB">
          <w:pPr>
            <w:pStyle w:val="TOC2"/>
            <w:tabs>
              <w:tab w:val="right" w:leader="dot" w:pos="8188"/>
            </w:tabs>
            <w:rPr>
              <w:rFonts w:ascii="Arial" w:hAnsi="Arial" w:cs="Arial"/>
              <w:i w:val="0"/>
              <w:iCs w:val="0"/>
              <w:noProof/>
              <w:sz w:val="22"/>
              <w:szCs w:val="22"/>
            </w:rPr>
          </w:pPr>
          <w:hyperlink w:anchor="_Toc47039871" w:history="1">
            <w:r w:rsidR="00987943" w:rsidRPr="00B328B8">
              <w:rPr>
                <w:rStyle w:val="Hyperlink"/>
                <w:rFonts w:ascii="Arial" w:hAnsi="Arial" w:cs="Arial"/>
                <w:noProof/>
              </w:rPr>
              <w:t>7.1 Aims of this thesis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DB490F8" w14:textId="7CA5FBEF" w:rsidR="00987943" w:rsidRPr="00B328B8" w:rsidRDefault="004F2FDB">
          <w:pPr>
            <w:pStyle w:val="TOC2"/>
            <w:tabs>
              <w:tab w:val="right" w:leader="dot" w:pos="8188"/>
            </w:tabs>
            <w:rPr>
              <w:rFonts w:ascii="Arial" w:hAnsi="Arial" w:cs="Arial"/>
              <w:i w:val="0"/>
              <w:iCs w:val="0"/>
              <w:noProof/>
              <w:sz w:val="22"/>
              <w:szCs w:val="22"/>
            </w:rPr>
          </w:pPr>
          <w:hyperlink w:anchor="_Toc47039872" w:history="1">
            <w:r w:rsidR="00987943" w:rsidRPr="00B328B8">
              <w:rPr>
                <w:rStyle w:val="Hyperlink"/>
                <w:rFonts w:ascii="Arial" w:hAnsi="Arial" w:cs="Arial"/>
                <w:noProof/>
              </w:rPr>
              <w:t>7.2 Synthesising key findings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32A4DA5" w14:textId="67A4C765" w:rsidR="00987943" w:rsidRPr="00B328B8" w:rsidRDefault="004F2FDB">
          <w:pPr>
            <w:pStyle w:val="TOC2"/>
            <w:tabs>
              <w:tab w:val="right" w:leader="dot" w:pos="8188"/>
            </w:tabs>
            <w:rPr>
              <w:rFonts w:ascii="Arial" w:hAnsi="Arial" w:cs="Arial"/>
              <w:i w:val="0"/>
              <w:iCs w:val="0"/>
              <w:noProof/>
              <w:sz w:val="22"/>
              <w:szCs w:val="22"/>
            </w:rPr>
          </w:pPr>
          <w:hyperlink w:anchor="_Toc47039873" w:history="1">
            <w:r w:rsidR="00987943" w:rsidRPr="00B328B8">
              <w:rPr>
                <w:rStyle w:val="Hyperlink"/>
                <w:rFonts w:ascii="Arial" w:hAnsi="Arial" w:cs="Arial"/>
                <w:noProof/>
              </w:rPr>
              <w:t>7.3 Wider psychology literature</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8F1545D" w14:textId="1F887558" w:rsidR="00987943" w:rsidRPr="00B328B8" w:rsidRDefault="004F2FDB">
          <w:pPr>
            <w:pStyle w:val="TOC2"/>
            <w:tabs>
              <w:tab w:val="right" w:leader="dot" w:pos="8188"/>
            </w:tabs>
            <w:rPr>
              <w:rFonts w:ascii="Arial" w:hAnsi="Arial" w:cs="Arial"/>
              <w:i w:val="0"/>
              <w:iCs w:val="0"/>
              <w:noProof/>
              <w:sz w:val="22"/>
              <w:szCs w:val="22"/>
            </w:rPr>
          </w:pPr>
          <w:hyperlink w:anchor="_Toc47039874" w:history="1">
            <w:r w:rsidR="00987943" w:rsidRPr="00B328B8">
              <w:rPr>
                <w:rStyle w:val="Hyperlink"/>
                <w:rFonts w:ascii="Arial" w:hAnsi="Arial" w:cs="Arial"/>
                <w:noProof/>
              </w:rPr>
              <w:t>7.4 Clinical and service improvement</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D3E27B7" w14:textId="17999121" w:rsidR="00987943" w:rsidRPr="00B328B8" w:rsidRDefault="004F2FDB">
          <w:pPr>
            <w:pStyle w:val="TOC2"/>
            <w:tabs>
              <w:tab w:val="right" w:leader="dot" w:pos="8188"/>
            </w:tabs>
            <w:rPr>
              <w:rFonts w:ascii="Arial" w:hAnsi="Arial" w:cs="Arial"/>
              <w:i w:val="0"/>
              <w:iCs w:val="0"/>
              <w:noProof/>
              <w:sz w:val="22"/>
              <w:szCs w:val="22"/>
            </w:rPr>
          </w:pPr>
          <w:hyperlink w:anchor="_Toc47039875" w:history="1">
            <w:r w:rsidR="00987943" w:rsidRPr="00B328B8">
              <w:rPr>
                <w:rStyle w:val="Hyperlink"/>
                <w:rFonts w:ascii="Arial" w:hAnsi="Arial" w:cs="Arial"/>
                <w:noProof/>
              </w:rPr>
              <w:t>7.5 Research implications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4865D3B" w14:textId="29C46171" w:rsidR="00987943" w:rsidRPr="00B328B8" w:rsidRDefault="004F2FDB">
          <w:pPr>
            <w:pStyle w:val="TOC2"/>
            <w:tabs>
              <w:tab w:val="right" w:leader="dot" w:pos="8188"/>
            </w:tabs>
            <w:rPr>
              <w:rFonts w:ascii="Arial" w:hAnsi="Arial" w:cs="Arial"/>
              <w:i w:val="0"/>
              <w:iCs w:val="0"/>
              <w:noProof/>
              <w:sz w:val="22"/>
              <w:szCs w:val="22"/>
            </w:rPr>
          </w:pPr>
          <w:hyperlink w:anchor="_Toc47039876" w:history="1">
            <w:r w:rsidR="00987943" w:rsidRPr="00B328B8">
              <w:rPr>
                <w:rStyle w:val="Hyperlink"/>
                <w:rFonts w:ascii="Arial" w:hAnsi="Arial" w:cs="Arial"/>
                <w:noProof/>
              </w:rPr>
              <w:t>7.6 Limitations and directions for future research</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1B36F25" w14:textId="03FFAA37" w:rsidR="00987943" w:rsidRPr="00B328B8" w:rsidRDefault="004F2FDB">
          <w:pPr>
            <w:pStyle w:val="TOC2"/>
            <w:tabs>
              <w:tab w:val="right" w:leader="dot" w:pos="8188"/>
            </w:tabs>
            <w:rPr>
              <w:rFonts w:ascii="Arial" w:hAnsi="Arial" w:cs="Arial"/>
              <w:i w:val="0"/>
              <w:iCs w:val="0"/>
              <w:noProof/>
              <w:sz w:val="22"/>
              <w:szCs w:val="22"/>
            </w:rPr>
          </w:pPr>
          <w:hyperlink w:anchor="_Toc47039877" w:history="1">
            <w:r w:rsidR="00987943" w:rsidRPr="00B328B8">
              <w:rPr>
                <w:rStyle w:val="Hyperlink"/>
                <w:rFonts w:ascii="Arial" w:hAnsi="Arial" w:cs="Arial"/>
                <w:noProof/>
              </w:rPr>
              <w:t>7.7 Conclusion</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BBBC459" w14:textId="46CCEC0A" w:rsidR="00987943" w:rsidRPr="00B328B8" w:rsidRDefault="004F2FDB">
          <w:pPr>
            <w:pStyle w:val="TOC1"/>
            <w:rPr>
              <w:rFonts w:ascii="Arial" w:hAnsi="Arial" w:cs="Arial"/>
              <w:b w:val="0"/>
              <w:bCs w:val="0"/>
              <w:noProof/>
              <w:sz w:val="22"/>
              <w:szCs w:val="22"/>
            </w:rPr>
          </w:pPr>
          <w:hyperlink w:anchor="_Toc47039878" w:history="1">
            <w:r w:rsidR="00987943" w:rsidRPr="00B328B8">
              <w:rPr>
                <w:rStyle w:val="Hyperlink"/>
                <w:rFonts w:ascii="Arial" w:hAnsi="Arial" w:cs="Arial"/>
                <w:noProof/>
                <w:lang w:val="de-DE"/>
              </w:rPr>
              <w:t>References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D683F02" w14:textId="05BDEADC" w:rsidR="00987943" w:rsidRPr="00B328B8" w:rsidRDefault="004F2FDB">
          <w:pPr>
            <w:pStyle w:val="TOC1"/>
            <w:rPr>
              <w:rFonts w:ascii="Arial" w:hAnsi="Arial" w:cs="Arial"/>
              <w:b w:val="0"/>
              <w:bCs w:val="0"/>
              <w:noProof/>
              <w:sz w:val="22"/>
              <w:szCs w:val="22"/>
            </w:rPr>
          </w:pPr>
          <w:hyperlink w:anchor="_Toc47039879" w:history="1">
            <w:r w:rsidR="00987943" w:rsidRPr="00B328B8">
              <w:rPr>
                <w:rStyle w:val="Hyperlink"/>
                <w:rFonts w:ascii="Arial" w:hAnsi="Arial" w:cs="Arial"/>
                <w:noProof/>
              </w:rPr>
              <w:t>Appendices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_Toc47039879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345FDCD" w14:textId="10920C9E" w:rsidR="00987943" w:rsidRPr="00B328B8" w:rsidRDefault="004F2FDB">
          <w:pPr>
            <w:pStyle w:val="TOC2"/>
            <w:tabs>
              <w:tab w:val="right" w:leader="dot" w:pos="8188"/>
            </w:tabs>
            <w:rPr>
              <w:rFonts w:ascii="Arial" w:hAnsi="Arial" w:cs="Arial"/>
              <w:i w:val="0"/>
              <w:iCs w:val="0"/>
              <w:noProof/>
              <w:sz w:val="22"/>
              <w:szCs w:val="22"/>
            </w:rPr>
          </w:pPr>
          <w:hyperlink w:anchor="_Toc47039880" w:history="1">
            <w:r w:rsidR="00987943" w:rsidRPr="00B328B8">
              <w:rPr>
                <w:rStyle w:val="Hyperlink"/>
                <w:rFonts w:ascii="Arial" w:hAnsi="Arial" w:cs="Arial"/>
                <w:noProof/>
              </w:rPr>
              <w:t>Appendix 2A. Definitions and examples of content variables.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F2685A8" w14:textId="27A289BF" w:rsidR="00987943" w:rsidRPr="00B328B8" w:rsidRDefault="004F2FDB">
          <w:pPr>
            <w:pStyle w:val="TOC2"/>
            <w:tabs>
              <w:tab w:val="right" w:leader="dot" w:pos="8188"/>
            </w:tabs>
            <w:rPr>
              <w:rFonts w:ascii="Arial" w:hAnsi="Arial" w:cs="Arial"/>
              <w:i w:val="0"/>
              <w:iCs w:val="0"/>
              <w:noProof/>
              <w:sz w:val="22"/>
              <w:szCs w:val="22"/>
            </w:rPr>
          </w:pPr>
          <w:hyperlink w:anchor="_Toc47039881" w:history="1">
            <w:r w:rsidR="00987943" w:rsidRPr="00B328B8">
              <w:rPr>
                <w:rStyle w:val="Hyperlink"/>
                <w:rFonts w:ascii="Arial" w:hAnsi="Arial" w:cs="Arial"/>
                <w:noProof/>
                <w:lang w:eastAsia="zh-CN"/>
              </w:rPr>
              <w:t>Appendix 2B. Individual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3E22BE3" w14:textId="737AC449" w:rsidR="00987943" w:rsidRPr="00B328B8" w:rsidRDefault="004F2FDB">
          <w:pPr>
            <w:pStyle w:val="TOC2"/>
            <w:tabs>
              <w:tab w:val="right" w:leader="dot" w:pos="8188"/>
            </w:tabs>
            <w:rPr>
              <w:rFonts w:ascii="Arial" w:hAnsi="Arial" w:cs="Arial"/>
              <w:i w:val="0"/>
              <w:iCs w:val="0"/>
              <w:noProof/>
              <w:sz w:val="22"/>
              <w:szCs w:val="22"/>
            </w:rPr>
          </w:pPr>
          <w:hyperlink w:anchor="_Toc47039882" w:history="1">
            <w:r w:rsidR="00987943" w:rsidRPr="00B328B8">
              <w:rPr>
                <w:rStyle w:val="Hyperlink"/>
                <w:rFonts w:ascii="Arial" w:hAnsi="Arial" w:cs="Arial"/>
                <w:noProof/>
                <w:lang w:eastAsia="zh-CN"/>
              </w:rPr>
              <w:t>Appendix 2C. Supervisor aspects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6BA839A" w14:textId="09D2078C" w:rsidR="00987943" w:rsidRPr="00B328B8" w:rsidRDefault="004F2FDB">
          <w:pPr>
            <w:pStyle w:val="TOC2"/>
            <w:tabs>
              <w:tab w:val="right" w:leader="dot" w:pos="8188"/>
            </w:tabs>
            <w:rPr>
              <w:rFonts w:ascii="Arial" w:hAnsi="Arial" w:cs="Arial"/>
              <w:i w:val="0"/>
              <w:iCs w:val="0"/>
              <w:noProof/>
              <w:sz w:val="22"/>
              <w:szCs w:val="22"/>
            </w:rPr>
          </w:pPr>
          <w:hyperlink w:anchor="_Toc47039883" w:history="1">
            <w:r w:rsidR="00987943" w:rsidRPr="00B328B8">
              <w:rPr>
                <w:rStyle w:val="Hyperlink"/>
                <w:rFonts w:ascii="Arial" w:hAnsi="Arial" w:cs="Arial"/>
                <w:noProof/>
              </w:rPr>
              <w:t>Appendix 2D. Supervisee aspects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C576025" w14:textId="754D7DA0" w:rsidR="00987943" w:rsidRPr="00B328B8" w:rsidRDefault="004F2FDB">
          <w:pPr>
            <w:pStyle w:val="TOC2"/>
            <w:tabs>
              <w:tab w:val="right" w:leader="dot" w:pos="8188"/>
            </w:tabs>
            <w:rPr>
              <w:rFonts w:ascii="Arial" w:hAnsi="Arial" w:cs="Arial"/>
              <w:i w:val="0"/>
              <w:iCs w:val="0"/>
              <w:noProof/>
              <w:sz w:val="22"/>
              <w:szCs w:val="22"/>
            </w:rPr>
          </w:pPr>
          <w:hyperlink w:anchor="_Toc47039884" w:history="1">
            <w:r w:rsidR="00987943" w:rsidRPr="00B328B8">
              <w:rPr>
                <w:rStyle w:val="Hyperlink"/>
                <w:rFonts w:ascii="Arial" w:hAnsi="Arial" w:cs="Arial"/>
                <w:noProof/>
              </w:rPr>
              <w:t>Appendix 2E. Client aspects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F1043EF" w14:textId="05854D8C" w:rsidR="00987943" w:rsidRPr="00B328B8" w:rsidRDefault="004F2FDB">
          <w:pPr>
            <w:pStyle w:val="TOC2"/>
            <w:tabs>
              <w:tab w:val="right" w:leader="dot" w:pos="8188"/>
            </w:tabs>
            <w:rPr>
              <w:rFonts w:ascii="Arial" w:hAnsi="Arial" w:cs="Arial"/>
              <w:i w:val="0"/>
              <w:iCs w:val="0"/>
              <w:noProof/>
              <w:sz w:val="22"/>
              <w:szCs w:val="22"/>
            </w:rPr>
          </w:pPr>
          <w:hyperlink w:anchor="_Toc47039885" w:history="1">
            <w:r w:rsidR="00987943" w:rsidRPr="00B328B8">
              <w:rPr>
                <w:rStyle w:val="Hyperlink"/>
                <w:rFonts w:ascii="Arial" w:hAnsi="Arial" w:cs="Arial"/>
                <w:noProof/>
                <w:lang w:eastAsia="zh-CN"/>
              </w:rPr>
              <w:t>Appendix 2F. Session elements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E0AEF28" w14:textId="282B05BC" w:rsidR="00987943" w:rsidRPr="00B328B8" w:rsidRDefault="004F2FDB">
          <w:pPr>
            <w:pStyle w:val="TOC2"/>
            <w:tabs>
              <w:tab w:val="right" w:leader="dot" w:pos="8188"/>
            </w:tabs>
            <w:rPr>
              <w:rFonts w:ascii="Arial" w:hAnsi="Arial" w:cs="Arial"/>
              <w:i w:val="0"/>
              <w:iCs w:val="0"/>
              <w:noProof/>
              <w:sz w:val="22"/>
              <w:szCs w:val="22"/>
            </w:rPr>
          </w:pPr>
          <w:hyperlink w:anchor="_Toc47039886" w:history="1">
            <w:r w:rsidR="00987943" w:rsidRPr="00B328B8">
              <w:rPr>
                <w:rStyle w:val="Hyperlink"/>
                <w:rFonts w:ascii="Arial" w:hAnsi="Arial" w:cs="Arial"/>
                <w:noProof/>
                <w:lang w:eastAsia="zh-CN"/>
              </w:rPr>
              <w:t>Appendix 2G. Evaluation aspect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485A860" w14:textId="164F9729" w:rsidR="00987943" w:rsidRPr="00B328B8" w:rsidRDefault="004F2FDB">
          <w:pPr>
            <w:pStyle w:val="TOC2"/>
            <w:tabs>
              <w:tab w:val="right" w:leader="dot" w:pos="8188"/>
            </w:tabs>
            <w:rPr>
              <w:rFonts w:ascii="Arial" w:hAnsi="Arial" w:cs="Arial"/>
              <w:i w:val="0"/>
              <w:iCs w:val="0"/>
              <w:noProof/>
              <w:sz w:val="22"/>
              <w:szCs w:val="22"/>
            </w:rPr>
          </w:pPr>
          <w:hyperlink w:anchor="_Toc47039887" w:history="1">
            <w:r w:rsidR="00987943" w:rsidRPr="00B328B8">
              <w:rPr>
                <w:rStyle w:val="Hyperlink"/>
                <w:rFonts w:ascii="Arial" w:hAnsi="Arial" w:cs="Arial"/>
                <w:noProof/>
                <w:lang w:eastAsia="zh-CN"/>
              </w:rPr>
              <w:t>Appendix 2H. Management aspect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699325B" w14:textId="2BA044D5" w:rsidR="00987943" w:rsidRPr="00B328B8" w:rsidRDefault="004F2FDB">
          <w:pPr>
            <w:pStyle w:val="TOC2"/>
            <w:tabs>
              <w:tab w:val="right" w:leader="dot" w:pos="8188"/>
            </w:tabs>
            <w:rPr>
              <w:rFonts w:ascii="Arial" w:hAnsi="Arial" w:cs="Arial"/>
              <w:i w:val="0"/>
              <w:iCs w:val="0"/>
              <w:noProof/>
              <w:sz w:val="22"/>
              <w:szCs w:val="22"/>
            </w:rPr>
          </w:pPr>
          <w:hyperlink w:anchor="_Toc47039888" w:history="1">
            <w:r w:rsidR="00987943" w:rsidRPr="00B328B8">
              <w:rPr>
                <w:rStyle w:val="Hyperlink"/>
                <w:rFonts w:ascii="Arial" w:hAnsi="Arial" w:cs="Arial"/>
                <w:noProof/>
                <w:lang w:eastAsia="zh-CN"/>
              </w:rPr>
              <w:t>Appendix 2I. Supervision relationships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E2DB1D7" w14:textId="6E8C0BEB" w:rsidR="00987943" w:rsidRPr="00B328B8" w:rsidRDefault="004F2FDB">
          <w:pPr>
            <w:pStyle w:val="TOC2"/>
            <w:tabs>
              <w:tab w:val="right" w:leader="dot" w:pos="8188"/>
            </w:tabs>
            <w:rPr>
              <w:rFonts w:ascii="Arial" w:hAnsi="Arial" w:cs="Arial"/>
              <w:i w:val="0"/>
              <w:iCs w:val="0"/>
              <w:noProof/>
              <w:sz w:val="22"/>
              <w:szCs w:val="22"/>
            </w:rPr>
          </w:pPr>
          <w:hyperlink w:anchor="_Toc47039889" w:history="1">
            <w:r w:rsidR="00987943" w:rsidRPr="00B328B8">
              <w:rPr>
                <w:rStyle w:val="Hyperlink"/>
                <w:rFonts w:ascii="Arial" w:hAnsi="Arial" w:cs="Arial"/>
                <w:noProof/>
                <w:lang w:eastAsia="zh-CN"/>
              </w:rPr>
              <w:t>Appendix 2J. Supervision formats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_Toc47039889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A0C4458" w14:textId="0766286E" w:rsidR="00987943" w:rsidRPr="00B328B8" w:rsidRDefault="004F2FDB">
          <w:pPr>
            <w:pStyle w:val="TOC2"/>
            <w:tabs>
              <w:tab w:val="right" w:leader="dot" w:pos="8188"/>
            </w:tabs>
            <w:rPr>
              <w:rFonts w:ascii="Arial" w:hAnsi="Arial" w:cs="Arial"/>
              <w:i w:val="0"/>
              <w:iCs w:val="0"/>
              <w:noProof/>
              <w:sz w:val="22"/>
              <w:szCs w:val="22"/>
            </w:rPr>
          </w:pPr>
          <w:hyperlink w:anchor="_Toc47039890" w:history="1">
            <w:r w:rsidR="00987943" w:rsidRPr="00B328B8">
              <w:rPr>
                <w:rStyle w:val="Hyperlink"/>
                <w:rFonts w:ascii="Arial" w:hAnsi="Arial" w:cs="Arial"/>
                <w:noProof/>
                <w:lang w:eastAsia="zh-CN"/>
              </w:rPr>
              <w:t>Appendix 2K. General aspect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23A6C980" w14:textId="5A5B4D49" w:rsidR="00987943" w:rsidRPr="00B328B8" w:rsidRDefault="004F2FDB">
          <w:pPr>
            <w:pStyle w:val="TOC2"/>
            <w:tabs>
              <w:tab w:val="right" w:leader="dot" w:pos="8188"/>
            </w:tabs>
            <w:rPr>
              <w:rFonts w:ascii="Arial" w:hAnsi="Arial" w:cs="Arial"/>
              <w:i w:val="0"/>
              <w:iCs w:val="0"/>
              <w:noProof/>
              <w:sz w:val="22"/>
              <w:szCs w:val="22"/>
            </w:rPr>
          </w:pPr>
          <w:hyperlink w:anchor="_Toc47039891" w:history="1">
            <w:r w:rsidR="00987943" w:rsidRPr="00B328B8">
              <w:rPr>
                <w:rStyle w:val="Hyperlink"/>
                <w:rFonts w:ascii="Arial" w:hAnsi="Arial" w:cs="Arial"/>
                <w:noProof/>
                <w:lang w:eastAsia="zh-CN"/>
              </w:rPr>
              <w:t>Appendix 2L. Other supervision aspects focus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08CEBB2" w14:textId="467A3B25" w:rsidR="00987943" w:rsidRPr="00B328B8" w:rsidRDefault="004F2FDB">
          <w:pPr>
            <w:pStyle w:val="TOC2"/>
            <w:tabs>
              <w:tab w:val="right" w:leader="dot" w:pos="8188"/>
            </w:tabs>
            <w:rPr>
              <w:rFonts w:ascii="Arial" w:hAnsi="Arial" w:cs="Arial"/>
              <w:i w:val="0"/>
              <w:iCs w:val="0"/>
              <w:noProof/>
              <w:sz w:val="22"/>
              <w:szCs w:val="22"/>
            </w:rPr>
          </w:pPr>
          <w:hyperlink w:anchor="_Toc47039892" w:history="1">
            <w:r w:rsidR="00987943" w:rsidRPr="00B328B8">
              <w:rPr>
                <w:rStyle w:val="Hyperlink"/>
                <w:rFonts w:ascii="Arial" w:hAnsi="Arial" w:cs="Arial"/>
                <w:noProof/>
              </w:rPr>
              <w:t>Appendix 2M. Use of empirical evidence in supervision models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93AEE58" w14:textId="4736FE34" w:rsidR="00987943" w:rsidRPr="00B328B8" w:rsidRDefault="004F2FDB">
          <w:pPr>
            <w:pStyle w:val="TOC2"/>
            <w:tabs>
              <w:tab w:val="right" w:leader="dot" w:pos="8188"/>
            </w:tabs>
            <w:rPr>
              <w:rFonts w:ascii="Arial" w:hAnsi="Arial" w:cs="Arial"/>
              <w:i w:val="0"/>
              <w:iCs w:val="0"/>
              <w:noProof/>
              <w:sz w:val="22"/>
              <w:szCs w:val="22"/>
            </w:rPr>
          </w:pPr>
          <w:hyperlink w:anchor="_Toc47039893" w:history="1">
            <w:r w:rsidR="00987943" w:rsidRPr="00B328B8">
              <w:rPr>
                <w:rStyle w:val="Hyperlink"/>
                <w:rFonts w:ascii="Arial" w:hAnsi="Arial" w:cs="Arial"/>
                <w:noProof/>
              </w:rPr>
              <w:t>Appendix 2N. Details of the content, supervisor and supervisee clusters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4D68846" w14:textId="080A15BB" w:rsidR="00987943" w:rsidRPr="00B328B8" w:rsidRDefault="004F2FDB">
          <w:pPr>
            <w:pStyle w:val="TOC2"/>
            <w:tabs>
              <w:tab w:val="right" w:leader="dot" w:pos="8188"/>
            </w:tabs>
            <w:rPr>
              <w:rFonts w:ascii="Arial" w:hAnsi="Arial" w:cs="Arial"/>
              <w:i w:val="0"/>
              <w:iCs w:val="0"/>
              <w:noProof/>
              <w:sz w:val="22"/>
              <w:szCs w:val="22"/>
            </w:rPr>
          </w:pPr>
          <w:hyperlink w:anchor="_Toc47039894" w:history="1">
            <w:r w:rsidR="00987943" w:rsidRPr="00B328B8">
              <w:rPr>
                <w:rStyle w:val="Hyperlink"/>
                <w:rFonts w:ascii="Arial" w:hAnsi="Arial" w:cs="Arial"/>
                <w:noProof/>
                <w:lang w:eastAsia="en-US"/>
              </w:rPr>
              <w:t>Appendix 3A. Downs and Black Checklist for measuring study quality (adapted from Downs and Black, 1998).</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6536CB41" w14:textId="6F704F55" w:rsidR="00987943" w:rsidRPr="00B328B8" w:rsidRDefault="004F2FDB">
          <w:pPr>
            <w:pStyle w:val="TOC2"/>
            <w:tabs>
              <w:tab w:val="right" w:leader="dot" w:pos="8188"/>
            </w:tabs>
            <w:rPr>
              <w:rFonts w:ascii="Arial" w:hAnsi="Arial" w:cs="Arial"/>
              <w:i w:val="0"/>
              <w:iCs w:val="0"/>
              <w:noProof/>
              <w:sz w:val="22"/>
              <w:szCs w:val="22"/>
            </w:rPr>
          </w:pPr>
          <w:hyperlink w:anchor="_Toc47039895" w:history="1">
            <w:r w:rsidR="00987943" w:rsidRPr="00B328B8">
              <w:rPr>
                <w:rStyle w:val="Hyperlink"/>
                <w:rFonts w:ascii="Arial" w:hAnsi="Arial" w:cs="Arial"/>
                <w:noProof/>
                <w:lang w:eastAsia="en-US"/>
              </w:rPr>
              <w:t>Appendix 3B. – Quality analysis using the Downs and Black Checklist.</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2207720" w14:textId="1F466F65" w:rsidR="00987943" w:rsidRPr="00B328B8" w:rsidRDefault="004F2FDB">
          <w:pPr>
            <w:pStyle w:val="TOC2"/>
            <w:tabs>
              <w:tab w:val="right" w:leader="dot" w:pos="8188"/>
            </w:tabs>
            <w:rPr>
              <w:rFonts w:ascii="Arial" w:hAnsi="Arial" w:cs="Arial"/>
              <w:i w:val="0"/>
              <w:iCs w:val="0"/>
              <w:noProof/>
              <w:sz w:val="22"/>
              <w:szCs w:val="22"/>
            </w:rPr>
          </w:pPr>
          <w:hyperlink w:anchor="_Toc47039896" w:history="1">
            <w:r w:rsidR="00987943" w:rsidRPr="00B328B8">
              <w:rPr>
                <w:rStyle w:val="Hyperlink"/>
                <w:rFonts w:ascii="Arial" w:hAnsi="Arial" w:cs="Arial"/>
                <w:noProof/>
                <w:shd w:val="clear" w:color="auto" w:fill="FFFFFF"/>
              </w:rPr>
              <w:t>Appendix 4A - Study 1 ethics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286B96D" w14:textId="79F9D154" w:rsidR="00987943" w:rsidRPr="00B328B8" w:rsidRDefault="004F2FDB">
          <w:pPr>
            <w:pStyle w:val="TOC2"/>
            <w:tabs>
              <w:tab w:val="right" w:leader="dot" w:pos="8188"/>
            </w:tabs>
            <w:rPr>
              <w:rFonts w:ascii="Arial" w:hAnsi="Arial" w:cs="Arial"/>
              <w:i w:val="0"/>
              <w:iCs w:val="0"/>
              <w:noProof/>
              <w:sz w:val="22"/>
              <w:szCs w:val="22"/>
            </w:rPr>
          </w:pPr>
          <w:hyperlink w:anchor="_Toc47039897" w:history="1">
            <w:r w:rsidR="00987943" w:rsidRPr="00B328B8">
              <w:rPr>
                <w:rStyle w:val="Hyperlink"/>
                <w:rFonts w:ascii="Arial" w:hAnsi="Arial" w:cs="Arial"/>
                <w:noProof/>
              </w:rPr>
              <w:t>Appendix 4B – Study 1 questionnaire</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_Toc47039897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5846A48" w14:textId="5F58A78F" w:rsidR="00987943" w:rsidRPr="00B328B8" w:rsidRDefault="004F2FDB">
          <w:pPr>
            <w:pStyle w:val="TOC2"/>
            <w:tabs>
              <w:tab w:val="right" w:leader="dot" w:pos="8188"/>
            </w:tabs>
            <w:rPr>
              <w:rFonts w:ascii="Arial" w:hAnsi="Arial" w:cs="Arial"/>
              <w:i w:val="0"/>
              <w:iCs w:val="0"/>
              <w:noProof/>
              <w:sz w:val="22"/>
              <w:szCs w:val="22"/>
            </w:rPr>
          </w:pPr>
          <w:hyperlink w:anchor="_Toc47039898" w:history="1">
            <w:r w:rsidR="00987943" w:rsidRPr="00B328B8">
              <w:rPr>
                <w:rStyle w:val="Hyperlink"/>
                <w:rFonts w:ascii="Arial" w:hAnsi="Arial" w:cs="Arial"/>
                <w:noProof/>
              </w:rPr>
              <w:t>Appendix 4C. - Case vignettes used in the Study 1</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_Toc47039898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3EE3B46" w14:textId="7A0E5303" w:rsidR="00987943" w:rsidRPr="00B328B8" w:rsidRDefault="004F2FDB">
          <w:pPr>
            <w:pStyle w:val="TOC2"/>
            <w:tabs>
              <w:tab w:val="right" w:leader="dot" w:pos="8188"/>
            </w:tabs>
            <w:rPr>
              <w:rFonts w:ascii="Arial" w:hAnsi="Arial" w:cs="Arial"/>
              <w:i w:val="0"/>
              <w:iCs w:val="0"/>
              <w:noProof/>
              <w:sz w:val="22"/>
              <w:szCs w:val="22"/>
            </w:rPr>
          </w:pPr>
          <w:hyperlink w:anchor="_Toc47039899" w:history="1">
            <w:r w:rsidR="00987943" w:rsidRPr="00B328B8">
              <w:rPr>
                <w:rStyle w:val="Hyperlink"/>
                <w:rFonts w:ascii="Arial" w:hAnsi="Arial" w:cs="Arial"/>
                <w:noProof/>
                <w:shd w:val="clear" w:color="auto" w:fill="FFFFFF"/>
              </w:rPr>
              <w:t>Appendix 5A - Study 2 ethics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_Toc47039899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1564D4A8" w14:textId="421D51CE" w:rsidR="00987943" w:rsidRPr="00B328B8" w:rsidRDefault="004F2FDB">
          <w:pPr>
            <w:pStyle w:val="TOC2"/>
            <w:tabs>
              <w:tab w:val="right" w:leader="dot" w:pos="8188"/>
            </w:tabs>
            <w:rPr>
              <w:rFonts w:ascii="Arial" w:hAnsi="Arial" w:cs="Arial"/>
              <w:i w:val="0"/>
              <w:iCs w:val="0"/>
              <w:noProof/>
              <w:sz w:val="22"/>
              <w:szCs w:val="22"/>
            </w:rPr>
          </w:pPr>
          <w:hyperlink w:anchor="_Toc47039900" w:history="1">
            <w:r w:rsidR="00987943" w:rsidRPr="00B328B8">
              <w:rPr>
                <w:rStyle w:val="Hyperlink"/>
                <w:rFonts w:ascii="Arial" w:hAnsi="Arial" w:cs="Arial"/>
                <w:noProof/>
              </w:rPr>
              <w:t>Appendix 5B – Study 2 questionnaire</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_Toc47039900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583EFDFB" w14:textId="74F08698" w:rsidR="00987943" w:rsidRPr="00B328B8" w:rsidRDefault="004F2FDB">
          <w:pPr>
            <w:pStyle w:val="TOC2"/>
            <w:tabs>
              <w:tab w:val="right" w:leader="dot" w:pos="8188"/>
            </w:tabs>
            <w:rPr>
              <w:rFonts w:ascii="Arial" w:hAnsi="Arial" w:cs="Arial"/>
              <w:i w:val="0"/>
              <w:iCs w:val="0"/>
              <w:noProof/>
              <w:sz w:val="22"/>
              <w:szCs w:val="22"/>
            </w:rPr>
          </w:pPr>
          <w:hyperlink w:anchor="_Toc47039901" w:history="1">
            <w:r w:rsidR="00987943" w:rsidRPr="00B328B8">
              <w:rPr>
                <w:rStyle w:val="Hyperlink"/>
                <w:rFonts w:ascii="Arial" w:hAnsi="Arial" w:cs="Arial"/>
                <w:noProof/>
              </w:rPr>
              <w:t>Appendix 5C. – Case vignettes used in Study 2.</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_Toc47039901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3A274EE" w14:textId="22009DEB" w:rsidR="00987943" w:rsidRPr="00B328B8" w:rsidRDefault="004F2FDB">
          <w:pPr>
            <w:pStyle w:val="TOC2"/>
            <w:tabs>
              <w:tab w:val="right" w:leader="dot" w:pos="8188"/>
            </w:tabs>
            <w:rPr>
              <w:rFonts w:ascii="Arial" w:hAnsi="Arial" w:cs="Arial"/>
              <w:i w:val="0"/>
              <w:iCs w:val="0"/>
              <w:noProof/>
              <w:sz w:val="22"/>
              <w:szCs w:val="22"/>
            </w:rPr>
          </w:pPr>
          <w:hyperlink w:anchor="_Toc47039902" w:history="1">
            <w:r w:rsidR="00987943" w:rsidRPr="00B328B8">
              <w:rPr>
                <w:rStyle w:val="Hyperlink"/>
                <w:rFonts w:ascii="Arial" w:hAnsi="Arial" w:cs="Arial"/>
                <w:noProof/>
              </w:rPr>
              <w:t>Appendix 6A – Ethics approval for Study 3.</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_Toc47039902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A6C93C6" w14:textId="63DAA4CD" w:rsidR="00987943" w:rsidRPr="00B328B8" w:rsidRDefault="004F2FDB">
          <w:pPr>
            <w:pStyle w:val="TOC2"/>
            <w:tabs>
              <w:tab w:val="right" w:leader="dot" w:pos="8188"/>
            </w:tabs>
            <w:rPr>
              <w:rFonts w:ascii="Arial" w:hAnsi="Arial" w:cs="Arial"/>
              <w:i w:val="0"/>
              <w:iCs w:val="0"/>
              <w:noProof/>
              <w:sz w:val="22"/>
              <w:szCs w:val="22"/>
            </w:rPr>
          </w:pPr>
          <w:hyperlink w:anchor="_Toc47039903" w:history="1">
            <w:r w:rsidR="00987943" w:rsidRPr="00B328B8">
              <w:rPr>
                <w:rStyle w:val="Hyperlink"/>
                <w:rFonts w:ascii="Arial" w:hAnsi="Arial" w:cs="Arial"/>
                <w:noProof/>
              </w:rPr>
              <w:t>Appendix 6B – Study 3 questionnaire</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_Toc47039903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026DC715" w14:textId="220C5D92" w:rsidR="00987943" w:rsidRPr="00B328B8" w:rsidRDefault="004F2FDB">
          <w:pPr>
            <w:pStyle w:val="TOC2"/>
            <w:tabs>
              <w:tab w:val="right" w:leader="dot" w:pos="8188"/>
            </w:tabs>
            <w:rPr>
              <w:rFonts w:ascii="Arial" w:hAnsi="Arial" w:cs="Arial"/>
              <w:i w:val="0"/>
              <w:iCs w:val="0"/>
              <w:noProof/>
              <w:sz w:val="22"/>
              <w:szCs w:val="22"/>
            </w:rPr>
          </w:pPr>
          <w:hyperlink w:anchor="_Toc47039904" w:history="1">
            <w:r w:rsidR="00987943" w:rsidRPr="00B328B8">
              <w:rPr>
                <w:rStyle w:val="Hyperlink"/>
                <w:rFonts w:ascii="Arial" w:hAnsi="Arial" w:cs="Arial"/>
                <w:noProof/>
              </w:rPr>
              <w:t>Appendix 6C – Study 3a vignettes</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_Toc47039904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487B344A" w14:textId="5898FC07" w:rsidR="00987943" w:rsidRPr="00B328B8" w:rsidRDefault="004F2FDB">
          <w:pPr>
            <w:pStyle w:val="TOC2"/>
            <w:tabs>
              <w:tab w:val="right" w:leader="dot" w:pos="8188"/>
            </w:tabs>
            <w:rPr>
              <w:rFonts w:ascii="Arial" w:hAnsi="Arial" w:cs="Arial"/>
              <w:i w:val="0"/>
              <w:iCs w:val="0"/>
              <w:noProof/>
              <w:sz w:val="22"/>
              <w:szCs w:val="22"/>
            </w:rPr>
          </w:pPr>
          <w:hyperlink w:anchor="_Toc47039905" w:history="1">
            <w:r w:rsidR="00987943" w:rsidRPr="00B328B8">
              <w:rPr>
                <w:rStyle w:val="Hyperlink"/>
                <w:rFonts w:ascii="Arial" w:hAnsi="Arial" w:cs="Arial"/>
                <w:noProof/>
              </w:rPr>
              <w:t>Appendix 6D – Vignettes from study 3b</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_Toc47039905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3991D58D" w14:textId="08642986" w:rsidR="00987943" w:rsidRDefault="004F2FDB">
          <w:pPr>
            <w:pStyle w:val="TOC2"/>
            <w:tabs>
              <w:tab w:val="right" w:leader="dot" w:pos="8188"/>
            </w:tabs>
            <w:rPr>
              <w:rFonts w:cstheme="minorBidi"/>
              <w:i w:val="0"/>
              <w:iCs w:val="0"/>
              <w:noProof/>
              <w:sz w:val="22"/>
              <w:szCs w:val="22"/>
            </w:rPr>
          </w:pPr>
          <w:hyperlink w:anchor="_Toc47039906" w:history="1">
            <w:r w:rsidR="00987943" w:rsidRPr="00B328B8">
              <w:rPr>
                <w:rStyle w:val="Hyperlink"/>
                <w:rFonts w:ascii="Arial" w:hAnsi="Arial" w:cs="Arial"/>
                <w:noProof/>
              </w:rPr>
              <w:t>Appendix 6E – Vignettes from study 3c</w:t>
            </w:r>
            <w:r w:rsidR="00987943" w:rsidRPr="00B328B8">
              <w:rPr>
                <w:rFonts w:ascii="Arial" w:hAnsi="Arial" w:cs="Arial"/>
                <w:noProof/>
                <w:webHidden/>
              </w:rPr>
              <w:tab/>
            </w:r>
            <w:r w:rsidR="00987943" w:rsidRPr="00B328B8">
              <w:rPr>
                <w:rFonts w:ascii="Arial" w:hAnsi="Arial" w:cs="Arial"/>
                <w:noProof/>
                <w:webHidden/>
              </w:rPr>
              <w:fldChar w:fldCharType="begin"/>
            </w:r>
            <w:r w:rsidR="00987943" w:rsidRPr="00B328B8">
              <w:rPr>
                <w:rFonts w:ascii="Arial" w:hAnsi="Arial" w:cs="Arial"/>
                <w:noProof/>
                <w:webHidden/>
              </w:rPr>
              <w:instrText xml:space="preserve"> PAGEREF _Toc47039906 \h </w:instrText>
            </w:r>
            <w:r w:rsidR="00987943" w:rsidRPr="00B328B8">
              <w:rPr>
                <w:rFonts w:ascii="Arial" w:hAnsi="Arial" w:cs="Arial"/>
                <w:noProof/>
                <w:webHidden/>
              </w:rPr>
            </w:r>
            <w:r w:rsidR="00987943" w:rsidRPr="00B328B8">
              <w:rPr>
                <w:rFonts w:ascii="Arial" w:hAnsi="Arial" w:cs="Arial"/>
                <w:noProof/>
                <w:webHidden/>
              </w:rPr>
              <w:fldChar w:fldCharType="separate"/>
            </w:r>
            <w:r w:rsidR="00694354">
              <w:rPr>
                <w:rFonts w:ascii="Arial" w:hAnsi="Arial" w:cs="Arial"/>
                <w:noProof/>
                <w:webHidden/>
              </w:rPr>
              <w:t>4</w:t>
            </w:r>
            <w:r w:rsidR="00987943" w:rsidRPr="00B328B8">
              <w:rPr>
                <w:rFonts w:ascii="Arial" w:hAnsi="Arial" w:cs="Arial"/>
                <w:noProof/>
                <w:webHidden/>
              </w:rPr>
              <w:fldChar w:fldCharType="end"/>
            </w:r>
          </w:hyperlink>
        </w:p>
        <w:p w14:paraId="7AD68DCF" w14:textId="434E210C" w:rsidR="003941AA" w:rsidRPr="00EA0DC7" w:rsidRDefault="009C2DF8" w:rsidP="005C5D5B">
          <w:pPr>
            <w:rPr>
              <w:rFonts w:cs="Arial"/>
              <w:szCs w:val="24"/>
            </w:rPr>
          </w:pPr>
          <w:r w:rsidRPr="00EA0DC7">
            <w:rPr>
              <w:rFonts w:cs="Arial"/>
              <w:b/>
              <w:bCs/>
              <w:szCs w:val="24"/>
            </w:rPr>
            <w:fldChar w:fldCharType="end"/>
          </w:r>
        </w:p>
      </w:sdtContent>
    </w:sdt>
    <w:p w14:paraId="3B02C42E" w14:textId="5F332850" w:rsidR="00FE01F0" w:rsidRPr="00EA0DC7" w:rsidRDefault="00FE01F0">
      <w:pPr>
        <w:spacing w:line="276" w:lineRule="auto"/>
        <w:jc w:val="left"/>
        <w:rPr>
          <w:rFonts w:cs="Arial"/>
          <w:szCs w:val="24"/>
        </w:rPr>
      </w:pPr>
      <w:r w:rsidRPr="00EA0DC7">
        <w:rPr>
          <w:rFonts w:cs="Arial"/>
          <w:szCs w:val="24"/>
        </w:rPr>
        <w:br w:type="page"/>
      </w:r>
    </w:p>
    <w:p w14:paraId="489E759B" w14:textId="7C3214A9" w:rsidR="008A7246" w:rsidRPr="00EA0DC7" w:rsidRDefault="00FE01F0" w:rsidP="00FE01F0">
      <w:pPr>
        <w:pStyle w:val="Heading1"/>
        <w:numPr>
          <w:ilvl w:val="0"/>
          <w:numId w:val="0"/>
        </w:numPr>
      </w:pPr>
      <w:bookmarkStart w:id="3" w:name="_Toc47039819"/>
      <w:r w:rsidRPr="00EA0DC7">
        <w:lastRenderedPageBreak/>
        <w:t>List of Figures</w:t>
      </w:r>
      <w:bookmarkEnd w:id="3"/>
    </w:p>
    <w:p w14:paraId="2DCB9C1B" w14:textId="67FAA6AE" w:rsidR="00987943" w:rsidRDefault="00224A1D">
      <w:pPr>
        <w:pStyle w:val="TableofFigures"/>
        <w:tabs>
          <w:tab w:val="right" w:leader="dot" w:pos="8188"/>
        </w:tabs>
        <w:rPr>
          <w:rFonts w:asciiTheme="minorHAnsi" w:hAnsiTheme="minorHAnsi"/>
          <w:noProof/>
          <w:sz w:val="22"/>
        </w:rPr>
      </w:pPr>
      <w:r w:rsidRPr="00EA0DC7">
        <w:fldChar w:fldCharType="begin"/>
      </w:r>
      <w:r w:rsidRPr="00EA0DC7">
        <w:instrText xml:space="preserve"> TOC \h \z \c "Figure" </w:instrText>
      </w:r>
      <w:r w:rsidRPr="00EA0DC7">
        <w:fldChar w:fldCharType="separate"/>
      </w:r>
      <w:hyperlink w:anchor="_Toc47039907" w:history="1">
        <w:r w:rsidR="00987943" w:rsidRPr="00FF3842">
          <w:rPr>
            <w:rStyle w:val="Hyperlink"/>
            <w:rFonts w:eastAsia="Calibri" w:cs="Arial"/>
            <w:bCs/>
            <w:noProof/>
          </w:rPr>
          <w:t>Figure 1.1. Hot-cross bun model showing the symptomatology of depression (adapted from Padesky, &amp; Mooney, 1990).</w:t>
        </w:r>
        <w:r w:rsidR="00987943">
          <w:rPr>
            <w:noProof/>
            <w:webHidden/>
          </w:rPr>
          <w:tab/>
        </w:r>
        <w:r w:rsidR="00987943">
          <w:rPr>
            <w:noProof/>
            <w:webHidden/>
          </w:rPr>
          <w:fldChar w:fldCharType="begin"/>
        </w:r>
        <w:r w:rsidR="00987943">
          <w:rPr>
            <w:noProof/>
            <w:webHidden/>
          </w:rPr>
          <w:instrText xml:space="preserve"> PAGEREF _Toc47039907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773094DE" w14:textId="4E921BA8" w:rsidR="00987943" w:rsidRDefault="004F2FDB">
      <w:pPr>
        <w:pStyle w:val="TableofFigures"/>
        <w:tabs>
          <w:tab w:val="right" w:leader="dot" w:pos="8188"/>
        </w:tabs>
        <w:rPr>
          <w:rFonts w:asciiTheme="minorHAnsi" w:hAnsiTheme="minorHAnsi"/>
          <w:noProof/>
          <w:sz w:val="22"/>
        </w:rPr>
      </w:pPr>
      <w:hyperlink w:anchor="_Toc47039908" w:history="1">
        <w:r w:rsidR="00987943" w:rsidRPr="00FF3842">
          <w:rPr>
            <w:rStyle w:val="Hyperlink"/>
            <w:noProof/>
          </w:rPr>
          <w:t>Figure 2.1. Number of new models from each decade.</w:t>
        </w:r>
        <w:r w:rsidR="00987943">
          <w:rPr>
            <w:noProof/>
            <w:webHidden/>
          </w:rPr>
          <w:tab/>
        </w:r>
        <w:r w:rsidR="00987943">
          <w:rPr>
            <w:noProof/>
            <w:webHidden/>
          </w:rPr>
          <w:fldChar w:fldCharType="begin"/>
        </w:r>
        <w:r w:rsidR="00987943">
          <w:rPr>
            <w:noProof/>
            <w:webHidden/>
          </w:rPr>
          <w:instrText xml:space="preserve"> PAGEREF _Toc47039908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1DCBF96B" w14:textId="4EBF923F" w:rsidR="00987943" w:rsidRDefault="004F2FDB">
      <w:pPr>
        <w:pStyle w:val="TableofFigures"/>
        <w:tabs>
          <w:tab w:val="right" w:leader="dot" w:pos="8188"/>
        </w:tabs>
        <w:rPr>
          <w:rFonts w:asciiTheme="minorHAnsi" w:hAnsiTheme="minorHAnsi"/>
          <w:noProof/>
          <w:sz w:val="22"/>
        </w:rPr>
      </w:pPr>
      <w:hyperlink w:anchor="_Toc47039909" w:history="1">
        <w:r w:rsidR="00987943" w:rsidRPr="00FF3842">
          <w:rPr>
            <w:rStyle w:val="Hyperlink"/>
            <w:noProof/>
          </w:rPr>
          <w:t>Figure 3.1. PRISMA flow diagram for article selection.</w:t>
        </w:r>
        <w:r w:rsidR="00987943">
          <w:rPr>
            <w:noProof/>
            <w:webHidden/>
          </w:rPr>
          <w:tab/>
        </w:r>
        <w:r w:rsidR="00987943">
          <w:rPr>
            <w:noProof/>
            <w:webHidden/>
          </w:rPr>
          <w:fldChar w:fldCharType="begin"/>
        </w:r>
        <w:r w:rsidR="00987943">
          <w:rPr>
            <w:noProof/>
            <w:webHidden/>
          </w:rPr>
          <w:instrText xml:space="preserve"> PAGEREF _Toc47039909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352C3F96" w14:textId="72D5D0B7" w:rsidR="00987943" w:rsidRDefault="004F2FDB">
      <w:pPr>
        <w:pStyle w:val="TableofFigures"/>
        <w:tabs>
          <w:tab w:val="right" w:leader="dot" w:pos="8188"/>
        </w:tabs>
        <w:rPr>
          <w:rFonts w:asciiTheme="minorHAnsi" w:hAnsiTheme="minorHAnsi"/>
          <w:noProof/>
          <w:sz w:val="22"/>
        </w:rPr>
      </w:pPr>
      <w:hyperlink w:anchor="_Toc47039910" w:history="1">
        <w:r w:rsidR="00987943" w:rsidRPr="00FF3842">
          <w:rPr>
            <w:rStyle w:val="Hyperlink"/>
            <w:noProof/>
          </w:rPr>
          <w:t>Figure 3.2. Forest plot for patient effect sizes.</w:t>
        </w:r>
        <w:r w:rsidR="00987943">
          <w:rPr>
            <w:noProof/>
            <w:webHidden/>
          </w:rPr>
          <w:tab/>
        </w:r>
        <w:r w:rsidR="00987943">
          <w:rPr>
            <w:noProof/>
            <w:webHidden/>
          </w:rPr>
          <w:fldChar w:fldCharType="begin"/>
        </w:r>
        <w:r w:rsidR="00987943">
          <w:rPr>
            <w:noProof/>
            <w:webHidden/>
          </w:rPr>
          <w:instrText xml:space="preserve"> PAGEREF _Toc47039910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7D901C6E" w14:textId="28DF2A55" w:rsidR="00987943" w:rsidRDefault="004F2FDB">
      <w:pPr>
        <w:pStyle w:val="TableofFigures"/>
        <w:tabs>
          <w:tab w:val="right" w:leader="dot" w:pos="8188"/>
        </w:tabs>
        <w:rPr>
          <w:rFonts w:asciiTheme="minorHAnsi" w:hAnsiTheme="minorHAnsi"/>
          <w:noProof/>
          <w:sz w:val="22"/>
        </w:rPr>
      </w:pPr>
      <w:hyperlink w:anchor="_Toc47039911" w:history="1">
        <w:r w:rsidR="00987943" w:rsidRPr="00FF3842">
          <w:rPr>
            <w:rStyle w:val="Hyperlink"/>
            <w:noProof/>
          </w:rPr>
          <w:t>Figure 3.3. Study effect sizes moderated by (a) Quality Index score and (b) the number of supervision sessions per week.</w:t>
        </w:r>
        <w:r w:rsidR="00987943">
          <w:rPr>
            <w:noProof/>
            <w:webHidden/>
          </w:rPr>
          <w:tab/>
        </w:r>
        <w:r w:rsidR="00987943">
          <w:rPr>
            <w:noProof/>
            <w:webHidden/>
          </w:rPr>
          <w:fldChar w:fldCharType="begin"/>
        </w:r>
        <w:r w:rsidR="00987943">
          <w:rPr>
            <w:noProof/>
            <w:webHidden/>
          </w:rPr>
          <w:instrText xml:space="preserve"> PAGEREF _Toc47039911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1C9F97FB" w14:textId="6B9C22EC" w:rsidR="00987943" w:rsidRDefault="004F2FDB">
      <w:pPr>
        <w:pStyle w:val="TableofFigures"/>
        <w:tabs>
          <w:tab w:val="right" w:leader="dot" w:pos="8188"/>
        </w:tabs>
        <w:rPr>
          <w:rFonts w:asciiTheme="minorHAnsi" w:hAnsiTheme="minorHAnsi"/>
          <w:noProof/>
          <w:sz w:val="22"/>
        </w:rPr>
      </w:pPr>
      <w:hyperlink w:anchor="_Toc47039912" w:history="1">
        <w:r w:rsidR="00987943" w:rsidRPr="00FF3842">
          <w:rPr>
            <w:rStyle w:val="Hyperlink"/>
            <w:noProof/>
          </w:rPr>
          <w:t>Figure 3.4. Forest plot for supervisee effect sizes.</w:t>
        </w:r>
        <w:r w:rsidR="00987943">
          <w:rPr>
            <w:noProof/>
            <w:webHidden/>
          </w:rPr>
          <w:tab/>
        </w:r>
        <w:r w:rsidR="00987943">
          <w:rPr>
            <w:noProof/>
            <w:webHidden/>
          </w:rPr>
          <w:fldChar w:fldCharType="begin"/>
        </w:r>
        <w:r w:rsidR="00987943">
          <w:rPr>
            <w:noProof/>
            <w:webHidden/>
          </w:rPr>
          <w:instrText xml:space="preserve"> PAGEREF _Toc47039912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319640F1" w14:textId="49A32AF9" w:rsidR="00987943" w:rsidRDefault="004F2FDB">
      <w:pPr>
        <w:pStyle w:val="TableofFigures"/>
        <w:tabs>
          <w:tab w:val="right" w:leader="dot" w:pos="8188"/>
        </w:tabs>
        <w:rPr>
          <w:rFonts w:asciiTheme="minorHAnsi" w:hAnsiTheme="minorHAnsi"/>
          <w:noProof/>
          <w:sz w:val="22"/>
        </w:rPr>
      </w:pPr>
      <w:hyperlink w:anchor="_Toc47039913" w:history="1">
        <w:r w:rsidR="00987943" w:rsidRPr="00FF3842">
          <w:rPr>
            <w:rStyle w:val="Hyperlink"/>
            <w:noProof/>
          </w:rPr>
          <w:t>Figure 3.5. Study effect sizes in the subgroup with a clinical population moderated by Quality Index score.</w:t>
        </w:r>
        <w:r w:rsidR="00987943">
          <w:rPr>
            <w:noProof/>
            <w:webHidden/>
          </w:rPr>
          <w:tab/>
        </w:r>
        <w:r w:rsidR="00987943">
          <w:rPr>
            <w:noProof/>
            <w:webHidden/>
          </w:rPr>
          <w:fldChar w:fldCharType="begin"/>
        </w:r>
        <w:r w:rsidR="00987943">
          <w:rPr>
            <w:noProof/>
            <w:webHidden/>
          </w:rPr>
          <w:instrText xml:space="preserve"> PAGEREF _Toc47039913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6C461F56" w14:textId="0B131824" w:rsidR="00987943" w:rsidRDefault="004F2FDB">
      <w:pPr>
        <w:pStyle w:val="TableofFigures"/>
        <w:tabs>
          <w:tab w:val="right" w:leader="dot" w:pos="8188"/>
        </w:tabs>
        <w:rPr>
          <w:rFonts w:asciiTheme="minorHAnsi" w:hAnsiTheme="minorHAnsi"/>
          <w:noProof/>
          <w:sz w:val="22"/>
        </w:rPr>
      </w:pPr>
      <w:hyperlink w:anchor="_Toc47039914" w:history="1">
        <w:r w:rsidR="00987943" w:rsidRPr="00FF3842">
          <w:rPr>
            <w:rStyle w:val="Hyperlink"/>
            <w:noProof/>
          </w:rPr>
          <w:t>Figure 3.6. Funnel plot indicating no publication bias for supervisee effect studies.</w:t>
        </w:r>
        <w:r w:rsidR="00987943">
          <w:rPr>
            <w:noProof/>
            <w:webHidden/>
          </w:rPr>
          <w:tab/>
        </w:r>
        <w:r w:rsidR="00987943">
          <w:rPr>
            <w:noProof/>
            <w:webHidden/>
          </w:rPr>
          <w:fldChar w:fldCharType="begin"/>
        </w:r>
        <w:r w:rsidR="00987943">
          <w:rPr>
            <w:noProof/>
            <w:webHidden/>
          </w:rPr>
          <w:instrText xml:space="preserve"> PAGEREF _Toc47039914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7E7497B9" w14:textId="48EFACF9" w:rsidR="00EB5A5C" w:rsidRPr="00EA0DC7" w:rsidRDefault="00224A1D">
      <w:pPr>
        <w:spacing w:line="276" w:lineRule="auto"/>
        <w:jc w:val="left"/>
        <w:rPr>
          <w:rFonts w:cs="Arial"/>
          <w:b/>
          <w:sz w:val="32"/>
          <w:szCs w:val="32"/>
        </w:rPr>
      </w:pPr>
      <w:r w:rsidRPr="00EA0DC7">
        <w:fldChar w:fldCharType="end"/>
      </w:r>
      <w:r w:rsidR="00EB5A5C" w:rsidRPr="00EA0DC7">
        <w:br w:type="page"/>
      </w:r>
    </w:p>
    <w:p w14:paraId="2A5CAA2B" w14:textId="058534DB" w:rsidR="008A7246" w:rsidRPr="00EA0DC7" w:rsidRDefault="009C2DF8" w:rsidP="002137A6">
      <w:pPr>
        <w:pStyle w:val="Heading1"/>
        <w:numPr>
          <w:ilvl w:val="0"/>
          <w:numId w:val="0"/>
        </w:numPr>
      </w:pPr>
      <w:bookmarkStart w:id="4" w:name="_Toc47039820"/>
      <w:r w:rsidRPr="00EA0DC7">
        <w:lastRenderedPageBreak/>
        <w:t>List of T</w:t>
      </w:r>
      <w:r w:rsidR="00FE01F0" w:rsidRPr="00EA0DC7">
        <w:t>ables</w:t>
      </w:r>
      <w:bookmarkEnd w:id="4"/>
    </w:p>
    <w:p w14:paraId="55A08D76" w14:textId="51261E56" w:rsidR="00987943" w:rsidRDefault="00224A1D">
      <w:pPr>
        <w:pStyle w:val="TableofFigures"/>
        <w:tabs>
          <w:tab w:val="right" w:leader="dot" w:pos="8188"/>
        </w:tabs>
        <w:rPr>
          <w:rFonts w:asciiTheme="minorHAnsi" w:hAnsiTheme="minorHAnsi"/>
          <w:noProof/>
          <w:sz w:val="22"/>
        </w:rPr>
      </w:pPr>
      <w:r w:rsidRPr="00EA0DC7">
        <w:fldChar w:fldCharType="begin"/>
      </w:r>
      <w:r w:rsidRPr="00EA0DC7">
        <w:instrText xml:space="preserve"> TOC \h \z \c "Table" </w:instrText>
      </w:r>
      <w:r w:rsidRPr="00EA0DC7">
        <w:fldChar w:fldCharType="separate"/>
      </w:r>
      <w:hyperlink w:anchor="_Toc47039915" w:history="1">
        <w:r w:rsidR="00987943" w:rsidRPr="00ED6F29">
          <w:rPr>
            <w:rStyle w:val="Hyperlink"/>
            <w:noProof/>
          </w:rPr>
          <w:t>Table 1.1. Common depressive and bipolar disorders with their diagnostic criteria in the DSM-5.</w:t>
        </w:r>
        <w:r w:rsidR="00987943">
          <w:rPr>
            <w:noProof/>
            <w:webHidden/>
          </w:rPr>
          <w:tab/>
        </w:r>
        <w:r w:rsidR="00987943">
          <w:rPr>
            <w:noProof/>
            <w:webHidden/>
          </w:rPr>
          <w:fldChar w:fldCharType="begin"/>
        </w:r>
        <w:r w:rsidR="00987943">
          <w:rPr>
            <w:noProof/>
            <w:webHidden/>
          </w:rPr>
          <w:instrText xml:space="preserve"> PAGEREF _Toc47039915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0B5FDABC" w14:textId="056B0D32" w:rsidR="00987943" w:rsidRDefault="004F2FDB">
      <w:pPr>
        <w:pStyle w:val="TableofFigures"/>
        <w:tabs>
          <w:tab w:val="right" w:leader="dot" w:pos="8188"/>
        </w:tabs>
        <w:rPr>
          <w:rFonts w:asciiTheme="minorHAnsi" w:hAnsiTheme="minorHAnsi"/>
          <w:noProof/>
          <w:sz w:val="22"/>
        </w:rPr>
      </w:pPr>
      <w:hyperlink w:anchor="_Toc47039916" w:history="1">
        <w:r w:rsidR="00987943" w:rsidRPr="00ED6F29">
          <w:rPr>
            <w:rStyle w:val="Hyperlink"/>
            <w:noProof/>
          </w:rPr>
          <w:t>Table 1.2. NICE guidelines (CG90) - Depression in adults: The treatment and management of depression in adults.</w:t>
        </w:r>
        <w:r w:rsidR="00987943">
          <w:rPr>
            <w:noProof/>
            <w:webHidden/>
          </w:rPr>
          <w:tab/>
        </w:r>
        <w:r w:rsidR="00987943">
          <w:rPr>
            <w:noProof/>
            <w:webHidden/>
          </w:rPr>
          <w:fldChar w:fldCharType="begin"/>
        </w:r>
        <w:r w:rsidR="00987943">
          <w:rPr>
            <w:noProof/>
            <w:webHidden/>
          </w:rPr>
          <w:instrText xml:space="preserve"> PAGEREF _Toc47039916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7757233A" w14:textId="703606EA" w:rsidR="00987943" w:rsidRDefault="004F2FDB">
      <w:pPr>
        <w:pStyle w:val="TableofFigures"/>
        <w:tabs>
          <w:tab w:val="right" w:leader="dot" w:pos="8188"/>
        </w:tabs>
        <w:rPr>
          <w:rFonts w:asciiTheme="minorHAnsi" w:hAnsiTheme="minorHAnsi"/>
          <w:noProof/>
          <w:sz w:val="22"/>
        </w:rPr>
      </w:pPr>
      <w:hyperlink w:anchor="_Toc47039917" w:history="1">
        <w:r w:rsidR="00987943" w:rsidRPr="00ED6F29">
          <w:rPr>
            <w:rStyle w:val="Hyperlink"/>
            <w:noProof/>
          </w:rPr>
          <w:t>Table 2.1. Basic information about models including coverage of core factors and number of identified elements (* indicates models that were not the original text).</w:t>
        </w:r>
        <w:r w:rsidR="00987943">
          <w:rPr>
            <w:noProof/>
            <w:webHidden/>
          </w:rPr>
          <w:tab/>
        </w:r>
        <w:r w:rsidR="00987943">
          <w:rPr>
            <w:noProof/>
            <w:webHidden/>
          </w:rPr>
          <w:fldChar w:fldCharType="begin"/>
        </w:r>
        <w:r w:rsidR="00987943">
          <w:rPr>
            <w:noProof/>
            <w:webHidden/>
          </w:rPr>
          <w:instrText xml:space="preserve"> PAGEREF _Toc47039917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64EF6C77" w14:textId="15AD4393" w:rsidR="00987943" w:rsidRDefault="004F2FDB">
      <w:pPr>
        <w:pStyle w:val="TableofFigures"/>
        <w:tabs>
          <w:tab w:val="right" w:leader="dot" w:pos="8188"/>
        </w:tabs>
        <w:rPr>
          <w:rFonts w:asciiTheme="minorHAnsi" w:hAnsiTheme="minorHAnsi"/>
          <w:noProof/>
          <w:sz w:val="22"/>
        </w:rPr>
      </w:pPr>
      <w:hyperlink w:anchor="_Toc47039918" w:history="1">
        <w:r w:rsidR="00987943" w:rsidRPr="00ED6F29">
          <w:rPr>
            <w:rStyle w:val="Hyperlink"/>
            <w:noProof/>
          </w:rPr>
          <w:t>Table 2.2. Focus on the aspects of individuals involved in the supervision process.</w:t>
        </w:r>
        <w:r w:rsidR="00987943">
          <w:rPr>
            <w:noProof/>
            <w:webHidden/>
          </w:rPr>
          <w:tab/>
        </w:r>
        <w:r w:rsidR="00987943">
          <w:rPr>
            <w:noProof/>
            <w:webHidden/>
          </w:rPr>
          <w:fldChar w:fldCharType="begin"/>
        </w:r>
        <w:r w:rsidR="00987943">
          <w:rPr>
            <w:noProof/>
            <w:webHidden/>
          </w:rPr>
          <w:instrText xml:space="preserve"> PAGEREF _Toc47039918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50210FEF" w14:textId="0A225F56" w:rsidR="00987943" w:rsidRDefault="004F2FDB">
      <w:pPr>
        <w:pStyle w:val="TableofFigures"/>
        <w:tabs>
          <w:tab w:val="right" w:leader="dot" w:pos="8188"/>
        </w:tabs>
        <w:rPr>
          <w:rFonts w:asciiTheme="minorHAnsi" w:hAnsiTheme="minorHAnsi"/>
          <w:noProof/>
          <w:sz w:val="22"/>
        </w:rPr>
      </w:pPr>
      <w:hyperlink w:anchor="_Toc47039919" w:history="1">
        <w:r w:rsidR="00987943" w:rsidRPr="00ED6F29">
          <w:rPr>
            <w:rStyle w:val="Hyperlink"/>
            <w:noProof/>
          </w:rPr>
          <w:t>Table 2.3. Number of models focusing on each ‘content of supervision sessions’ element.</w:t>
        </w:r>
        <w:r w:rsidR="00987943">
          <w:rPr>
            <w:noProof/>
            <w:webHidden/>
          </w:rPr>
          <w:tab/>
        </w:r>
        <w:r w:rsidR="00987943">
          <w:rPr>
            <w:noProof/>
            <w:webHidden/>
          </w:rPr>
          <w:fldChar w:fldCharType="begin"/>
        </w:r>
        <w:r w:rsidR="00987943">
          <w:rPr>
            <w:noProof/>
            <w:webHidden/>
          </w:rPr>
          <w:instrText xml:space="preserve"> PAGEREF _Toc47039919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1F6D2396" w14:textId="7824BF00" w:rsidR="00987943" w:rsidRDefault="004F2FDB">
      <w:pPr>
        <w:pStyle w:val="TableofFigures"/>
        <w:tabs>
          <w:tab w:val="right" w:leader="dot" w:pos="8188"/>
        </w:tabs>
        <w:rPr>
          <w:rFonts w:asciiTheme="minorHAnsi" w:hAnsiTheme="minorHAnsi"/>
          <w:noProof/>
          <w:sz w:val="22"/>
        </w:rPr>
      </w:pPr>
      <w:hyperlink w:anchor="_Toc47039920" w:history="1">
        <w:r w:rsidR="00987943" w:rsidRPr="00ED6F29">
          <w:rPr>
            <w:rStyle w:val="Hyperlink"/>
            <w:noProof/>
          </w:rPr>
          <w:t>Table 2.4. Empirical testing of models after their development.</w:t>
        </w:r>
        <w:r w:rsidR="00987943">
          <w:rPr>
            <w:noProof/>
            <w:webHidden/>
          </w:rPr>
          <w:tab/>
        </w:r>
        <w:r w:rsidR="00987943">
          <w:rPr>
            <w:noProof/>
            <w:webHidden/>
          </w:rPr>
          <w:fldChar w:fldCharType="begin"/>
        </w:r>
        <w:r w:rsidR="00987943">
          <w:rPr>
            <w:noProof/>
            <w:webHidden/>
          </w:rPr>
          <w:instrText xml:space="preserve"> PAGEREF _Toc47039920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38FAEA37" w14:textId="5379B5E9" w:rsidR="00987943" w:rsidRDefault="004F2FDB">
      <w:pPr>
        <w:pStyle w:val="TableofFigures"/>
        <w:tabs>
          <w:tab w:val="right" w:leader="dot" w:pos="8188"/>
        </w:tabs>
        <w:rPr>
          <w:rFonts w:asciiTheme="minorHAnsi" w:hAnsiTheme="minorHAnsi"/>
          <w:noProof/>
          <w:sz w:val="22"/>
        </w:rPr>
      </w:pPr>
      <w:hyperlink w:anchor="_Toc47039921" w:history="1">
        <w:r w:rsidR="00987943" w:rsidRPr="00ED6F29">
          <w:rPr>
            <w:rStyle w:val="Hyperlink"/>
            <w:noProof/>
          </w:rPr>
          <w:t>Table 2.5. Change over time in focus on main three factors and people involved in supervision.</w:t>
        </w:r>
        <w:r w:rsidR="00987943">
          <w:rPr>
            <w:noProof/>
            <w:webHidden/>
          </w:rPr>
          <w:tab/>
        </w:r>
        <w:r w:rsidR="00987943">
          <w:rPr>
            <w:noProof/>
            <w:webHidden/>
          </w:rPr>
          <w:fldChar w:fldCharType="begin"/>
        </w:r>
        <w:r w:rsidR="00987943">
          <w:rPr>
            <w:noProof/>
            <w:webHidden/>
          </w:rPr>
          <w:instrText xml:space="preserve"> PAGEREF _Toc47039921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0CF806B7" w14:textId="03C74BF4" w:rsidR="00987943" w:rsidRDefault="004F2FDB">
      <w:pPr>
        <w:pStyle w:val="TableofFigures"/>
        <w:tabs>
          <w:tab w:val="right" w:leader="dot" w:pos="8188"/>
        </w:tabs>
        <w:rPr>
          <w:rFonts w:asciiTheme="minorHAnsi" w:hAnsiTheme="minorHAnsi"/>
          <w:noProof/>
          <w:sz w:val="22"/>
        </w:rPr>
      </w:pPr>
      <w:hyperlink w:anchor="_Toc47039922" w:history="1">
        <w:r w:rsidR="00987943" w:rsidRPr="00ED6F29">
          <w:rPr>
            <w:rStyle w:val="Hyperlink"/>
            <w:noProof/>
          </w:rPr>
          <w:t>Table 2.6. Association between the supervisor aspects clusters and supervisee aspects clusters. Percentages indicate the proportion of models in a supervisor aspects cluster that correspond to those in the supervisee aspects cluster.</w:t>
        </w:r>
        <w:r w:rsidR="00987943">
          <w:rPr>
            <w:noProof/>
            <w:webHidden/>
          </w:rPr>
          <w:tab/>
        </w:r>
        <w:r w:rsidR="00987943">
          <w:rPr>
            <w:noProof/>
            <w:webHidden/>
          </w:rPr>
          <w:fldChar w:fldCharType="begin"/>
        </w:r>
        <w:r w:rsidR="00987943">
          <w:rPr>
            <w:noProof/>
            <w:webHidden/>
          </w:rPr>
          <w:instrText xml:space="preserve"> PAGEREF _Toc47039922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22265FF1" w14:textId="5C241958" w:rsidR="00987943" w:rsidRDefault="004F2FDB">
      <w:pPr>
        <w:pStyle w:val="TableofFigures"/>
        <w:tabs>
          <w:tab w:val="right" w:leader="dot" w:pos="8188"/>
        </w:tabs>
        <w:rPr>
          <w:rFonts w:asciiTheme="minorHAnsi" w:hAnsiTheme="minorHAnsi"/>
          <w:noProof/>
          <w:sz w:val="22"/>
        </w:rPr>
      </w:pPr>
      <w:hyperlink w:anchor="_Toc47039923" w:history="1">
        <w:r w:rsidR="00987943" w:rsidRPr="00ED6F29">
          <w:rPr>
            <w:rStyle w:val="Hyperlink"/>
            <w:noProof/>
          </w:rPr>
          <w:t>Table 3.1. Studies investigating the impact of supervision on patient outcomes.</w:t>
        </w:r>
        <w:r w:rsidR="00987943">
          <w:rPr>
            <w:noProof/>
            <w:webHidden/>
          </w:rPr>
          <w:tab/>
        </w:r>
        <w:r w:rsidR="00987943">
          <w:rPr>
            <w:noProof/>
            <w:webHidden/>
          </w:rPr>
          <w:fldChar w:fldCharType="begin"/>
        </w:r>
        <w:r w:rsidR="00987943">
          <w:rPr>
            <w:noProof/>
            <w:webHidden/>
          </w:rPr>
          <w:instrText xml:space="preserve"> PAGEREF _Toc47039923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353B62A3" w14:textId="77C0B17D" w:rsidR="00987943" w:rsidRDefault="004F2FDB">
      <w:pPr>
        <w:pStyle w:val="TableofFigures"/>
        <w:tabs>
          <w:tab w:val="right" w:leader="dot" w:pos="8188"/>
        </w:tabs>
        <w:rPr>
          <w:rFonts w:asciiTheme="minorHAnsi" w:hAnsiTheme="minorHAnsi"/>
          <w:noProof/>
          <w:sz w:val="22"/>
        </w:rPr>
      </w:pPr>
      <w:hyperlink w:anchor="_Toc47039924" w:history="1">
        <w:r w:rsidR="00987943" w:rsidRPr="00ED6F29">
          <w:rPr>
            <w:rStyle w:val="Hyperlink"/>
            <w:noProof/>
          </w:rPr>
          <w:t>Table 3.2. Studies investigating the impact of supervision on supervisee outcomes.</w:t>
        </w:r>
        <w:r w:rsidR="00987943">
          <w:rPr>
            <w:noProof/>
            <w:webHidden/>
          </w:rPr>
          <w:tab/>
        </w:r>
        <w:r w:rsidR="00987943">
          <w:rPr>
            <w:noProof/>
            <w:webHidden/>
          </w:rPr>
          <w:fldChar w:fldCharType="begin"/>
        </w:r>
        <w:r w:rsidR="00987943">
          <w:rPr>
            <w:noProof/>
            <w:webHidden/>
          </w:rPr>
          <w:instrText xml:space="preserve"> PAGEREF _Toc47039924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4243E8FF" w14:textId="00BEDF4F" w:rsidR="00987943" w:rsidRDefault="004F2FDB">
      <w:pPr>
        <w:pStyle w:val="TableofFigures"/>
        <w:tabs>
          <w:tab w:val="right" w:leader="dot" w:pos="8188"/>
        </w:tabs>
        <w:rPr>
          <w:rFonts w:asciiTheme="minorHAnsi" w:hAnsiTheme="minorHAnsi"/>
          <w:noProof/>
          <w:sz w:val="22"/>
        </w:rPr>
      </w:pPr>
      <w:hyperlink w:anchor="_Toc47039925" w:history="1">
        <w:r w:rsidR="00987943" w:rsidRPr="00ED6F29">
          <w:rPr>
            <w:rStyle w:val="Hyperlink"/>
            <w:noProof/>
          </w:rPr>
          <w:t>Table 3.3. Subgroup analyses for studies investigating patient effects.</w:t>
        </w:r>
        <w:r w:rsidR="00987943">
          <w:rPr>
            <w:noProof/>
            <w:webHidden/>
          </w:rPr>
          <w:tab/>
        </w:r>
        <w:r w:rsidR="00987943">
          <w:rPr>
            <w:noProof/>
            <w:webHidden/>
          </w:rPr>
          <w:fldChar w:fldCharType="begin"/>
        </w:r>
        <w:r w:rsidR="00987943">
          <w:rPr>
            <w:noProof/>
            <w:webHidden/>
          </w:rPr>
          <w:instrText xml:space="preserve"> PAGEREF _Toc47039925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424E5A0D" w14:textId="763988B4" w:rsidR="00987943" w:rsidRDefault="004F2FDB">
      <w:pPr>
        <w:pStyle w:val="TableofFigures"/>
        <w:tabs>
          <w:tab w:val="right" w:leader="dot" w:pos="8188"/>
        </w:tabs>
        <w:rPr>
          <w:rFonts w:asciiTheme="minorHAnsi" w:hAnsiTheme="minorHAnsi"/>
          <w:noProof/>
          <w:sz w:val="22"/>
        </w:rPr>
      </w:pPr>
      <w:hyperlink w:anchor="_Toc47039926" w:history="1">
        <w:r w:rsidR="00987943" w:rsidRPr="00ED6F29">
          <w:rPr>
            <w:rStyle w:val="Hyperlink"/>
            <w:noProof/>
          </w:rPr>
          <w:t>Table 3.4. Subgroup analyses for studies investigating supervisee effects.</w:t>
        </w:r>
        <w:r w:rsidR="00987943">
          <w:rPr>
            <w:noProof/>
            <w:webHidden/>
          </w:rPr>
          <w:tab/>
        </w:r>
        <w:r w:rsidR="00987943">
          <w:rPr>
            <w:noProof/>
            <w:webHidden/>
          </w:rPr>
          <w:fldChar w:fldCharType="begin"/>
        </w:r>
        <w:r w:rsidR="00987943">
          <w:rPr>
            <w:noProof/>
            <w:webHidden/>
          </w:rPr>
          <w:instrText xml:space="preserve"> PAGEREF _Toc47039926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52E16F47" w14:textId="29EE3017" w:rsidR="00987943" w:rsidRDefault="004F2FDB">
      <w:pPr>
        <w:pStyle w:val="TableofFigures"/>
        <w:tabs>
          <w:tab w:val="right" w:leader="dot" w:pos="8188"/>
        </w:tabs>
        <w:rPr>
          <w:rFonts w:asciiTheme="minorHAnsi" w:hAnsiTheme="minorHAnsi"/>
          <w:noProof/>
          <w:sz w:val="22"/>
        </w:rPr>
      </w:pPr>
      <w:hyperlink w:anchor="_Toc47039927" w:history="1">
        <w:r w:rsidR="00987943" w:rsidRPr="00ED6F29">
          <w:rPr>
            <w:rStyle w:val="Hyperlink"/>
            <w:noProof/>
          </w:rPr>
          <w:t>Table 4.1. ANOVAs showing differences in overall supervision focus per case.</w:t>
        </w:r>
        <w:r w:rsidR="00987943">
          <w:rPr>
            <w:noProof/>
            <w:webHidden/>
          </w:rPr>
          <w:tab/>
        </w:r>
        <w:r w:rsidR="00987943">
          <w:rPr>
            <w:noProof/>
            <w:webHidden/>
          </w:rPr>
          <w:fldChar w:fldCharType="begin"/>
        </w:r>
        <w:r w:rsidR="00987943">
          <w:rPr>
            <w:noProof/>
            <w:webHidden/>
          </w:rPr>
          <w:instrText xml:space="preserve"> PAGEREF _Toc47039927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2D76C65E" w14:textId="6FFB0480" w:rsidR="00987943" w:rsidRDefault="004F2FDB">
      <w:pPr>
        <w:pStyle w:val="TableofFigures"/>
        <w:tabs>
          <w:tab w:val="right" w:leader="dot" w:pos="8188"/>
        </w:tabs>
        <w:rPr>
          <w:rFonts w:asciiTheme="minorHAnsi" w:hAnsiTheme="minorHAnsi"/>
          <w:noProof/>
          <w:sz w:val="22"/>
        </w:rPr>
      </w:pPr>
      <w:hyperlink w:anchor="_Toc47039928" w:history="1">
        <w:r w:rsidR="00987943" w:rsidRPr="00ED6F29">
          <w:rPr>
            <w:rStyle w:val="Hyperlink"/>
            <w:noProof/>
          </w:rPr>
          <w:t>Table 4.2. One-way ANOVAs comparing the three supervisor clusters on supervisor characteristics.</w:t>
        </w:r>
        <w:r w:rsidR="00987943">
          <w:rPr>
            <w:noProof/>
            <w:webHidden/>
          </w:rPr>
          <w:tab/>
        </w:r>
        <w:r w:rsidR="00987943">
          <w:rPr>
            <w:noProof/>
            <w:webHidden/>
          </w:rPr>
          <w:fldChar w:fldCharType="begin"/>
        </w:r>
        <w:r w:rsidR="00987943">
          <w:rPr>
            <w:noProof/>
            <w:webHidden/>
          </w:rPr>
          <w:instrText xml:space="preserve"> PAGEREF _Toc47039928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40A4DA3E" w14:textId="7207FB23" w:rsidR="00987943" w:rsidRDefault="004F2FDB">
      <w:pPr>
        <w:pStyle w:val="TableofFigures"/>
        <w:tabs>
          <w:tab w:val="right" w:leader="dot" w:pos="8188"/>
        </w:tabs>
        <w:rPr>
          <w:rFonts w:asciiTheme="minorHAnsi" w:hAnsiTheme="minorHAnsi"/>
          <w:noProof/>
          <w:sz w:val="22"/>
        </w:rPr>
      </w:pPr>
      <w:hyperlink w:anchor="_Toc47039929" w:history="1">
        <w:r w:rsidR="00987943" w:rsidRPr="00ED6F29">
          <w:rPr>
            <w:rStyle w:val="Hyperlink"/>
            <w:noProof/>
          </w:rPr>
          <w:t>Table 5.1. ANOVAs showing differences in overall supervision focus by supervisee gender and anxiety.</w:t>
        </w:r>
        <w:r w:rsidR="00987943">
          <w:rPr>
            <w:noProof/>
            <w:webHidden/>
          </w:rPr>
          <w:tab/>
        </w:r>
        <w:r w:rsidR="00987943">
          <w:rPr>
            <w:noProof/>
            <w:webHidden/>
          </w:rPr>
          <w:fldChar w:fldCharType="begin"/>
        </w:r>
        <w:r w:rsidR="00987943">
          <w:rPr>
            <w:noProof/>
            <w:webHidden/>
          </w:rPr>
          <w:instrText xml:space="preserve"> PAGEREF _Toc47039929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0F554B0D" w14:textId="586F387E" w:rsidR="00987943" w:rsidRDefault="004F2FDB">
      <w:pPr>
        <w:pStyle w:val="TableofFigures"/>
        <w:tabs>
          <w:tab w:val="right" w:leader="dot" w:pos="8188"/>
        </w:tabs>
        <w:rPr>
          <w:rFonts w:asciiTheme="minorHAnsi" w:hAnsiTheme="minorHAnsi"/>
          <w:noProof/>
          <w:sz w:val="22"/>
        </w:rPr>
      </w:pPr>
      <w:hyperlink w:anchor="_Toc47039930" w:history="1">
        <w:r w:rsidR="00987943" w:rsidRPr="00ED6F29">
          <w:rPr>
            <w:rStyle w:val="Hyperlink"/>
            <w:noProof/>
          </w:rPr>
          <w:t xml:space="preserve">Table 6.1. </w:t>
        </w:r>
        <w:r w:rsidR="00987943" w:rsidRPr="00ED6F29">
          <w:rPr>
            <w:rStyle w:val="Hyperlink"/>
            <w:i/>
            <w:noProof/>
          </w:rPr>
          <w:t>t</w:t>
        </w:r>
        <w:r w:rsidR="00987943" w:rsidRPr="00ED6F29">
          <w:rPr>
            <w:rStyle w:val="Hyperlink"/>
            <w:noProof/>
          </w:rPr>
          <w:t>-tests showing difference in behavioural activation focus given different supervisees.</w:t>
        </w:r>
        <w:r w:rsidR="00987943">
          <w:rPr>
            <w:noProof/>
            <w:webHidden/>
          </w:rPr>
          <w:tab/>
        </w:r>
        <w:r w:rsidR="00987943">
          <w:rPr>
            <w:noProof/>
            <w:webHidden/>
          </w:rPr>
          <w:fldChar w:fldCharType="begin"/>
        </w:r>
        <w:r w:rsidR="00987943">
          <w:rPr>
            <w:noProof/>
            <w:webHidden/>
          </w:rPr>
          <w:instrText xml:space="preserve"> PAGEREF _Toc47039930 \h </w:instrText>
        </w:r>
        <w:r w:rsidR="00987943">
          <w:rPr>
            <w:noProof/>
            <w:webHidden/>
          </w:rPr>
        </w:r>
        <w:r w:rsidR="00987943">
          <w:rPr>
            <w:noProof/>
            <w:webHidden/>
          </w:rPr>
          <w:fldChar w:fldCharType="separate"/>
        </w:r>
        <w:r w:rsidR="00694354">
          <w:rPr>
            <w:noProof/>
            <w:webHidden/>
          </w:rPr>
          <w:t>4</w:t>
        </w:r>
        <w:r w:rsidR="00987943">
          <w:rPr>
            <w:noProof/>
            <w:webHidden/>
          </w:rPr>
          <w:fldChar w:fldCharType="end"/>
        </w:r>
      </w:hyperlink>
    </w:p>
    <w:p w14:paraId="3DD1FB4F" w14:textId="56BE17B6" w:rsidR="008A7246" w:rsidRPr="00EA0DC7" w:rsidRDefault="00224A1D">
      <w:pPr>
        <w:spacing w:line="276" w:lineRule="auto"/>
        <w:jc w:val="left"/>
        <w:rPr>
          <w:rFonts w:cs="Arial"/>
          <w:b/>
          <w:sz w:val="32"/>
          <w:szCs w:val="32"/>
        </w:rPr>
      </w:pPr>
      <w:r w:rsidRPr="00EA0DC7">
        <w:fldChar w:fldCharType="end"/>
      </w:r>
      <w:r w:rsidR="008A7246" w:rsidRPr="00EA0DC7">
        <w:br w:type="page"/>
      </w:r>
    </w:p>
    <w:p w14:paraId="3B2F4DA9" w14:textId="7F53DFDC" w:rsidR="008B3AA3" w:rsidRPr="00EA0DC7" w:rsidRDefault="00BF0088" w:rsidP="001027B1">
      <w:pPr>
        <w:pStyle w:val="Heading1"/>
        <w:numPr>
          <w:ilvl w:val="0"/>
          <w:numId w:val="0"/>
        </w:numPr>
      </w:pPr>
      <w:bookmarkStart w:id="5" w:name="_Toc47039821"/>
      <w:r w:rsidRPr="00EA0DC7">
        <w:lastRenderedPageBreak/>
        <w:t>Publications</w:t>
      </w:r>
      <w:bookmarkEnd w:id="5"/>
    </w:p>
    <w:p w14:paraId="12912C2D" w14:textId="445DF2F1" w:rsidR="00337FEB" w:rsidRPr="00EA0DC7" w:rsidRDefault="00337FEB" w:rsidP="00584A06">
      <w:pPr>
        <w:ind w:firstLine="567"/>
      </w:pPr>
      <w:r w:rsidRPr="00EA0DC7">
        <w:t>The followin</w:t>
      </w:r>
      <w:r w:rsidR="00B920D4" w:rsidRPr="00EA0DC7">
        <w:t>g work from this thesis is</w:t>
      </w:r>
      <w:r w:rsidRPr="00EA0DC7">
        <w:t xml:space="preserve"> published.</w:t>
      </w:r>
      <w:r w:rsidR="00F643A3" w:rsidRPr="00EA0DC7">
        <w:t xml:space="preserve"> Reprinting these as part of this thesis </w:t>
      </w:r>
      <w:r w:rsidR="00B90FAA" w:rsidRPr="00EA0DC7">
        <w:t>is</w:t>
      </w:r>
      <w:r w:rsidR="00F643A3" w:rsidRPr="00EA0DC7">
        <w:t xml:space="preserve"> permitted by the journals in question.</w:t>
      </w:r>
      <w:r w:rsidRPr="00EA0DC7">
        <w:t xml:space="preserve"> </w:t>
      </w:r>
    </w:p>
    <w:p w14:paraId="51D16FA8" w14:textId="014AB6A6" w:rsidR="00451A17" w:rsidRPr="00EA0DC7" w:rsidRDefault="00FF5284" w:rsidP="00061394">
      <w:pPr>
        <w:rPr>
          <w:noProof/>
        </w:rPr>
      </w:pPr>
      <w:r w:rsidRPr="00EA0DC7">
        <w:rPr>
          <w:noProof/>
        </w:rPr>
        <w:t>Chapter 2 is based on:</w:t>
      </w:r>
      <w:r w:rsidR="00061394" w:rsidRPr="00EA0DC7">
        <w:rPr>
          <w:noProof/>
        </w:rPr>
        <w:t xml:space="preserve"> </w:t>
      </w:r>
      <w:r w:rsidR="00451A17" w:rsidRPr="00EA0DC7">
        <w:rPr>
          <w:rFonts w:cs="Arial"/>
          <w:noProof/>
          <w:szCs w:val="24"/>
        </w:rPr>
        <w:t xml:space="preserve">Simpson-Southward, C., Waller, G., &amp; Hardy, G. E. (2017). How do we know what makes for “best practice” in clinical supervision for psychological therapists? A content analysis of supervisory models and approaches. </w:t>
      </w:r>
      <w:r w:rsidR="00451A17" w:rsidRPr="00EA0DC7">
        <w:rPr>
          <w:rFonts w:cs="Arial"/>
          <w:i/>
          <w:iCs/>
          <w:noProof/>
          <w:szCs w:val="24"/>
        </w:rPr>
        <w:t>Clinical Psychology and Psychotherapy</w:t>
      </w:r>
      <w:r w:rsidR="00451A17" w:rsidRPr="00EA0DC7">
        <w:rPr>
          <w:rFonts w:cs="Arial"/>
          <w:noProof/>
          <w:szCs w:val="24"/>
        </w:rPr>
        <w:t xml:space="preserve">, </w:t>
      </w:r>
      <w:r w:rsidR="00451A17" w:rsidRPr="00EA0DC7">
        <w:rPr>
          <w:rFonts w:cs="Arial"/>
          <w:i/>
          <w:iCs/>
          <w:noProof/>
          <w:szCs w:val="24"/>
        </w:rPr>
        <w:t>24</w:t>
      </w:r>
      <w:r w:rsidR="00451A17" w:rsidRPr="00EA0DC7">
        <w:rPr>
          <w:rFonts w:cs="Arial"/>
          <w:noProof/>
          <w:szCs w:val="24"/>
        </w:rPr>
        <w:t xml:space="preserve">, 1228–1245. </w:t>
      </w:r>
    </w:p>
    <w:p w14:paraId="0C30F0FF" w14:textId="16F24249" w:rsidR="00D669D1" w:rsidRPr="00EA0DC7" w:rsidRDefault="00FF5284" w:rsidP="00061394">
      <w:pPr>
        <w:rPr>
          <w:noProof/>
        </w:rPr>
      </w:pPr>
      <w:r w:rsidRPr="00EA0DC7">
        <w:rPr>
          <w:noProof/>
        </w:rPr>
        <w:t>Chapter 4 is based on:</w:t>
      </w:r>
      <w:r w:rsidR="00061394" w:rsidRPr="00EA0DC7">
        <w:rPr>
          <w:noProof/>
        </w:rPr>
        <w:t xml:space="preserve"> </w:t>
      </w:r>
      <w:r w:rsidR="00D669D1" w:rsidRPr="00EA0DC7">
        <w:rPr>
          <w:rFonts w:cs="Arial"/>
          <w:noProof/>
          <w:szCs w:val="24"/>
        </w:rPr>
        <w:t>Simpson-Southward, C., Walle</w:t>
      </w:r>
      <w:r w:rsidR="00584A06" w:rsidRPr="00EA0DC7">
        <w:rPr>
          <w:rFonts w:cs="Arial"/>
          <w:noProof/>
          <w:szCs w:val="24"/>
        </w:rPr>
        <w:t>r, G., &amp; Hardy, G. (2018</w:t>
      </w:r>
      <w:r w:rsidR="00D669D1" w:rsidRPr="00EA0DC7">
        <w:rPr>
          <w:rFonts w:cs="Arial"/>
          <w:noProof/>
          <w:szCs w:val="24"/>
        </w:rPr>
        <w:t xml:space="preserve">). Supervisor practice when guiding therapists working with depression: The impact of supervisor and patient characteristics. </w:t>
      </w:r>
      <w:r w:rsidR="00D669D1" w:rsidRPr="00EA0DC7">
        <w:rPr>
          <w:rFonts w:cs="Arial"/>
          <w:i/>
          <w:noProof/>
          <w:szCs w:val="24"/>
        </w:rPr>
        <w:t>Th</w:t>
      </w:r>
      <w:r w:rsidR="00584A06" w:rsidRPr="00EA0DC7">
        <w:rPr>
          <w:rFonts w:cs="Arial"/>
          <w:i/>
          <w:noProof/>
          <w:szCs w:val="24"/>
        </w:rPr>
        <w:t xml:space="preserve">e Cognitive Behaviour Therapist, 11, </w:t>
      </w:r>
      <w:r w:rsidR="00584A06" w:rsidRPr="00EA0DC7">
        <w:rPr>
          <w:rFonts w:cs="Arial"/>
          <w:noProof/>
          <w:szCs w:val="24"/>
        </w:rPr>
        <w:t>E9.</w:t>
      </w:r>
    </w:p>
    <w:p w14:paraId="41D9BB02" w14:textId="557E5B2A" w:rsidR="00FF5284" w:rsidRPr="00EA0DC7" w:rsidRDefault="00FF5284" w:rsidP="00061394">
      <w:pPr>
        <w:rPr>
          <w:noProof/>
        </w:rPr>
      </w:pPr>
      <w:r w:rsidRPr="00EA0DC7">
        <w:rPr>
          <w:noProof/>
        </w:rPr>
        <w:t xml:space="preserve">Chapter 5 is based on: </w:t>
      </w:r>
      <w:r w:rsidRPr="00EA0DC7">
        <w:rPr>
          <w:rFonts w:cs="Arial"/>
          <w:noProof/>
          <w:szCs w:val="24"/>
        </w:rPr>
        <w:t>Simpson-Southward, C., Waller, G., &amp; Hardy, G. E.</w:t>
      </w:r>
      <w:r w:rsidRPr="00EA0DC7">
        <w:t xml:space="preserve"> (2016). Supervision for treatment of depression: An experimental study of the role of therapist gender and anxiety. </w:t>
      </w:r>
      <w:r w:rsidRPr="00EA0DC7">
        <w:rPr>
          <w:i/>
        </w:rPr>
        <w:t xml:space="preserve">Behaviour Research and Therapy, 77, </w:t>
      </w:r>
      <w:r w:rsidRPr="00EA0DC7">
        <w:t>17-22.</w:t>
      </w:r>
    </w:p>
    <w:p w14:paraId="3B166D13" w14:textId="77777777" w:rsidR="00FF5284" w:rsidRPr="00EA0DC7" w:rsidRDefault="00FF5284" w:rsidP="00451A17">
      <w:pPr>
        <w:widowControl w:val="0"/>
        <w:autoSpaceDE w:val="0"/>
        <w:autoSpaceDN w:val="0"/>
        <w:adjustRightInd w:val="0"/>
        <w:ind w:left="480" w:hanging="480"/>
        <w:rPr>
          <w:rFonts w:cs="Arial"/>
          <w:i/>
          <w:noProof/>
          <w:szCs w:val="24"/>
        </w:rPr>
      </w:pPr>
    </w:p>
    <w:p w14:paraId="7A569530" w14:textId="77777777" w:rsidR="008B3AA3" w:rsidRPr="00EA0DC7" w:rsidRDefault="008B3AA3" w:rsidP="008B3AA3">
      <w:pPr>
        <w:rPr>
          <w:rFonts w:cs="Arial"/>
          <w:szCs w:val="24"/>
        </w:rPr>
      </w:pPr>
    </w:p>
    <w:p w14:paraId="66A656FC" w14:textId="77777777" w:rsidR="008B3AA3" w:rsidRPr="00EA0DC7" w:rsidRDefault="008B3AA3" w:rsidP="008B3AA3">
      <w:pPr>
        <w:rPr>
          <w:rFonts w:cs="Arial"/>
          <w:szCs w:val="24"/>
        </w:rPr>
      </w:pPr>
    </w:p>
    <w:p w14:paraId="402ADF3D" w14:textId="6EA66EAA" w:rsidR="00EC47BB" w:rsidRPr="00EA0DC7" w:rsidRDefault="008B3AA3" w:rsidP="003447C9">
      <w:pPr>
        <w:pStyle w:val="Heading1"/>
        <w:numPr>
          <w:ilvl w:val="0"/>
          <w:numId w:val="47"/>
        </w:numPr>
        <w:ind w:left="0"/>
        <w:rPr>
          <w:szCs w:val="24"/>
        </w:rPr>
      </w:pPr>
      <w:r w:rsidRPr="00EA0DC7">
        <w:rPr>
          <w:szCs w:val="24"/>
        </w:rPr>
        <w:br w:type="page"/>
      </w:r>
      <w:bookmarkStart w:id="6" w:name="_Toc47039822"/>
      <w:bookmarkStart w:id="7" w:name="_Toc517453246"/>
      <w:r w:rsidR="00EC47BB" w:rsidRPr="00EA0DC7">
        <w:lastRenderedPageBreak/>
        <w:t>– The status of psychological treatments for depression</w:t>
      </w:r>
      <w:bookmarkEnd w:id="6"/>
      <w:r w:rsidR="00EC47BB" w:rsidRPr="00EA0DC7">
        <w:tab/>
      </w:r>
      <w:bookmarkEnd w:id="7"/>
    </w:p>
    <w:p w14:paraId="47C2FCF4" w14:textId="3C56EB3D" w:rsidR="00EC47BB" w:rsidRPr="00EA0DC7" w:rsidRDefault="00EC47BB" w:rsidP="00EC47BB">
      <w:pPr>
        <w:outlineLvl w:val="1"/>
        <w:rPr>
          <w:rFonts w:eastAsia="SimSun" w:cs="Arial"/>
          <w:b/>
          <w:sz w:val="28"/>
          <w:szCs w:val="24"/>
        </w:rPr>
      </w:pPr>
      <w:bookmarkStart w:id="8" w:name="_Toc517453247"/>
      <w:bookmarkStart w:id="9" w:name="_Toc47039823"/>
      <w:r w:rsidRPr="00EA0DC7">
        <w:rPr>
          <w:rFonts w:eastAsia="SimSun" w:cs="Arial"/>
          <w:b/>
          <w:sz w:val="28"/>
          <w:szCs w:val="24"/>
        </w:rPr>
        <w:t>1.1 Chapter overview</w:t>
      </w:r>
      <w:bookmarkEnd w:id="8"/>
      <w:bookmarkEnd w:id="9"/>
    </w:p>
    <w:p w14:paraId="1E6EF5A8" w14:textId="374BD8FA" w:rsidR="00EC47BB" w:rsidRPr="00EA0DC7" w:rsidRDefault="00EC47BB" w:rsidP="00EC47BB">
      <w:pPr>
        <w:ind w:firstLine="720"/>
        <w:rPr>
          <w:rFonts w:eastAsia="SimSun" w:cs="Arial"/>
        </w:rPr>
      </w:pPr>
      <w:r w:rsidRPr="00EA0DC7">
        <w:rPr>
          <w:rFonts w:eastAsia="SimSun" w:cs="Arial"/>
        </w:rPr>
        <w:t xml:space="preserve">In this introductory chapter, I will provide the context for my research, starting by outlining the characteristics of depression, detailing the current psychological treatments for this disorder, and exploring how effective and reliable those treatments are. I will then move on to discussing factors that influence treatment outcomes, such as patient characteristics, therapist characteristics, and the correct use of therapy protocols. Finally, I will focus on the accepted way to help therapy stay on track and ensure positive patient outcomes – clinical supervision. At the end of this </w:t>
      </w:r>
      <w:r w:rsidR="00B212D9" w:rsidRPr="00EA0DC7">
        <w:rPr>
          <w:rFonts w:eastAsia="SimSun" w:cs="Arial"/>
        </w:rPr>
        <w:t>chapter,</w:t>
      </w:r>
      <w:r w:rsidRPr="00EA0DC7">
        <w:rPr>
          <w:rFonts w:eastAsia="SimSun" w:cs="Arial"/>
        </w:rPr>
        <w:t xml:space="preserve"> there will be brief thesis overview.</w:t>
      </w:r>
    </w:p>
    <w:p w14:paraId="21D2FFC8" w14:textId="27A02EE7" w:rsidR="00EC47BB" w:rsidRPr="00EA0DC7" w:rsidRDefault="00EC47BB" w:rsidP="00EC47BB">
      <w:pPr>
        <w:outlineLvl w:val="1"/>
        <w:rPr>
          <w:rFonts w:eastAsia="SimSun" w:cs="Arial"/>
          <w:b/>
          <w:sz w:val="28"/>
          <w:szCs w:val="24"/>
        </w:rPr>
      </w:pPr>
      <w:bookmarkStart w:id="10" w:name="_Toc508809007"/>
      <w:bookmarkStart w:id="11" w:name="_Toc517453248"/>
      <w:bookmarkStart w:id="12" w:name="_Toc47039824"/>
      <w:r w:rsidRPr="00EA0DC7">
        <w:rPr>
          <w:rFonts w:eastAsia="SimSun" w:cs="Arial"/>
          <w:b/>
          <w:sz w:val="28"/>
          <w:szCs w:val="24"/>
        </w:rPr>
        <w:t>1.2 The nature of depression</w:t>
      </w:r>
      <w:bookmarkEnd w:id="10"/>
      <w:bookmarkEnd w:id="11"/>
      <w:bookmarkEnd w:id="12"/>
    </w:p>
    <w:p w14:paraId="36AB55A7" w14:textId="341680F7" w:rsidR="00EC47BB" w:rsidRPr="00EA0DC7" w:rsidRDefault="00EC47BB" w:rsidP="00EC47BB">
      <w:pPr>
        <w:ind w:firstLine="720"/>
        <w:rPr>
          <w:rFonts w:eastAsia="SimSun" w:cs="Arial"/>
          <w:szCs w:val="24"/>
        </w:rPr>
      </w:pPr>
      <w:r w:rsidRPr="00EA0DC7">
        <w:rPr>
          <w:rFonts w:eastAsia="SimSun" w:cs="Arial"/>
          <w:szCs w:val="24"/>
        </w:rPr>
        <w:t>While this overview will focus on major depressive disorder, it is worth noting that depression comes in many forms and these each bring different diagnoses. Table 1</w:t>
      </w:r>
      <w:r w:rsidR="00911BC2" w:rsidRPr="00EA0DC7">
        <w:rPr>
          <w:rFonts w:eastAsia="SimSun" w:cs="Arial"/>
          <w:szCs w:val="24"/>
        </w:rPr>
        <w:t>.1</w:t>
      </w:r>
      <w:r w:rsidRPr="00EA0DC7">
        <w:rPr>
          <w:rFonts w:eastAsia="SimSun" w:cs="Arial"/>
          <w:szCs w:val="24"/>
        </w:rPr>
        <w:t xml:space="preserve"> outlines some common diagnoses from the Diagnostic and Statistical Manual of Mental Disorders (5th ed.; DSM–5; American Psychiatric Association, 2013). The disorders in Table 1</w:t>
      </w:r>
      <w:r w:rsidR="00911BC2" w:rsidRPr="00EA0DC7">
        <w:rPr>
          <w:rFonts w:eastAsia="SimSun" w:cs="Arial"/>
          <w:szCs w:val="24"/>
        </w:rPr>
        <w:t>.1</w:t>
      </w:r>
      <w:r w:rsidRPr="00EA0DC7">
        <w:rPr>
          <w:rFonts w:eastAsia="SimSun" w:cs="Arial"/>
          <w:szCs w:val="24"/>
        </w:rPr>
        <w:t xml:space="preserve"> are the three with the highest prevalence rates when excluding disorders only affecting a subsample of the population (e.g. disruptive mood dysregulation disorder, which is only applied to those under the age of 18, and premenstrual dysphoric disorder, which only affects females [DSM-5, 2013]). There are ten other </w:t>
      </w:r>
      <w:r w:rsidR="00B621EF" w:rsidRPr="00EA0DC7">
        <w:rPr>
          <w:rFonts w:eastAsia="SimSun" w:cs="Arial"/>
          <w:szCs w:val="24"/>
        </w:rPr>
        <w:t xml:space="preserve">relevant (but less common) </w:t>
      </w:r>
      <w:r w:rsidRPr="00EA0DC7">
        <w:rPr>
          <w:rFonts w:eastAsia="SimSun" w:cs="Arial"/>
          <w:szCs w:val="24"/>
        </w:rPr>
        <w:t xml:space="preserve">diagnoses outlined in DSM-5 (2013): bipolar II </w:t>
      </w:r>
      <w:r w:rsidRPr="00EA0DC7">
        <w:rPr>
          <w:rFonts w:eastAsia="SimSun" w:cs="Arial"/>
          <w:szCs w:val="24"/>
        </w:rPr>
        <w:lastRenderedPageBreak/>
        <w:t xml:space="preserve">disorder; cyclothymic disorder; substance/medication-induced bipolar and related disorder; bipolar and related disorder due to another medical condition; other specified bipolar and related disorder; unspecified bipolar and related disorder; substance/medication-induced depressive disorder; depressive disorder due to another medical condition; other specified depressive disorder; and unspecified depressive disorder. </w:t>
      </w:r>
    </w:p>
    <w:p w14:paraId="6601B1C5" w14:textId="77777777" w:rsidR="00EC47BB" w:rsidRPr="00EA0DC7" w:rsidRDefault="00EC47BB" w:rsidP="00EC47BB">
      <w:pPr>
        <w:ind w:firstLine="720"/>
        <w:rPr>
          <w:rFonts w:eastAsia="SimSun" w:cs="Arial"/>
          <w:szCs w:val="24"/>
        </w:rPr>
      </w:pPr>
      <w:r w:rsidRPr="00EA0DC7">
        <w:rPr>
          <w:rFonts w:eastAsia="SimSun" w:cs="Arial"/>
          <w:szCs w:val="24"/>
        </w:rPr>
        <w:t>Disorders are often classified by severity, based on the number of criterion symptoms, the severity of those symptoms, and the degree of functional disability. Mild severity is identified when few, if any, symptoms in excess of those required for a diagnosis are present, and when those symptoms are distressing but manageable, resulting in only minor impairment in social or occupational functioning. Severe cases are those where the number of symptoms is substantially in excess of that required for a diagnosis, intensity is seriously distressing and unmanageable, and symptoms markedly interfere with social and occupational functioning. Finally, moderate severity cases are those when the symptoms, symptom intensity and functional impairment are between ‘mild’ and ‘severe’ classifications (DSM-5, 2013).</w:t>
      </w:r>
    </w:p>
    <w:p w14:paraId="6A0DC50E" w14:textId="37E018EA" w:rsidR="00EC47BB" w:rsidRPr="00EA0DC7" w:rsidRDefault="00EC47BB" w:rsidP="00EC47BB">
      <w:pPr>
        <w:spacing w:before="240"/>
        <w:ind w:firstLine="720"/>
        <w:rPr>
          <w:rFonts w:eastAsia="SimSun" w:cs="Arial"/>
        </w:rPr>
        <w:sectPr w:rsidR="00EC47BB" w:rsidRPr="00EA0DC7" w:rsidSect="00FE4931">
          <w:footerReference w:type="even" r:id="rId9"/>
          <w:footerReference w:type="default" r:id="rId10"/>
          <w:footerReference w:type="first" r:id="rId11"/>
          <w:pgSz w:w="11906" w:h="16838"/>
          <w:pgMar w:top="1440" w:right="1440" w:bottom="1440" w:left="2268" w:header="709" w:footer="709" w:gutter="0"/>
          <w:cols w:space="708"/>
          <w:docGrid w:linePitch="360"/>
        </w:sectPr>
      </w:pPr>
    </w:p>
    <w:p w14:paraId="14EFC890" w14:textId="77A56C2D" w:rsidR="00EC47BB" w:rsidRPr="00EA0DC7" w:rsidRDefault="003941AA" w:rsidP="003941AA">
      <w:pPr>
        <w:pStyle w:val="Captions"/>
        <w:rPr>
          <w:rFonts w:eastAsia="Calibri" w:cs="Arial"/>
          <w:bCs/>
          <w:szCs w:val="24"/>
        </w:rPr>
      </w:pPr>
      <w:bookmarkStart w:id="13" w:name="_Toc47039915"/>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1</w:t>
      </w:r>
      <w:r w:rsidR="004F2FDB">
        <w:rPr>
          <w:noProof/>
        </w:rPr>
        <w:fldChar w:fldCharType="end"/>
      </w:r>
      <w:r w:rsidR="008A7246"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Common depressive and bipolar disorders with their diagnostic criteria in the DSM-5.</w:t>
      </w:r>
      <w:bookmarkEnd w:id="13"/>
    </w:p>
    <w:tbl>
      <w:tblPr>
        <w:tblStyle w:val="TableGrid1"/>
        <w:tblW w:w="13608" w:type="dxa"/>
        <w:tblLook w:val="04A0" w:firstRow="1" w:lastRow="0" w:firstColumn="1" w:lastColumn="0" w:noHBand="0" w:noVBand="1"/>
      </w:tblPr>
      <w:tblGrid>
        <w:gridCol w:w="2552"/>
        <w:gridCol w:w="5953"/>
        <w:gridCol w:w="5103"/>
      </w:tblGrid>
      <w:tr w:rsidR="00EC47BB" w:rsidRPr="00EA0DC7" w14:paraId="42F05138" w14:textId="77777777" w:rsidTr="00652A82">
        <w:tc>
          <w:tcPr>
            <w:tcW w:w="2552" w:type="dxa"/>
            <w:tcBorders>
              <w:left w:val="nil"/>
              <w:bottom w:val="single" w:sz="4" w:space="0" w:color="auto"/>
              <w:right w:val="nil"/>
            </w:tcBorders>
            <w:vAlign w:val="center"/>
          </w:tcPr>
          <w:p w14:paraId="4DEDEC57" w14:textId="77777777" w:rsidR="00EC47BB" w:rsidRPr="00EA0DC7" w:rsidRDefault="00EC47BB" w:rsidP="00EC47BB">
            <w:pPr>
              <w:spacing w:before="240" w:after="200" w:line="360" w:lineRule="auto"/>
              <w:jc w:val="center"/>
              <w:rPr>
                <w:rFonts w:eastAsia="SimSun" w:cs="Arial"/>
                <w:b/>
                <w:szCs w:val="24"/>
              </w:rPr>
            </w:pPr>
            <w:r w:rsidRPr="00EA0DC7">
              <w:rPr>
                <w:rFonts w:eastAsia="SimSun" w:cs="Arial"/>
                <w:b/>
                <w:szCs w:val="24"/>
              </w:rPr>
              <w:t>Disorder</w:t>
            </w:r>
          </w:p>
        </w:tc>
        <w:tc>
          <w:tcPr>
            <w:tcW w:w="5953" w:type="dxa"/>
            <w:tcBorders>
              <w:left w:val="nil"/>
              <w:bottom w:val="single" w:sz="4" w:space="0" w:color="auto"/>
              <w:right w:val="nil"/>
            </w:tcBorders>
            <w:vAlign w:val="center"/>
          </w:tcPr>
          <w:p w14:paraId="3B90B001" w14:textId="77777777" w:rsidR="00EC47BB" w:rsidRPr="00EA0DC7" w:rsidRDefault="00EC47BB" w:rsidP="00EC47BB">
            <w:pPr>
              <w:spacing w:before="240" w:after="200" w:line="360" w:lineRule="auto"/>
              <w:jc w:val="center"/>
              <w:rPr>
                <w:rFonts w:eastAsia="SimSun" w:cs="Arial"/>
                <w:b/>
                <w:szCs w:val="24"/>
              </w:rPr>
            </w:pPr>
            <w:r w:rsidRPr="00EA0DC7">
              <w:rPr>
                <w:rFonts w:eastAsia="SimSun" w:cs="Arial"/>
                <w:b/>
                <w:szCs w:val="24"/>
              </w:rPr>
              <w:t>Symptoms</w:t>
            </w:r>
          </w:p>
        </w:tc>
        <w:tc>
          <w:tcPr>
            <w:tcW w:w="5103" w:type="dxa"/>
            <w:tcBorders>
              <w:left w:val="nil"/>
              <w:bottom w:val="single" w:sz="4" w:space="0" w:color="auto"/>
              <w:right w:val="nil"/>
            </w:tcBorders>
            <w:vAlign w:val="center"/>
          </w:tcPr>
          <w:p w14:paraId="38BCED81" w14:textId="77777777" w:rsidR="00EC47BB" w:rsidRPr="00EA0DC7" w:rsidRDefault="00EC47BB" w:rsidP="00EC47BB">
            <w:pPr>
              <w:spacing w:before="240" w:after="240" w:line="360" w:lineRule="auto"/>
              <w:jc w:val="center"/>
              <w:rPr>
                <w:rFonts w:eastAsia="SimSun" w:cs="Arial"/>
                <w:b/>
                <w:szCs w:val="24"/>
              </w:rPr>
            </w:pPr>
            <w:r w:rsidRPr="00EA0DC7">
              <w:rPr>
                <w:rFonts w:eastAsia="SimSun" w:cs="Arial"/>
                <w:b/>
                <w:szCs w:val="24"/>
              </w:rPr>
              <w:t>Duration of symptoms required for diagnosis</w:t>
            </w:r>
          </w:p>
        </w:tc>
      </w:tr>
      <w:tr w:rsidR="00EC47BB" w:rsidRPr="00EA0DC7" w14:paraId="6DA31C83" w14:textId="77777777" w:rsidTr="006C59A6">
        <w:tc>
          <w:tcPr>
            <w:tcW w:w="2552" w:type="dxa"/>
            <w:tcBorders>
              <w:left w:val="nil"/>
              <w:bottom w:val="nil"/>
              <w:right w:val="nil"/>
            </w:tcBorders>
          </w:tcPr>
          <w:p w14:paraId="1868A5A4" w14:textId="77777777" w:rsidR="00EC47BB" w:rsidRPr="00EA0DC7" w:rsidRDefault="00EC47BB" w:rsidP="00B7045C">
            <w:pPr>
              <w:spacing w:before="240" w:after="200" w:line="360" w:lineRule="auto"/>
              <w:jc w:val="left"/>
              <w:rPr>
                <w:rFonts w:eastAsia="SimSun" w:cs="Arial"/>
                <w:szCs w:val="24"/>
              </w:rPr>
            </w:pPr>
            <w:r w:rsidRPr="00EA0DC7">
              <w:rPr>
                <w:rFonts w:eastAsia="SimSun" w:cs="Arial"/>
                <w:szCs w:val="24"/>
              </w:rPr>
              <w:t>Major Depressive Disorder</w:t>
            </w:r>
          </w:p>
        </w:tc>
        <w:tc>
          <w:tcPr>
            <w:tcW w:w="5953" w:type="dxa"/>
            <w:tcBorders>
              <w:left w:val="nil"/>
              <w:bottom w:val="nil"/>
              <w:right w:val="nil"/>
            </w:tcBorders>
          </w:tcPr>
          <w:p w14:paraId="01A74552" w14:textId="38446121" w:rsidR="00EC47BB" w:rsidRPr="00EA0DC7" w:rsidRDefault="00EC47BB" w:rsidP="00B7045C">
            <w:pPr>
              <w:spacing w:before="240" w:after="240" w:line="360" w:lineRule="auto"/>
              <w:jc w:val="left"/>
              <w:rPr>
                <w:rFonts w:eastAsia="SimSun" w:cs="Arial"/>
                <w:szCs w:val="24"/>
              </w:rPr>
            </w:pPr>
            <w:r w:rsidRPr="00EA0DC7">
              <w:rPr>
                <w:rFonts w:eastAsia="SimSun" w:cs="Arial"/>
                <w:szCs w:val="24"/>
              </w:rPr>
              <w:t xml:space="preserve">Symptoms </w:t>
            </w:r>
            <w:r w:rsidR="00141A00" w:rsidRPr="00EA0DC7">
              <w:rPr>
                <w:rFonts w:eastAsia="SimSun" w:cs="Arial"/>
                <w:szCs w:val="24"/>
              </w:rPr>
              <w:t>include:</w:t>
            </w:r>
            <w:r w:rsidRPr="00EA0DC7">
              <w:rPr>
                <w:rFonts w:eastAsia="SimSun" w:cs="Arial"/>
                <w:szCs w:val="24"/>
              </w:rPr>
              <w:t xml:space="preserve"> depressed mood; diminished interest or pleasure in activities; weight loss or gain; insomnia or hypersomnia; psychomotor agitation or retardation; loss of energy; feelings of worthlessness; lack of concentration; and thoughts of death including suicide ideation.</w:t>
            </w:r>
          </w:p>
        </w:tc>
        <w:tc>
          <w:tcPr>
            <w:tcW w:w="5103" w:type="dxa"/>
            <w:tcBorders>
              <w:left w:val="nil"/>
              <w:bottom w:val="nil"/>
              <w:right w:val="nil"/>
            </w:tcBorders>
          </w:tcPr>
          <w:p w14:paraId="091B0BDF" w14:textId="77777777" w:rsidR="00EC47BB" w:rsidRPr="00EA0DC7" w:rsidRDefault="00EC47BB" w:rsidP="00B7045C">
            <w:pPr>
              <w:spacing w:before="240" w:after="240" w:line="360" w:lineRule="auto"/>
              <w:jc w:val="left"/>
              <w:rPr>
                <w:rFonts w:eastAsia="SimSun" w:cs="Arial"/>
                <w:szCs w:val="24"/>
              </w:rPr>
            </w:pPr>
            <w:r w:rsidRPr="00EA0DC7">
              <w:rPr>
                <w:rFonts w:eastAsia="SimSun" w:cs="Arial"/>
                <w:szCs w:val="24"/>
              </w:rPr>
              <w:t>At least five symptoms must be present during a two-week period. One of the symptoms must be a depressed mood or loss of interest or pleasure.</w:t>
            </w:r>
          </w:p>
        </w:tc>
      </w:tr>
      <w:tr w:rsidR="00EC47BB" w:rsidRPr="00EA0DC7" w14:paraId="72FD72E9" w14:textId="77777777" w:rsidTr="006C59A6">
        <w:tc>
          <w:tcPr>
            <w:tcW w:w="2552" w:type="dxa"/>
            <w:tcBorders>
              <w:top w:val="nil"/>
              <w:left w:val="nil"/>
              <w:bottom w:val="single" w:sz="4" w:space="0" w:color="auto"/>
              <w:right w:val="nil"/>
            </w:tcBorders>
          </w:tcPr>
          <w:p w14:paraId="2589C344" w14:textId="77777777" w:rsidR="00EC47BB" w:rsidRPr="00EA0DC7" w:rsidRDefault="00EC47BB" w:rsidP="00B7045C">
            <w:pPr>
              <w:spacing w:before="240" w:after="200" w:line="360" w:lineRule="auto"/>
              <w:jc w:val="left"/>
              <w:rPr>
                <w:rFonts w:eastAsia="SimSun" w:cs="Arial"/>
                <w:szCs w:val="24"/>
              </w:rPr>
            </w:pPr>
            <w:r w:rsidRPr="00EA0DC7">
              <w:rPr>
                <w:rFonts w:eastAsia="SimSun" w:cs="Arial"/>
                <w:szCs w:val="24"/>
              </w:rPr>
              <w:t>Persistent Depressive Disorder (Dysthymia)</w:t>
            </w:r>
          </w:p>
        </w:tc>
        <w:tc>
          <w:tcPr>
            <w:tcW w:w="5953" w:type="dxa"/>
            <w:tcBorders>
              <w:top w:val="nil"/>
              <w:left w:val="nil"/>
              <w:bottom w:val="single" w:sz="4" w:space="0" w:color="auto"/>
              <w:right w:val="nil"/>
            </w:tcBorders>
          </w:tcPr>
          <w:p w14:paraId="3114D8B4" w14:textId="12F12C23" w:rsidR="00EC47BB" w:rsidRPr="00EA0DC7" w:rsidRDefault="00EC47BB" w:rsidP="00141A00">
            <w:pPr>
              <w:spacing w:before="240" w:after="200" w:line="360" w:lineRule="auto"/>
              <w:jc w:val="left"/>
              <w:rPr>
                <w:rFonts w:eastAsia="SimSun" w:cs="Arial"/>
                <w:szCs w:val="24"/>
              </w:rPr>
            </w:pPr>
            <w:r w:rsidRPr="00EA0DC7">
              <w:rPr>
                <w:rFonts w:eastAsia="SimSun" w:cs="Arial"/>
                <w:szCs w:val="24"/>
              </w:rPr>
              <w:t>Symptoms are similar to tho</w:t>
            </w:r>
            <w:r w:rsidR="001F4D88" w:rsidRPr="00EA0DC7">
              <w:rPr>
                <w:rFonts w:eastAsia="SimSun" w:cs="Arial"/>
                <w:szCs w:val="24"/>
              </w:rPr>
              <w:t>se of major depressive disorder</w:t>
            </w:r>
            <w:r w:rsidRPr="00EA0DC7">
              <w:rPr>
                <w:rFonts w:eastAsia="SimSun" w:cs="Arial"/>
                <w:szCs w:val="24"/>
              </w:rPr>
              <w:t xml:space="preserve"> </w:t>
            </w:r>
            <w:r w:rsidR="001F4D88" w:rsidRPr="00EA0DC7">
              <w:rPr>
                <w:rFonts w:eastAsia="SimSun" w:cs="Arial"/>
                <w:szCs w:val="24"/>
              </w:rPr>
              <w:t>however,</w:t>
            </w:r>
            <w:r w:rsidRPr="00EA0DC7">
              <w:rPr>
                <w:rFonts w:eastAsia="SimSun" w:cs="Arial"/>
                <w:szCs w:val="24"/>
              </w:rPr>
              <w:t xml:space="preserve"> they are less intense. </w:t>
            </w:r>
          </w:p>
        </w:tc>
        <w:tc>
          <w:tcPr>
            <w:tcW w:w="5103" w:type="dxa"/>
            <w:tcBorders>
              <w:top w:val="nil"/>
              <w:left w:val="nil"/>
              <w:bottom w:val="single" w:sz="4" w:space="0" w:color="auto"/>
              <w:right w:val="nil"/>
            </w:tcBorders>
          </w:tcPr>
          <w:p w14:paraId="07CA326F" w14:textId="77777777" w:rsidR="00EC47BB" w:rsidRPr="00EA0DC7" w:rsidRDefault="00EC47BB" w:rsidP="00B7045C">
            <w:pPr>
              <w:spacing w:before="240" w:after="240" w:line="360" w:lineRule="auto"/>
              <w:jc w:val="left"/>
              <w:rPr>
                <w:rFonts w:eastAsia="SimSun" w:cs="Arial"/>
                <w:szCs w:val="24"/>
              </w:rPr>
            </w:pPr>
            <w:r w:rsidRPr="00EA0DC7">
              <w:rPr>
                <w:rFonts w:eastAsia="SimSun" w:cs="Arial"/>
                <w:szCs w:val="24"/>
              </w:rPr>
              <w:t>Symptoms must be present for at least two years (one year for children and adolescents) for diagnosis.</w:t>
            </w:r>
          </w:p>
        </w:tc>
      </w:tr>
    </w:tbl>
    <w:p w14:paraId="21FDBF06" w14:textId="77777777" w:rsidR="00A60B63" w:rsidRPr="00EA0DC7" w:rsidRDefault="00A60B63">
      <w:pPr>
        <w:sectPr w:rsidR="00A60B63" w:rsidRPr="00EA0DC7" w:rsidSect="00662C83">
          <w:pgSz w:w="16838" w:h="11906" w:orient="landscape"/>
          <w:pgMar w:top="2268" w:right="1440" w:bottom="1440" w:left="1440" w:header="709" w:footer="709" w:gutter="0"/>
          <w:cols w:space="708"/>
          <w:docGrid w:linePitch="360"/>
        </w:sectPr>
      </w:pPr>
    </w:p>
    <w:tbl>
      <w:tblPr>
        <w:tblStyle w:val="TableGrid1"/>
        <w:tblW w:w="13608" w:type="dxa"/>
        <w:tblLook w:val="04A0" w:firstRow="1" w:lastRow="0" w:firstColumn="1" w:lastColumn="0" w:noHBand="0" w:noVBand="1"/>
      </w:tblPr>
      <w:tblGrid>
        <w:gridCol w:w="2552"/>
        <w:gridCol w:w="5953"/>
        <w:gridCol w:w="5103"/>
      </w:tblGrid>
      <w:tr w:rsidR="006C59A6" w:rsidRPr="00EA0DC7" w14:paraId="6C50F461" w14:textId="77777777" w:rsidTr="00CB78E1">
        <w:tc>
          <w:tcPr>
            <w:tcW w:w="2552" w:type="dxa"/>
            <w:tcBorders>
              <w:left w:val="nil"/>
              <w:bottom w:val="single" w:sz="4" w:space="0" w:color="auto"/>
              <w:right w:val="nil"/>
            </w:tcBorders>
            <w:vAlign w:val="center"/>
          </w:tcPr>
          <w:p w14:paraId="6E5B2D80" w14:textId="30F945F7" w:rsidR="006C59A6" w:rsidRPr="00EA0DC7" w:rsidRDefault="006C59A6" w:rsidP="00CB78E1">
            <w:pPr>
              <w:spacing w:before="240" w:after="200" w:line="360" w:lineRule="auto"/>
              <w:jc w:val="center"/>
              <w:rPr>
                <w:rFonts w:eastAsia="SimSun" w:cs="Arial"/>
                <w:b/>
                <w:szCs w:val="24"/>
              </w:rPr>
            </w:pPr>
            <w:r w:rsidRPr="00EA0DC7">
              <w:rPr>
                <w:rFonts w:eastAsia="SimSun" w:cs="Arial"/>
                <w:b/>
                <w:szCs w:val="24"/>
              </w:rPr>
              <w:lastRenderedPageBreak/>
              <w:t>Disorder</w:t>
            </w:r>
          </w:p>
        </w:tc>
        <w:tc>
          <w:tcPr>
            <w:tcW w:w="5953" w:type="dxa"/>
            <w:tcBorders>
              <w:left w:val="nil"/>
              <w:bottom w:val="single" w:sz="4" w:space="0" w:color="auto"/>
              <w:right w:val="nil"/>
            </w:tcBorders>
            <w:vAlign w:val="center"/>
          </w:tcPr>
          <w:p w14:paraId="3AED7D37" w14:textId="77777777" w:rsidR="006C59A6" w:rsidRPr="00EA0DC7" w:rsidRDefault="006C59A6" w:rsidP="00CB78E1">
            <w:pPr>
              <w:spacing w:before="240" w:after="200" w:line="360" w:lineRule="auto"/>
              <w:jc w:val="center"/>
              <w:rPr>
                <w:rFonts w:eastAsia="SimSun" w:cs="Arial"/>
                <w:b/>
                <w:szCs w:val="24"/>
              </w:rPr>
            </w:pPr>
            <w:r w:rsidRPr="00EA0DC7">
              <w:rPr>
                <w:rFonts w:eastAsia="SimSun" w:cs="Arial"/>
                <w:b/>
                <w:szCs w:val="24"/>
              </w:rPr>
              <w:t>Symptoms</w:t>
            </w:r>
          </w:p>
        </w:tc>
        <w:tc>
          <w:tcPr>
            <w:tcW w:w="5103" w:type="dxa"/>
            <w:tcBorders>
              <w:left w:val="nil"/>
              <w:bottom w:val="single" w:sz="4" w:space="0" w:color="auto"/>
              <w:right w:val="nil"/>
            </w:tcBorders>
            <w:vAlign w:val="center"/>
          </w:tcPr>
          <w:p w14:paraId="43E9683E" w14:textId="77777777" w:rsidR="006C59A6" w:rsidRPr="00EA0DC7" w:rsidRDefault="006C59A6" w:rsidP="00CB78E1">
            <w:pPr>
              <w:spacing w:before="240" w:after="240" w:line="360" w:lineRule="auto"/>
              <w:jc w:val="center"/>
              <w:rPr>
                <w:rFonts w:eastAsia="SimSun" w:cs="Arial"/>
                <w:b/>
                <w:szCs w:val="24"/>
              </w:rPr>
            </w:pPr>
            <w:r w:rsidRPr="00EA0DC7">
              <w:rPr>
                <w:rFonts w:eastAsia="SimSun" w:cs="Arial"/>
                <w:b/>
                <w:szCs w:val="24"/>
              </w:rPr>
              <w:t>Duration of symptoms required for diagnosis</w:t>
            </w:r>
          </w:p>
        </w:tc>
      </w:tr>
      <w:tr w:rsidR="00EC47BB" w:rsidRPr="00EA0DC7" w14:paraId="22423142" w14:textId="77777777" w:rsidTr="00652A82">
        <w:tc>
          <w:tcPr>
            <w:tcW w:w="2552" w:type="dxa"/>
            <w:tcBorders>
              <w:top w:val="nil"/>
              <w:left w:val="nil"/>
              <w:bottom w:val="single" w:sz="4" w:space="0" w:color="auto"/>
              <w:right w:val="nil"/>
            </w:tcBorders>
          </w:tcPr>
          <w:p w14:paraId="002E4365" w14:textId="77777777" w:rsidR="00EC47BB" w:rsidRPr="00EA0DC7" w:rsidRDefault="00EC47BB" w:rsidP="00B7045C">
            <w:pPr>
              <w:spacing w:before="240" w:after="200" w:line="360" w:lineRule="auto"/>
              <w:jc w:val="left"/>
              <w:rPr>
                <w:rFonts w:eastAsia="SimSun" w:cs="Arial"/>
                <w:szCs w:val="24"/>
              </w:rPr>
            </w:pPr>
            <w:r w:rsidRPr="00EA0DC7">
              <w:rPr>
                <w:rFonts w:eastAsia="SimSun" w:cs="Arial"/>
                <w:szCs w:val="24"/>
              </w:rPr>
              <w:t>Bipolar I Disorder</w:t>
            </w:r>
          </w:p>
        </w:tc>
        <w:tc>
          <w:tcPr>
            <w:tcW w:w="5953" w:type="dxa"/>
            <w:tcBorders>
              <w:top w:val="nil"/>
              <w:left w:val="nil"/>
              <w:bottom w:val="single" w:sz="4" w:space="0" w:color="auto"/>
              <w:right w:val="nil"/>
            </w:tcBorders>
          </w:tcPr>
          <w:p w14:paraId="5BAFBF78" w14:textId="5F41B405" w:rsidR="00EC47BB" w:rsidRPr="00EA0DC7" w:rsidRDefault="00EC47BB" w:rsidP="00B7045C">
            <w:pPr>
              <w:spacing w:before="240" w:after="200" w:line="360" w:lineRule="auto"/>
              <w:jc w:val="left"/>
              <w:rPr>
                <w:rFonts w:eastAsia="SimSun" w:cs="Arial"/>
                <w:szCs w:val="24"/>
              </w:rPr>
            </w:pPr>
            <w:r w:rsidRPr="00EA0DC7">
              <w:rPr>
                <w:rFonts w:eastAsia="SimSun" w:cs="Arial"/>
                <w:szCs w:val="24"/>
              </w:rPr>
              <w:t>An individual must experience both major depressive episodes (as described above) and manic episodes.</w:t>
            </w:r>
            <w:r w:rsidR="00A90DC8" w:rsidRPr="00EA0DC7">
              <w:rPr>
                <w:rFonts w:eastAsia="SimSun" w:cs="Arial"/>
                <w:szCs w:val="24"/>
              </w:rPr>
              <w:t xml:space="preserve"> </w:t>
            </w:r>
            <w:r w:rsidRPr="00EA0DC7">
              <w:rPr>
                <w:rFonts w:eastAsia="SimSun" w:cs="Arial"/>
                <w:szCs w:val="24"/>
              </w:rPr>
              <w:t>Symptoms of a manic episode include: abnormally and persistently elevated mood; increased energy; inflated self-esteem; decreased need for sleep; increased talking; feelings of racing thoughts; distractibility; increased goal-directed activity or psychomotor agitation; and excessive involvement in activities that have a high potential for painful consequences.</w:t>
            </w:r>
          </w:p>
        </w:tc>
        <w:tc>
          <w:tcPr>
            <w:tcW w:w="5103" w:type="dxa"/>
            <w:tcBorders>
              <w:top w:val="nil"/>
              <w:left w:val="nil"/>
              <w:bottom w:val="single" w:sz="4" w:space="0" w:color="auto"/>
              <w:right w:val="nil"/>
            </w:tcBorders>
          </w:tcPr>
          <w:p w14:paraId="4A470972" w14:textId="2A73AA54" w:rsidR="00EC47BB" w:rsidRPr="00EA0DC7" w:rsidRDefault="00EC47BB" w:rsidP="00B7045C">
            <w:pPr>
              <w:spacing w:before="240" w:after="200" w:line="360" w:lineRule="auto"/>
              <w:jc w:val="left"/>
              <w:rPr>
                <w:rFonts w:eastAsia="SimSun" w:cs="Arial"/>
                <w:szCs w:val="24"/>
              </w:rPr>
            </w:pPr>
            <w:r w:rsidRPr="00EA0DC7">
              <w:rPr>
                <w:rFonts w:eastAsia="SimSun" w:cs="Arial"/>
                <w:szCs w:val="24"/>
              </w:rPr>
              <w:t xml:space="preserve">Symptoms of a manic episode must be present for most of the day, every day for at least one week. At least five symptoms of a major depressive episode must be present during a </w:t>
            </w:r>
            <w:r w:rsidR="00893A97" w:rsidRPr="00EA0DC7">
              <w:rPr>
                <w:rFonts w:eastAsia="SimSun" w:cs="Arial"/>
                <w:szCs w:val="24"/>
              </w:rPr>
              <w:t>two-week</w:t>
            </w:r>
            <w:r w:rsidRPr="00EA0DC7">
              <w:rPr>
                <w:rFonts w:eastAsia="SimSun" w:cs="Arial"/>
                <w:szCs w:val="24"/>
              </w:rPr>
              <w:t xml:space="preserve"> period. One of the symptoms must be a depressed mood or loss of interest or pleasure.</w:t>
            </w:r>
          </w:p>
        </w:tc>
      </w:tr>
    </w:tbl>
    <w:p w14:paraId="606886D8" w14:textId="77777777" w:rsidR="00EC47BB" w:rsidRPr="00EA0DC7" w:rsidRDefault="00EC47BB" w:rsidP="00EC47BB">
      <w:pPr>
        <w:spacing w:before="240"/>
        <w:rPr>
          <w:rFonts w:eastAsia="SimSun" w:cs="Arial"/>
          <w:szCs w:val="24"/>
        </w:rPr>
        <w:sectPr w:rsidR="00EC47BB" w:rsidRPr="00EA0DC7" w:rsidSect="005B08FE">
          <w:pgSz w:w="16838" w:h="11906" w:orient="landscape"/>
          <w:pgMar w:top="1440" w:right="1440" w:bottom="2268" w:left="1440" w:header="709" w:footer="709" w:gutter="0"/>
          <w:cols w:space="708"/>
          <w:docGrid w:linePitch="360"/>
        </w:sectPr>
      </w:pPr>
    </w:p>
    <w:p w14:paraId="48BEC8AB" w14:textId="28259162" w:rsidR="006C59A6" w:rsidRDefault="006C59A6" w:rsidP="006C59A6">
      <w:pPr>
        <w:ind w:firstLine="720"/>
      </w:pPr>
      <w:bookmarkStart w:id="14" w:name="_Toc508809008"/>
      <w:r w:rsidRPr="00EA0DC7">
        <w:lastRenderedPageBreak/>
        <w:t>The DSM-5 criteria for clinical depression have been criticised (Greenberg, 2013). Although clinical depression is considered distinct from general sadness, it has been argued that the DSM-5 does not clearly separate the two. This lack of clarity might elevate prevalence rates and cause harm by resulting in our treating those who do not need treatment (Horwitz, 2015). According to Wakefield (2016), the DSM-5 statement that “Careful consideration is given to the delineation of normal sadness and grief from a major depressive episode”</w:t>
      </w:r>
      <w:r w:rsidRPr="00EA0DC7">
        <w:rPr>
          <w:i/>
        </w:rPr>
        <w:t xml:space="preserve"> </w:t>
      </w:r>
      <w:r w:rsidRPr="00EA0DC7">
        <w:t xml:space="preserve">(DSM-5, 2013, p.155) does not go far enough. He argues that context should be taken into account through the use of inclusion or exclusion guidelines, such as excluding those who have recently experienced loss. However, it has also been argued that loss often precedes episodes of major depression; therefore, additional contextual criteria might exclude many who need treatment (Maj, 2010). </w:t>
      </w:r>
    </w:p>
    <w:p w14:paraId="4447176C" w14:textId="58BB263F" w:rsidR="004F3005" w:rsidRPr="00EA0DC7" w:rsidRDefault="004F3005" w:rsidP="006C59A6">
      <w:pPr>
        <w:ind w:firstLine="720"/>
      </w:pPr>
      <w:commentRangeStart w:id="15"/>
      <w:r>
        <w:t>In a further criticism of t</w:t>
      </w:r>
      <w:commentRangeEnd w:id="15"/>
      <w:r w:rsidR="00D031DD">
        <w:rPr>
          <w:rStyle w:val="CommentReference"/>
          <w:rFonts w:eastAsiaTheme="minorHAnsi"/>
          <w:lang w:eastAsia="en-US"/>
        </w:rPr>
        <w:commentReference w:id="15"/>
      </w:r>
      <w:r>
        <w:t>he use of the DSM, Kendler (2016) argues that while the DSM is a practical way to diagnosis in practice, we are at risk of taking the index of the disorder</w:t>
      </w:r>
      <w:r w:rsidR="006F3D33">
        <w:t xml:space="preserve"> as</w:t>
      </w:r>
      <w:r>
        <w:t xml:space="preserve"> the disorder itself.</w:t>
      </w:r>
      <w:r w:rsidR="00DF0DD7">
        <w:t xml:space="preserve"> He suggests that reducing depression to the DSM criteria would be akin to reducing intelligence to IQ score.</w:t>
      </w:r>
      <w:r>
        <w:t xml:space="preserve"> </w:t>
      </w:r>
      <w:r w:rsidR="00DF0DD7">
        <w:t>Kendler</w:t>
      </w:r>
      <w:r w:rsidR="00306D35">
        <w:t xml:space="preserve"> (2016)</w:t>
      </w:r>
      <w:r w:rsidR="00DF0DD7">
        <w:t xml:space="preserve"> </w:t>
      </w:r>
      <w:r w:rsidR="006F3D33">
        <w:t>identified that descriptions of depression symptomology are much broader in</w:t>
      </w:r>
      <w:r w:rsidR="00DF0DD7">
        <w:t xml:space="preserve"> key</w:t>
      </w:r>
      <w:r w:rsidR="006F3D33">
        <w:t xml:space="preserve"> textbooks than the DSM. </w:t>
      </w:r>
      <w:r w:rsidR="00DF0DD7">
        <w:t>For example, authors often place greater emphasis on cognitive and attitudinal changes associated with depression than do the DSM criteria.</w:t>
      </w:r>
      <w:r w:rsidR="006F3D33">
        <w:t xml:space="preserve"> The symptomatology of depression is explored further in the next section.</w:t>
      </w:r>
    </w:p>
    <w:p w14:paraId="2509EC74" w14:textId="5A855946" w:rsidR="00EC47BB" w:rsidRPr="00EA0DC7" w:rsidRDefault="00EC47BB" w:rsidP="00B328B8">
      <w:pPr>
        <w:keepNext/>
        <w:outlineLvl w:val="2"/>
        <w:rPr>
          <w:rFonts w:eastAsia="SimSun" w:cs="Arial"/>
          <w:b/>
          <w:i/>
          <w:szCs w:val="24"/>
        </w:rPr>
      </w:pPr>
      <w:r w:rsidRPr="00EA0DC7">
        <w:rPr>
          <w:rFonts w:eastAsia="SimSun" w:cs="Arial"/>
          <w:b/>
          <w:i/>
          <w:szCs w:val="24"/>
        </w:rPr>
        <w:lastRenderedPageBreak/>
        <w:t>1.2.1 Symptomatology</w:t>
      </w:r>
      <w:bookmarkEnd w:id="14"/>
      <w:r w:rsidRPr="00EA0DC7">
        <w:rPr>
          <w:rFonts w:eastAsia="SimSun" w:cs="Arial"/>
          <w:b/>
          <w:i/>
          <w:szCs w:val="24"/>
        </w:rPr>
        <w:t xml:space="preserve"> </w:t>
      </w:r>
    </w:p>
    <w:p w14:paraId="08C0EBC5" w14:textId="56EA04E7" w:rsidR="00EC47BB" w:rsidRPr="00EA0DC7" w:rsidRDefault="00EC47BB" w:rsidP="00EC47BB">
      <w:pPr>
        <w:ind w:firstLine="720"/>
        <w:rPr>
          <w:rFonts w:eastAsia="SimSun" w:cs="Arial"/>
        </w:rPr>
      </w:pPr>
      <w:r w:rsidRPr="00EA0DC7">
        <w:rPr>
          <w:rFonts w:eastAsia="SimSun" w:cs="Arial"/>
        </w:rPr>
        <w:t xml:space="preserve">According to the medical model of depression – outlined in DSM-5 (2013) – the core characteristics that everyone with depression will experience are an abnormally low mood and a lack of ability to find things pleasurable or interesting </w:t>
      </w:r>
      <w:r w:rsidR="00E26805" w:rsidRPr="00EA0DC7">
        <w:rPr>
          <w:rFonts w:eastAsia="SimSun" w:cs="Arial"/>
        </w:rPr>
        <w:t xml:space="preserve">that would usually be enjoyable, </w:t>
      </w:r>
      <w:r w:rsidRPr="00EA0DC7">
        <w:rPr>
          <w:rFonts w:eastAsia="SimSun" w:cs="Arial"/>
        </w:rPr>
        <w:t xml:space="preserve">known as anhedonia </w:t>
      </w:r>
      <w:r w:rsidRPr="00EA0DC7">
        <w:rPr>
          <w:rFonts w:eastAsia="SimSun" w:cs="Arial"/>
          <w:szCs w:val="24"/>
        </w:rPr>
        <w:t xml:space="preserve">(Hammen, &amp; Watkins, 2008; </w:t>
      </w:r>
      <w:r w:rsidRPr="00EA0DC7">
        <w:rPr>
          <w:rFonts w:eastAsia="SimSun" w:cs="Arial"/>
        </w:rPr>
        <w:t>Klinger, 1993</w:t>
      </w:r>
      <w:r w:rsidRPr="00EA0DC7">
        <w:rPr>
          <w:rFonts w:eastAsia="SimSun" w:cs="Arial"/>
          <w:szCs w:val="24"/>
        </w:rPr>
        <w:t>)</w:t>
      </w:r>
      <w:r w:rsidRPr="00EA0DC7">
        <w:rPr>
          <w:rFonts w:eastAsia="SimSun" w:cs="Arial"/>
        </w:rPr>
        <w:t>.</w:t>
      </w:r>
      <w:r w:rsidR="00B43471">
        <w:rPr>
          <w:rFonts w:eastAsia="SimSun" w:cs="Arial"/>
        </w:rPr>
        <w:t xml:space="preserve"> </w:t>
      </w:r>
      <w:commentRangeStart w:id="16"/>
      <w:r w:rsidR="00B43471">
        <w:rPr>
          <w:rFonts w:eastAsia="SimSun" w:cs="Arial"/>
        </w:rPr>
        <w:t xml:space="preserve">This </w:t>
      </w:r>
      <w:r w:rsidR="00815DC7">
        <w:rPr>
          <w:rFonts w:eastAsia="SimSun" w:cs="Arial"/>
        </w:rPr>
        <w:t xml:space="preserve">pattern </w:t>
      </w:r>
      <w:r w:rsidR="00B43471">
        <w:rPr>
          <w:rFonts w:eastAsia="SimSun" w:cs="Arial"/>
        </w:rPr>
        <w:t xml:space="preserve">suggests </w:t>
      </w:r>
      <w:commentRangeEnd w:id="16"/>
      <w:r w:rsidR="00D031DD">
        <w:rPr>
          <w:rStyle w:val="CommentReference"/>
          <w:rFonts w:eastAsiaTheme="minorHAnsi"/>
          <w:lang w:eastAsia="en-US"/>
        </w:rPr>
        <w:commentReference w:id="16"/>
      </w:r>
      <w:r w:rsidR="00B43471">
        <w:rPr>
          <w:rFonts w:eastAsia="SimSun" w:cs="Arial"/>
        </w:rPr>
        <w:t xml:space="preserve">that those with depression are resistant to the influence of positive events or activities due to their persistent and enduring low mood. However, comparing the emotional states and activities of individuals with depression and those without, </w:t>
      </w:r>
      <w:r w:rsidR="00546743">
        <w:rPr>
          <w:rFonts w:eastAsia="SimSun" w:cs="Arial"/>
        </w:rPr>
        <w:t xml:space="preserve">Nelson, Klumparendt, Doebler and Ehring (2020) </w:t>
      </w:r>
      <w:r w:rsidR="00B43471">
        <w:rPr>
          <w:rFonts w:eastAsia="SimSun" w:cs="Arial"/>
        </w:rPr>
        <w:t xml:space="preserve">found that emotions in depression are not that rigid. While the negative affect of those with depression was found to be more </w:t>
      </w:r>
      <w:r w:rsidR="00815DC7">
        <w:rPr>
          <w:rFonts w:eastAsia="SimSun" w:cs="Arial"/>
        </w:rPr>
        <w:t xml:space="preserve">static </w:t>
      </w:r>
      <w:r w:rsidR="00B43471">
        <w:rPr>
          <w:rFonts w:eastAsia="SimSun" w:cs="Arial"/>
        </w:rPr>
        <w:t xml:space="preserve">than those without, it was also found to be more reactive to positive events (mood brightening in response to positive </w:t>
      </w:r>
      <w:r w:rsidR="00546743">
        <w:rPr>
          <w:rFonts w:eastAsia="SimSun" w:cs="Arial"/>
        </w:rPr>
        <w:t>activities</w:t>
      </w:r>
      <w:r w:rsidR="00B43471">
        <w:rPr>
          <w:rFonts w:eastAsia="SimSun" w:cs="Arial"/>
        </w:rPr>
        <w:t>). A pos</w:t>
      </w:r>
      <w:r w:rsidR="00546743">
        <w:rPr>
          <w:rFonts w:eastAsia="SimSun" w:cs="Arial"/>
        </w:rPr>
        <w:t>sible explanation for this</w:t>
      </w:r>
      <w:r w:rsidR="00815DC7">
        <w:rPr>
          <w:rFonts w:eastAsia="SimSun" w:cs="Arial"/>
        </w:rPr>
        <w:t xml:space="preserve"> finding</w:t>
      </w:r>
      <w:r w:rsidR="00546743">
        <w:rPr>
          <w:rFonts w:eastAsia="SimSun" w:cs="Arial"/>
        </w:rPr>
        <w:t xml:space="preserve"> is</w:t>
      </w:r>
      <w:r w:rsidR="00B43471">
        <w:rPr>
          <w:rFonts w:eastAsia="SimSun" w:cs="Arial"/>
        </w:rPr>
        <w:t xml:space="preserve"> that</w:t>
      </w:r>
      <w:r w:rsidR="00546743">
        <w:rPr>
          <w:rFonts w:eastAsia="SimSun" w:cs="Arial"/>
        </w:rPr>
        <w:t xml:space="preserve"> </w:t>
      </w:r>
      <w:r w:rsidR="00B43471">
        <w:rPr>
          <w:rFonts w:eastAsia="SimSun" w:cs="Arial"/>
        </w:rPr>
        <w:t>those with depression exp</w:t>
      </w:r>
      <w:r w:rsidR="00546743">
        <w:rPr>
          <w:rFonts w:eastAsia="SimSun" w:cs="Arial"/>
        </w:rPr>
        <w:t>erience fewer positive events</w:t>
      </w:r>
      <w:r w:rsidR="00815DC7">
        <w:rPr>
          <w:rFonts w:eastAsia="SimSun" w:cs="Arial"/>
        </w:rPr>
        <w:t xml:space="preserve"> </w:t>
      </w:r>
      <w:r w:rsidR="00306D35">
        <w:rPr>
          <w:rFonts w:eastAsia="SimSun" w:cs="Arial"/>
        </w:rPr>
        <w:t>than those without depression</w:t>
      </w:r>
      <w:r w:rsidR="00546743">
        <w:rPr>
          <w:rFonts w:eastAsia="SimSun" w:cs="Arial"/>
        </w:rPr>
        <w:t>,</w:t>
      </w:r>
      <w:r w:rsidR="00B43471">
        <w:rPr>
          <w:rFonts w:eastAsia="SimSun" w:cs="Arial"/>
        </w:rPr>
        <w:t xml:space="preserve"> </w:t>
      </w:r>
      <w:r w:rsidR="00306D35">
        <w:rPr>
          <w:rFonts w:eastAsia="SimSun" w:cs="Arial"/>
        </w:rPr>
        <w:t xml:space="preserve">so </w:t>
      </w:r>
      <w:r w:rsidR="00546743">
        <w:rPr>
          <w:rFonts w:eastAsia="SimSun" w:cs="Arial"/>
        </w:rPr>
        <w:t>when these events do occur it is a greater contrast to the norm</w:t>
      </w:r>
      <w:r w:rsidR="00306D35">
        <w:rPr>
          <w:rFonts w:eastAsia="SimSun" w:cs="Arial"/>
        </w:rPr>
        <w:t xml:space="preserve">. Therefore, </w:t>
      </w:r>
      <w:r w:rsidR="00546743">
        <w:rPr>
          <w:rFonts w:eastAsia="SimSun" w:cs="Arial"/>
        </w:rPr>
        <w:t>a greater reduction in negative affect is experienced.</w:t>
      </w:r>
    </w:p>
    <w:p w14:paraId="1654471B" w14:textId="1958E408" w:rsidR="005F181E" w:rsidRPr="00EA0DC7" w:rsidRDefault="00EC47BB" w:rsidP="005F181E">
      <w:pPr>
        <w:ind w:firstLine="720"/>
        <w:rPr>
          <w:rFonts w:eastAsia="SimSun" w:cs="Arial"/>
        </w:rPr>
      </w:pPr>
      <w:r w:rsidRPr="00EA0DC7">
        <w:rPr>
          <w:rFonts w:eastAsia="SimSun" w:cs="Arial"/>
          <w:szCs w:val="24"/>
        </w:rPr>
        <w:t xml:space="preserve">While depression is considered by most to be a mood disorder, </w:t>
      </w:r>
      <w:r w:rsidRPr="00EA0DC7">
        <w:rPr>
          <w:rFonts w:eastAsia="SimSun" w:cs="Arial"/>
        </w:rPr>
        <w:t xml:space="preserve">a major aspect of the disorder is faulty cognitive processing. Some call depression a disorder of thought as much as it is a disorder of mood </w:t>
      </w:r>
      <w:r w:rsidR="003C42EE" w:rsidRPr="00EA0DC7">
        <w:rPr>
          <w:rFonts w:eastAsia="SimSun" w:cs="Arial"/>
          <w:szCs w:val="24"/>
        </w:rPr>
        <w:t>(Hammen</w:t>
      </w:r>
      <w:r w:rsidRPr="00EA0DC7">
        <w:rPr>
          <w:rFonts w:eastAsia="SimSun" w:cs="Arial"/>
          <w:szCs w:val="24"/>
        </w:rPr>
        <w:t xml:space="preserve"> &amp; Watkins, 2008)</w:t>
      </w:r>
      <w:r w:rsidRPr="00EA0DC7">
        <w:rPr>
          <w:rFonts w:eastAsia="SimSun" w:cs="Arial"/>
        </w:rPr>
        <w:t>.</w:t>
      </w:r>
      <w:r w:rsidR="00B0154C" w:rsidRPr="00EA0DC7">
        <w:rPr>
          <w:rFonts w:eastAsia="SimSun" w:cs="Arial"/>
        </w:rPr>
        <w:t xml:space="preserve"> </w:t>
      </w:r>
      <w:r w:rsidR="005F181E" w:rsidRPr="00EA0DC7">
        <w:rPr>
          <w:rFonts w:eastAsia="SimSun" w:cs="Arial"/>
        </w:rPr>
        <w:t xml:space="preserve">There are multiple psychological models of depression. </w:t>
      </w:r>
      <w:r w:rsidR="006F2867" w:rsidRPr="00EA0DC7">
        <w:rPr>
          <w:rFonts w:eastAsia="SimSun" w:cs="Arial"/>
        </w:rPr>
        <w:t xml:space="preserve">The focus here will be on the cognitive model of depression (Beck, 1967). This model views all other symptoms of depression as consequences of negative thinking. </w:t>
      </w:r>
      <w:r w:rsidR="005F181E" w:rsidRPr="00EA0DC7">
        <w:rPr>
          <w:rFonts w:eastAsia="SimSun" w:cs="Arial"/>
        </w:rPr>
        <w:t>Other models include psychodynamic theory</w:t>
      </w:r>
      <w:r w:rsidR="00253F8B" w:rsidRPr="00EA0DC7">
        <w:rPr>
          <w:rFonts w:eastAsia="SimSun" w:cs="Arial"/>
        </w:rPr>
        <w:t>,</w:t>
      </w:r>
      <w:r w:rsidR="005F181E" w:rsidRPr="00EA0DC7">
        <w:rPr>
          <w:rFonts w:eastAsia="SimSun" w:cs="Arial"/>
        </w:rPr>
        <w:t xml:space="preserve"> suggesting that depression is </w:t>
      </w:r>
      <w:r w:rsidR="005F181E" w:rsidRPr="00EA0DC7">
        <w:rPr>
          <w:rFonts w:eastAsia="SimSun" w:cs="Arial"/>
        </w:rPr>
        <w:lastRenderedPageBreak/>
        <w:t>associated with loss (Freud, 1917), and interpersonal theory</w:t>
      </w:r>
      <w:r w:rsidR="00253F8B" w:rsidRPr="00EA0DC7">
        <w:rPr>
          <w:rFonts w:eastAsia="SimSun" w:cs="Arial"/>
        </w:rPr>
        <w:t>,</w:t>
      </w:r>
      <w:r w:rsidR="005F181E" w:rsidRPr="00EA0DC7">
        <w:rPr>
          <w:rFonts w:eastAsia="SimSun" w:cs="Arial"/>
        </w:rPr>
        <w:t xml:space="preserve"> suggesting that the reactions of others play a key role in maintaining depression (Coyne 1976). </w:t>
      </w:r>
    </w:p>
    <w:p w14:paraId="60DB23C5" w14:textId="201B1C4A" w:rsidR="00EC47BB" w:rsidRPr="00EA0DC7" w:rsidRDefault="005F181E" w:rsidP="00EC47BB">
      <w:pPr>
        <w:ind w:firstLine="720"/>
        <w:rPr>
          <w:rFonts w:eastAsia="SimSun" w:cs="Arial"/>
        </w:rPr>
      </w:pPr>
      <w:r w:rsidRPr="00EA0DC7">
        <w:rPr>
          <w:rFonts w:eastAsia="SimSun" w:cs="Arial"/>
        </w:rPr>
        <w:t>The cognitive</w:t>
      </w:r>
      <w:r w:rsidR="006F2867" w:rsidRPr="00EA0DC7">
        <w:rPr>
          <w:rFonts w:eastAsia="SimSun" w:cs="Arial"/>
        </w:rPr>
        <w:t xml:space="preserve"> model has three core elements: </w:t>
      </w:r>
      <w:r w:rsidR="006F2867" w:rsidRPr="00EA0DC7">
        <w:rPr>
          <w:rFonts w:eastAsia="SimSun" w:cs="Arial"/>
          <w:iCs/>
        </w:rPr>
        <w:t>the cognitive triad; cognitive errors; and schemas</w:t>
      </w:r>
      <w:r w:rsidR="006F2867" w:rsidRPr="00EA0DC7">
        <w:rPr>
          <w:rFonts w:eastAsia="SimSun" w:cs="Arial"/>
        </w:rPr>
        <w:t>.</w:t>
      </w:r>
      <w:r w:rsidRPr="00EA0DC7">
        <w:rPr>
          <w:rFonts w:eastAsia="SimSun" w:cs="Arial"/>
        </w:rPr>
        <w:t xml:space="preserve"> </w:t>
      </w:r>
      <w:r w:rsidR="00EC47BB" w:rsidRPr="00EA0DC7">
        <w:rPr>
          <w:rFonts w:eastAsia="SimSun" w:cs="Arial"/>
        </w:rPr>
        <w:t xml:space="preserve">The </w:t>
      </w:r>
      <w:r w:rsidR="00EC47BB" w:rsidRPr="00EA0DC7">
        <w:rPr>
          <w:rFonts w:eastAsia="SimSun" w:cs="Arial"/>
          <w:iCs/>
        </w:rPr>
        <w:t>cognitive triad</w:t>
      </w:r>
      <w:r w:rsidR="00EC47BB" w:rsidRPr="00EA0DC7">
        <w:rPr>
          <w:rFonts w:eastAsia="SimSun" w:cs="Arial"/>
        </w:rPr>
        <w:t xml:space="preserve"> refers to the negative thought patterns that those with depression have about themselves, the world and the future (Beck, 1976). These thought patterns often contain</w:t>
      </w:r>
      <w:r w:rsidR="00B621EF" w:rsidRPr="00EA0DC7">
        <w:rPr>
          <w:rFonts w:eastAsia="SimSun" w:cs="Arial"/>
        </w:rPr>
        <w:t xml:space="preserve"> problematic </w:t>
      </w:r>
      <w:r w:rsidR="00EC47BB" w:rsidRPr="00EA0DC7">
        <w:rPr>
          <w:rFonts w:eastAsia="SimSun" w:cs="Arial"/>
        </w:rPr>
        <w:t xml:space="preserve">information processing or </w:t>
      </w:r>
      <w:r w:rsidR="00EC47BB" w:rsidRPr="00EA0DC7">
        <w:rPr>
          <w:rFonts w:eastAsia="SimSun" w:cs="Arial"/>
          <w:iCs/>
        </w:rPr>
        <w:t>cognitive errors</w:t>
      </w:r>
      <w:r w:rsidR="00EC47BB" w:rsidRPr="00EA0DC7">
        <w:rPr>
          <w:rFonts w:eastAsia="SimSun" w:cs="Arial"/>
        </w:rPr>
        <w:t xml:space="preserve"> </w:t>
      </w:r>
      <w:r w:rsidR="00177CE7" w:rsidRPr="00EA0DC7">
        <w:rPr>
          <w:rFonts w:eastAsia="SimSun" w:cs="Arial"/>
        </w:rPr>
        <w:t xml:space="preserve">that leave a person </w:t>
      </w:r>
      <w:r w:rsidR="00EC47BB" w:rsidRPr="00EA0DC7">
        <w:rPr>
          <w:rFonts w:eastAsia="SimSun" w:cs="Arial"/>
        </w:rPr>
        <w:t xml:space="preserve">feeling incompetent, guilty and hopeless </w:t>
      </w:r>
      <w:r w:rsidR="00EC47BB" w:rsidRPr="00EA0DC7">
        <w:rPr>
          <w:rFonts w:eastAsia="SimSun" w:cs="Arial"/>
          <w:szCs w:val="24"/>
        </w:rPr>
        <w:t>(Hammen &amp; Watkins, 2008)</w:t>
      </w:r>
      <w:r w:rsidR="00EC47BB" w:rsidRPr="00EA0DC7">
        <w:rPr>
          <w:rFonts w:eastAsia="SimSun" w:cs="Arial"/>
        </w:rPr>
        <w:t xml:space="preserve">. Cognitive schemas explain why an individual maintains pain-inducing attitudes despite objective evidence. </w:t>
      </w:r>
      <w:r w:rsidR="00EC47BB" w:rsidRPr="00EA0DC7">
        <w:rPr>
          <w:rFonts w:eastAsia="SimSun" w:cs="Arial"/>
          <w:iCs/>
        </w:rPr>
        <w:t>Schemas</w:t>
      </w:r>
      <w:r w:rsidR="00EC47BB" w:rsidRPr="00EA0DC7">
        <w:rPr>
          <w:rFonts w:eastAsia="SimSun" w:cs="Arial"/>
        </w:rPr>
        <w:t xml:space="preserve"> are organised representations of experiences, which guide information processing based on what is expected (Beck, 1967). If an individual has a dysfunctional, negative schema based on </w:t>
      </w:r>
      <w:r w:rsidR="00893A97" w:rsidRPr="00EA0DC7">
        <w:rPr>
          <w:rFonts w:eastAsia="SimSun" w:cs="Arial"/>
        </w:rPr>
        <w:t>past experiences</w:t>
      </w:r>
      <w:r w:rsidR="00EC47BB" w:rsidRPr="00EA0DC7">
        <w:rPr>
          <w:rFonts w:eastAsia="SimSun" w:cs="Arial"/>
        </w:rPr>
        <w:t>, then this will continue to guide the processing of new experiences, even when it is not appropriate. In addition to negativistic thinking, depression is associated with problems in mental processes such as concentration and memory (Willner, 1984). These problems can exacerbate feelings of incompetency and lead to worry about losing one’s mind.</w:t>
      </w:r>
    </w:p>
    <w:p w14:paraId="51F81A9A" w14:textId="592BCB16" w:rsidR="00EC47BB" w:rsidRPr="00EA0DC7" w:rsidRDefault="00EC47BB" w:rsidP="00EC47BB">
      <w:pPr>
        <w:ind w:firstLine="720"/>
        <w:rPr>
          <w:rFonts w:eastAsia="SimSun" w:cs="Arial"/>
        </w:rPr>
      </w:pPr>
      <w:r w:rsidRPr="00EA0DC7">
        <w:rPr>
          <w:rFonts w:eastAsia="SimSun" w:cs="Arial"/>
        </w:rPr>
        <w:t>Other symptoms of depression can manifest themselves in different ways for different people. Where there are actual changes in motor behaviours, most patients appear to be slowed down (Sobin &amp; Sackeim, 1997). This slowing</w:t>
      </w:r>
      <w:r w:rsidR="00177CE7" w:rsidRPr="00EA0DC7">
        <w:rPr>
          <w:rFonts w:eastAsia="SimSun" w:cs="Arial"/>
        </w:rPr>
        <w:t xml:space="preserve"> (</w:t>
      </w:r>
      <w:r w:rsidRPr="00EA0DC7">
        <w:rPr>
          <w:rFonts w:eastAsia="SimSun" w:cs="Arial"/>
        </w:rPr>
        <w:t>psychomotor retardation</w:t>
      </w:r>
      <w:r w:rsidR="00177CE7" w:rsidRPr="00EA0DC7">
        <w:rPr>
          <w:rFonts w:eastAsia="SimSun" w:cs="Arial"/>
        </w:rPr>
        <w:t>)</w:t>
      </w:r>
      <w:r w:rsidRPr="00EA0DC7">
        <w:rPr>
          <w:rFonts w:eastAsia="SimSun" w:cs="Arial"/>
        </w:rPr>
        <w:t xml:space="preserve"> can manifest itself as, for example, slowed speech (Szabadi, Bradshaw, &amp; Besson, 1976) o</w:t>
      </w:r>
      <w:r w:rsidR="00893A97" w:rsidRPr="00EA0DC7">
        <w:rPr>
          <w:rFonts w:eastAsia="SimSun" w:cs="Arial"/>
        </w:rPr>
        <w:t>r fewer facial movements (Jones</w:t>
      </w:r>
      <w:r w:rsidRPr="00EA0DC7">
        <w:rPr>
          <w:rFonts w:eastAsia="SimSun" w:cs="Arial"/>
        </w:rPr>
        <w:t xml:space="preserve"> &amp; Pansa, 1979). In contrast, others display psychomotor agitation, appearing restless or fidgety </w:t>
      </w:r>
      <w:r w:rsidRPr="00EA0DC7">
        <w:rPr>
          <w:rFonts w:eastAsia="SimSun" w:cs="Arial"/>
          <w:szCs w:val="24"/>
        </w:rPr>
        <w:t>(Hammen &amp; Watkins, 2008)</w:t>
      </w:r>
      <w:r w:rsidRPr="00EA0DC7">
        <w:rPr>
          <w:rFonts w:eastAsia="SimSun" w:cs="Arial"/>
        </w:rPr>
        <w:t xml:space="preserve">. A key behavioural characteristic for most people with depression is withdrawal from </w:t>
      </w:r>
      <w:r w:rsidRPr="00EA0DC7">
        <w:rPr>
          <w:rFonts w:eastAsia="SimSun" w:cs="Arial"/>
        </w:rPr>
        <w:lastRenderedPageBreak/>
        <w:t xml:space="preserve">society (Fennell, 1989). This is due to both the loss of pleasure in such activities and the incorrect belief that others see them as aversive. </w:t>
      </w:r>
    </w:p>
    <w:p w14:paraId="4174190B" w14:textId="77777777" w:rsidR="00B44049" w:rsidRDefault="00EC47BB" w:rsidP="00EC47BB">
      <w:pPr>
        <w:ind w:firstLine="720"/>
        <w:rPr>
          <w:rFonts w:eastAsia="SimSun" w:cs="Arial"/>
        </w:rPr>
      </w:pPr>
      <w:r w:rsidRPr="00EA0DC7">
        <w:rPr>
          <w:rFonts w:eastAsia="SimSun" w:cs="Arial"/>
        </w:rPr>
        <w:t>As with behavioural symptoms, physical symptoms can also manifest themselves in very different ways. Many patients experience sleep disturbances (Kupfer, 1995) and loss of appetite (Paykel, 1977), whereas others experience increased sleep and appetite. The latter combination has been labelled atypical depression (Davidson, Miller, Turnbull, &amp; Sullivan, 1982).</w:t>
      </w:r>
      <w:r w:rsidR="008B52AC">
        <w:rPr>
          <w:rFonts w:eastAsia="SimSun" w:cs="Arial"/>
        </w:rPr>
        <w:t xml:space="preserve"> </w:t>
      </w:r>
    </w:p>
    <w:p w14:paraId="51F076FC" w14:textId="69641F08" w:rsidR="00EC47BB" w:rsidRDefault="008B52AC" w:rsidP="00EC47BB">
      <w:pPr>
        <w:ind w:firstLine="720"/>
        <w:rPr>
          <w:rFonts w:eastAsia="SimSun" w:cs="Arial"/>
        </w:rPr>
      </w:pPr>
      <w:commentRangeStart w:id="17"/>
      <w:r>
        <w:rPr>
          <w:rFonts w:eastAsia="SimSun" w:cs="Arial"/>
        </w:rPr>
        <w:t xml:space="preserve">The relationship between sleep </w:t>
      </w:r>
      <w:commentRangeEnd w:id="17"/>
      <w:r w:rsidR="00D031DD">
        <w:rPr>
          <w:rStyle w:val="CommentReference"/>
          <w:rFonts w:eastAsiaTheme="minorHAnsi"/>
          <w:lang w:eastAsia="en-US"/>
        </w:rPr>
        <w:commentReference w:id="17"/>
      </w:r>
      <w:r>
        <w:rPr>
          <w:rFonts w:eastAsia="SimSun" w:cs="Arial"/>
        </w:rPr>
        <w:t xml:space="preserve">and depressive symptoms </w:t>
      </w:r>
      <w:r w:rsidR="00977FE7">
        <w:rPr>
          <w:rFonts w:eastAsia="SimSun" w:cs="Arial"/>
        </w:rPr>
        <w:t>is complex</w:t>
      </w:r>
      <w:r>
        <w:rPr>
          <w:rFonts w:eastAsia="SimSun" w:cs="Arial"/>
        </w:rPr>
        <w:t xml:space="preserve">. </w:t>
      </w:r>
      <w:r w:rsidR="00555718">
        <w:rPr>
          <w:rFonts w:eastAsia="SimSun" w:cs="Arial"/>
        </w:rPr>
        <w:t xml:space="preserve">Depression can cause sleep disturbances, but sleep disturbances can also lead to depressive symptoms. </w:t>
      </w:r>
      <w:r w:rsidR="00B44049">
        <w:rPr>
          <w:rFonts w:eastAsia="SimSun" w:cs="Arial"/>
        </w:rPr>
        <w:t>Lorenz, Sander, Ivanova and Hegerl (2020)</w:t>
      </w:r>
      <w:r>
        <w:rPr>
          <w:rFonts w:eastAsia="SimSun" w:cs="Arial"/>
        </w:rPr>
        <w:t xml:space="preserve"> found that </w:t>
      </w:r>
      <w:r w:rsidR="00815DC7">
        <w:rPr>
          <w:rFonts w:eastAsia="SimSun" w:cs="Arial"/>
        </w:rPr>
        <w:t xml:space="preserve">total sleep time was related to depression core symptoms </w:t>
      </w:r>
      <w:r>
        <w:rPr>
          <w:rFonts w:eastAsia="SimSun" w:cs="Arial"/>
        </w:rPr>
        <w:t xml:space="preserve">for only nine of the 22 patients in their study, and time in bed was related to symptoms for only seven patients. Regarding the direction of the relationship, results were quite </w:t>
      </w:r>
      <w:r w:rsidR="00B44049">
        <w:rPr>
          <w:rFonts w:eastAsia="SimSun" w:cs="Arial"/>
        </w:rPr>
        <w:t>heterogeneous</w:t>
      </w:r>
      <w:r>
        <w:rPr>
          <w:rFonts w:eastAsia="SimSun" w:cs="Arial"/>
        </w:rPr>
        <w:t>. Total sleep time was the cause of depression symptoms</w:t>
      </w:r>
      <w:r w:rsidR="00815DC7" w:rsidRPr="00815DC7">
        <w:rPr>
          <w:rFonts w:eastAsia="SimSun" w:cs="Arial"/>
        </w:rPr>
        <w:t xml:space="preserve"> </w:t>
      </w:r>
      <w:r w:rsidR="00815DC7">
        <w:rPr>
          <w:rFonts w:eastAsia="SimSun" w:cs="Arial"/>
        </w:rPr>
        <w:t>for most patients</w:t>
      </w:r>
      <w:r>
        <w:rPr>
          <w:rFonts w:eastAsia="SimSun" w:cs="Arial"/>
        </w:rPr>
        <w:t xml:space="preserve">, rather than the effect. </w:t>
      </w:r>
      <w:r w:rsidR="00B44049">
        <w:rPr>
          <w:rFonts w:eastAsia="SimSun" w:cs="Arial"/>
        </w:rPr>
        <w:t>However, time in bed was the cause of symptoms for only around half of the patients</w:t>
      </w:r>
      <w:r w:rsidR="00815DC7" w:rsidRPr="00815DC7">
        <w:rPr>
          <w:rFonts w:eastAsia="SimSun" w:cs="Arial"/>
        </w:rPr>
        <w:t xml:space="preserve"> </w:t>
      </w:r>
      <w:r w:rsidR="00815DC7">
        <w:rPr>
          <w:rFonts w:eastAsia="SimSun" w:cs="Arial"/>
        </w:rPr>
        <w:t>rather than the effect</w:t>
      </w:r>
      <w:r w:rsidR="00B44049">
        <w:rPr>
          <w:rFonts w:eastAsia="SimSun" w:cs="Arial"/>
        </w:rPr>
        <w:t>. Th</w:t>
      </w:r>
      <w:r w:rsidR="00C81BB2">
        <w:rPr>
          <w:rFonts w:eastAsia="SimSun" w:cs="Arial"/>
        </w:rPr>
        <w:t>e</w:t>
      </w:r>
      <w:r w:rsidR="00B44049">
        <w:rPr>
          <w:rFonts w:eastAsia="SimSun" w:cs="Arial"/>
        </w:rPr>
        <w:t xml:space="preserve"> relationship </w:t>
      </w:r>
      <w:r w:rsidR="00C81BB2">
        <w:rPr>
          <w:rFonts w:eastAsia="SimSun" w:cs="Arial"/>
        </w:rPr>
        <w:t xml:space="preserve">was in the opposite direction </w:t>
      </w:r>
      <w:r w:rsidR="00B44049">
        <w:rPr>
          <w:rFonts w:eastAsia="SimSun" w:cs="Arial"/>
        </w:rPr>
        <w:t>for the other half.</w:t>
      </w:r>
    </w:p>
    <w:p w14:paraId="0330166B" w14:textId="69B4DA36" w:rsidR="00C81BB2" w:rsidRDefault="00C81BB2" w:rsidP="00EC47BB">
      <w:pPr>
        <w:ind w:firstLine="720"/>
        <w:rPr>
          <w:rFonts w:eastAsia="SimSun" w:cs="Arial"/>
          <w:szCs w:val="24"/>
        </w:rPr>
      </w:pPr>
      <w:r w:rsidRPr="00EA0DC7">
        <w:rPr>
          <w:rFonts w:eastAsia="SimSun" w:cs="Arial"/>
          <w:szCs w:val="24"/>
        </w:rPr>
        <w:t>The Hot Cross Bun model, devised by Padesky and Mooney (1990), depicts the interaction of these four core aspects of depression (affective, cognitive, behavioural, and physical). While this general model can be applied to multiple disorders,</w:t>
      </w:r>
      <w:r w:rsidRPr="00EA0DC7">
        <w:rPr>
          <w:rFonts w:eastAsia="SimSun" w:cs="Arial"/>
        </w:rPr>
        <w:t xml:space="preserve"> Figure 1.1 </w:t>
      </w:r>
      <w:r w:rsidRPr="00EA0DC7">
        <w:rPr>
          <w:rFonts w:eastAsia="SimSun" w:cs="Arial"/>
          <w:szCs w:val="24"/>
        </w:rPr>
        <w:t xml:space="preserve">shows how it is applied to a depressive disorder. This model is often used in therapy to help clients understand the </w:t>
      </w:r>
      <w:r w:rsidRPr="00EA0DC7">
        <w:rPr>
          <w:rFonts w:eastAsia="SimSun" w:cs="Arial"/>
          <w:szCs w:val="24"/>
        </w:rPr>
        <w:lastRenderedPageBreak/>
        <w:t>manifestation of their disorder, its maintenance through interaction of the elements, and the treatment plan.</w:t>
      </w:r>
    </w:p>
    <w:p w14:paraId="5A243450" w14:textId="77777777" w:rsidR="00C81BB2" w:rsidRPr="00EA0DC7" w:rsidRDefault="00C81BB2" w:rsidP="00EC47BB">
      <w:pPr>
        <w:ind w:firstLine="720"/>
        <w:rPr>
          <w:rFonts w:eastAsia="SimSun" w:cs="Arial"/>
          <w:szCs w:val="24"/>
        </w:rPr>
      </w:pPr>
    </w:p>
    <w:p w14:paraId="11118E45" w14:textId="77777777" w:rsidR="00EC47BB" w:rsidRPr="00EA0DC7" w:rsidRDefault="00EC47BB" w:rsidP="00EC47BB">
      <w:pPr>
        <w:ind w:firstLine="720"/>
        <w:rPr>
          <w:rFonts w:eastAsia="SimSun" w:cs="Arial"/>
          <w:szCs w:val="24"/>
        </w:rPr>
      </w:pPr>
      <w:r w:rsidRPr="00EA0DC7">
        <w:rPr>
          <w:rFonts w:eastAsia="SimSun" w:cs="Arial"/>
          <w:noProof/>
        </w:rPr>
        <mc:AlternateContent>
          <mc:Choice Requires="wpg">
            <w:drawing>
              <wp:anchor distT="0" distB="0" distL="114300" distR="114300" simplePos="0" relativeHeight="251670528" behindDoc="0" locked="0" layoutInCell="1" allowOverlap="1" wp14:anchorId="3A7C8200" wp14:editId="0A97F7CB">
                <wp:simplePos x="0" y="0"/>
                <wp:positionH relativeFrom="column">
                  <wp:posOffset>101109</wp:posOffset>
                </wp:positionH>
                <wp:positionV relativeFrom="paragraph">
                  <wp:posOffset>170323</wp:posOffset>
                </wp:positionV>
                <wp:extent cx="4938974" cy="3276600"/>
                <wp:effectExtent l="0" t="0" r="14605" b="19050"/>
                <wp:wrapNone/>
                <wp:docPr id="1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8974" cy="3276600"/>
                          <a:chOff x="1320" y="6315"/>
                          <a:chExt cx="9180" cy="5160"/>
                        </a:xfrm>
                      </wpg:grpSpPr>
                      <wpg:grpSp>
                        <wpg:cNvPr id="18" name="Group 46"/>
                        <wpg:cNvGrpSpPr>
                          <a:grpSpLocks/>
                        </wpg:cNvGrpSpPr>
                        <wpg:grpSpPr bwMode="auto">
                          <a:xfrm>
                            <a:off x="1799" y="6994"/>
                            <a:ext cx="8202" cy="3897"/>
                            <a:chOff x="1980" y="2857"/>
                            <a:chExt cx="8724" cy="3588"/>
                          </a:xfrm>
                        </wpg:grpSpPr>
                        <wps:wsp>
                          <wps:cNvPr id="19" name="TextBox 7"/>
                          <wps:cNvSpPr>
                            <a:spLocks noChangeArrowheads="1"/>
                          </wps:cNvSpPr>
                          <wps:spPr bwMode="auto">
                            <a:xfrm>
                              <a:off x="1980" y="4179"/>
                              <a:ext cx="2255" cy="1078"/>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2">
                                      <a:lumMod val="100000"/>
                                      <a:lumOff val="0"/>
                                    </a:schemeClr>
                                  </a:solidFill>
                                </a14:hiddenFill>
                              </a:ext>
                            </a:extLst>
                          </wps:spPr>
                          <wps:txbx>
                            <w:txbxContent>
                              <w:p w14:paraId="1166A839"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Emotion</w:t>
                                </w:r>
                              </w:p>
                              <w:p w14:paraId="2A5058FE"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s</w:t>
                                </w:r>
                                <w:r w:rsidRPr="00E8496C">
                                  <w:rPr>
                                    <w:rFonts w:ascii="Arial" w:hAnsi="Arial" w:cs="Arial"/>
                                    <w:i/>
                                    <w:kern w:val="24"/>
                                  </w:rPr>
                                  <w:t>adness</w:t>
                                </w:r>
                              </w:p>
                            </w:txbxContent>
                          </wps:txbx>
                          <wps:bodyPr rot="0" vert="horz" wrap="square" lIns="91440" tIns="45720" rIns="91440" bIns="45720" anchor="ctr" anchorCtr="0" upright="1">
                            <a:noAutofit/>
                          </wps:bodyPr>
                        </wps:wsp>
                        <wps:wsp>
                          <wps:cNvPr id="20" name="TextBox 8"/>
                          <wps:cNvSpPr>
                            <a:spLocks noChangeArrowheads="1"/>
                          </wps:cNvSpPr>
                          <wps:spPr bwMode="auto">
                            <a:xfrm>
                              <a:off x="5013" y="2857"/>
                              <a:ext cx="2566" cy="1078"/>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2">
                                      <a:lumMod val="100000"/>
                                      <a:lumOff val="0"/>
                                    </a:schemeClr>
                                  </a:solidFill>
                                </a14:hiddenFill>
                              </a:ext>
                            </a:extLst>
                          </wps:spPr>
                          <wps:txbx>
                            <w:txbxContent>
                              <w:p w14:paraId="7052C347" w14:textId="77777777" w:rsidR="006407EE" w:rsidRDefault="006407EE" w:rsidP="00E26805">
                                <w:pPr>
                                  <w:pStyle w:val="NormalWeb"/>
                                  <w:spacing w:before="0" w:beforeAutospacing="0" w:after="0" w:afterAutospacing="0"/>
                                  <w:jc w:val="center"/>
                                  <w:rPr>
                                    <w:rFonts w:ascii="Arial" w:hAnsi="Arial" w:cs="Arial"/>
                                    <w:b/>
                                    <w:kern w:val="24"/>
                                  </w:rPr>
                                </w:pPr>
                                <w:r w:rsidRPr="00952CFF">
                                  <w:rPr>
                                    <w:rFonts w:ascii="Arial" w:hAnsi="Arial" w:cs="Arial"/>
                                    <w:b/>
                                    <w:kern w:val="24"/>
                                  </w:rPr>
                                  <w:t>Cognition</w:t>
                                </w:r>
                              </w:p>
                              <w:p w14:paraId="39C72D55" w14:textId="3239D951"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w:t>
                                </w:r>
                                <w:r w:rsidRPr="00E8496C">
                                  <w:rPr>
                                    <w:rFonts w:ascii="Arial" w:hAnsi="Arial" w:cs="Arial"/>
                                    <w:i/>
                                    <w:kern w:val="24"/>
                                  </w:rPr>
                                  <w:t>‘I’m worthless’</w:t>
                                </w:r>
                              </w:p>
                            </w:txbxContent>
                          </wps:txbx>
                          <wps:bodyPr rot="0" vert="horz" wrap="square" lIns="91440" tIns="45720" rIns="91440" bIns="45720" anchor="ctr" anchorCtr="0" upright="1">
                            <a:noAutofit/>
                          </wps:bodyPr>
                        </wps:wsp>
                        <wps:wsp>
                          <wps:cNvPr id="21" name="TextBox 9"/>
                          <wps:cNvSpPr>
                            <a:spLocks noChangeArrowheads="1"/>
                          </wps:cNvSpPr>
                          <wps:spPr bwMode="auto">
                            <a:xfrm>
                              <a:off x="5013" y="5367"/>
                              <a:ext cx="2579" cy="1078"/>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2">
                                      <a:lumMod val="100000"/>
                                      <a:lumOff val="0"/>
                                    </a:schemeClr>
                                  </a:solidFill>
                                </a14:hiddenFill>
                              </a:ext>
                            </a:extLst>
                          </wps:spPr>
                          <wps:txbx>
                            <w:txbxContent>
                              <w:p w14:paraId="2922F56A"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Physiology</w:t>
                                </w:r>
                              </w:p>
                              <w:p w14:paraId="3D2DADB0"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i</w:t>
                                </w:r>
                                <w:r w:rsidRPr="00E8496C">
                                  <w:rPr>
                                    <w:rFonts w:ascii="Arial" w:hAnsi="Arial" w:cs="Arial"/>
                                    <w:i/>
                                    <w:kern w:val="24"/>
                                  </w:rPr>
                                  <w:t>nsomnia</w:t>
                                </w:r>
                              </w:p>
                            </w:txbxContent>
                          </wps:txbx>
                          <wps:bodyPr rot="0" vert="horz" wrap="square" lIns="91440" tIns="45720" rIns="91440" bIns="45720" anchor="ctr" anchorCtr="0" upright="1">
                            <a:noAutofit/>
                          </wps:bodyPr>
                        </wps:wsp>
                        <wps:wsp>
                          <wps:cNvPr id="22" name="TextBox 10"/>
                          <wps:cNvSpPr>
                            <a:spLocks noChangeArrowheads="1"/>
                          </wps:cNvSpPr>
                          <wps:spPr bwMode="auto">
                            <a:xfrm>
                              <a:off x="8432" y="4166"/>
                              <a:ext cx="2272" cy="1078"/>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bg2">
                                      <a:lumMod val="100000"/>
                                      <a:lumOff val="0"/>
                                    </a:schemeClr>
                                  </a:solidFill>
                                </a14:hiddenFill>
                              </a:ext>
                            </a:extLst>
                          </wps:spPr>
                          <wps:txbx>
                            <w:txbxContent>
                              <w:p w14:paraId="1C6D0C09"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Behaviour</w:t>
                                </w:r>
                              </w:p>
                              <w:p w14:paraId="1E73799B"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w</w:t>
                                </w:r>
                                <w:r w:rsidRPr="00E8496C">
                                  <w:rPr>
                                    <w:rFonts w:ascii="Arial" w:hAnsi="Arial" w:cs="Arial"/>
                                    <w:i/>
                                    <w:kern w:val="24"/>
                                  </w:rPr>
                                  <w:t>ithdraw</w:t>
                                </w:r>
                                <w:r>
                                  <w:rPr>
                                    <w:rFonts w:ascii="Arial" w:hAnsi="Arial" w:cs="Arial"/>
                                    <w:i/>
                                    <w:kern w:val="24"/>
                                  </w:rPr>
                                  <w:t>al</w:t>
                                </w:r>
                              </w:p>
                            </w:txbxContent>
                          </wps:txbx>
                          <wps:bodyPr rot="0" vert="horz" wrap="square" lIns="91440" tIns="45720" rIns="91440" bIns="45720" anchor="ctr" anchorCtr="0" upright="1">
                            <a:noAutofit/>
                          </wps:bodyPr>
                        </wps:wsp>
                        <wps:wsp>
                          <wps:cNvPr id="23" name="AutoShape 36"/>
                          <wps:cNvCnPr>
                            <a:cxnSpLocks noChangeShapeType="1"/>
                          </wps:cNvCnPr>
                          <wps:spPr bwMode="auto">
                            <a:xfrm>
                              <a:off x="3012" y="5289"/>
                              <a:ext cx="2001" cy="617"/>
                            </a:xfrm>
                            <a:prstGeom prst="straightConnector1">
                              <a:avLst/>
                            </a:prstGeom>
                            <a:noFill/>
                            <a:ln w="19050">
                              <a:solidFill>
                                <a:sysClr val="windowText" lastClr="000000">
                                  <a:lumMod val="100000"/>
                                  <a:lumOff val="0"/>
                                </a:sysClr>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AutoShape 37"/>
                          <wps:cNvCnPr>
                            <a:cxnSpLocks noChangeShapeType="1"/>
                          </wps:cNvCnPr>
                          <wps:spPr bwMode="auto">
                            <a:xfrm flipV="1">
                              <a:off x="3027" y="3396"/>
                              <a:ext cx="1986" cy="783"/>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AutoShape 38"/>
                          <wps:cNvCnPr>
                            <a:cxnSpLocks noChangeShapeType="1"/>
                          </wps:cNvCnPr>
                          <wps:spPr bwMode="auto">
                            <a:xfrm flipH="1" flipV="1">
                              <a:off x="7579" y="3396"/>
                              <a:ext cx="1990" cy="77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AutoShape 39"/>
                          <wps:cNvCnPr>
                            <a:cxnSpLocks noChangeShapeType="1"/>
                          </wps:cNvCnPr>
                          <wps:spPr bwMode="auto">
                            <a:xfrm>
                              <a:off x="4235" y="4668"/>
                              <a:ext cx="4216"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AutoShape 40"/>
                          <wps:cNvCnPr>
                            <a:cxnSpLocks noChangeShapeType="1"/>
                          </wps:cNvCnPr>
                          <wps:spPr bwMode="auto">
                            <a:xfrm>
                              <a:off x="6302" y="3935"/>
                              <a:ext cx="0" cy="1432"/>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AutoShape 41"/>
                          <wps:cNvCnPr>
                            <a:cxnSpLocks noChangeShapeType="1"/>
                          </wps:cNvCnPr>
                          <wps:spPr bwMode="auto">
                            <a:xfrm flipV="1">
                              <a:off x="7592" y="5257"/>
                              <a:ext cx="1977" cy="649"/>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29" name="Oval 58"/>
                        <wps:cNvSpPr>
                          <a:spLocks noChangeArrowheads="1"/>
                        </wps:cNvSpPr>
                        <wps:spPr bwMode="auto">
                          <a:xfrm>
                            <a:off x="1320" y="6315"/>
                            <a:ext cx="9180" cy="5160"/>
                          </a:xfrm>
                          <a:prstGeom prst="ellips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0" name="Rectangle 59"/>
                        <wps:cNvSpPr>
                          <a:spLocks noChangeArrowheads="1"/>
                        </wps:cNvSpPr>
                        <wps:spPr bwMode="auto">
                          <a:xfrm>
                            <a:off x="2445" y="7253"/>
                            <a:ext cx="2205" cy="5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CFBF6" w14:textId="77777777" w:rsidR="006407EE" w:rsidRPr="003D13A5" w:rsidRDefault="006407EE" w:rsidP="00EC47BB">
                              <w:pPr>
                                <w:jc w:val="center"/>
                                <w:rPr>
                                  <w:rFonts w:cs="Arial"/>
                                  <w:b/>
                                </w:rPr>
                              </w:pPr>
                              <w:r w:rsidRPr="003D13A5">
                                <w:rPr>
                                  <w:rFonts w:cs="Arial"/>
                                  <w:b/>
                                </w:rPr>
                                <w:t>Environment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C8200" id="Group 61" o:spid="_x0000_s1026" style="position:absolute;left:0;text-align:left;margin-left:7.95pt;margin-top:13.4pt;width:388.9pt;height:258pt;z-index:251670528" coordorigin="1320,6315" coordsize="918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">
                <v:group id="Group 46" o:spid="_x0000_s1027" style="position:absolute;left:1799;top:6994;width:8202;height:3897" coordorigin="1980,2857" coordsize="8724,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TextBox 7" o:spid="_x0000_s1028" style="position:absolute;left:1980;top:4179;width:2255;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" filled="f" strokeweight="1.5pt">
                    <v:textbox>
                      <w:txbxContent>
                        <w:p w14:paraId="1166A839"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Emotion</w:t>
                          </w:r>
                        </w:p>
                        <w:p w14:paraId="2A5058FE"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s</w:t>
                          </w:r>
                          <w:r w:rsidRPr="00E8496C">
                            <w:rPr>
                              <w:rFonts w:ascii="Arial" w:hAnsi="Arial" w:cs="Arial"/>
                              <w:i/>
                              <w:kern w:val="24"/>
                            </w:rPr>
                            <w:t>adness</w:t>
                          </w:r>
                        </w:p>
                      </w:txbxContent>
                    </v:textbox>
                  </v:rect>
                  <v:rect id="TextBox 8" o:spid="_x0000_s1029" style="position:absolute;left:5013;top:2857;width:2566;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" filled="f" strokeweight="1.5pt">
                    <v:textbox>
                      <w:txbxContent>
                        <w:p w14:paraId="7052C347" w14:textId="77777777" w:rsidR="006407EE" w:rsidRDefault="006407EE" w:rsidP="00E26805">
                          <w:pPr>
                            <w:pStyle w:val="NormalWeb"/>
                            <w:spacing w:before="0" w:beforeAutospacing="0" w:after="0" w:afterAutospacing="0"/>
                            <w:jc w:val="center"/>
                            <w:rPr>
                              <w:rFonts w:ascii="Arial" w:hAnsi="Arial" w:cs="Arial"/>
                              <w:b/>
                              <w:kern w:val="24"/>
                            </w:rPr>
                          </w:pPr>
                          <w:r w:rsidRPr="00952CFF">
                            <w:rPr>
                              <w:rFonts w:ascii="Arial" w:hAnsi="Arial" w:cs="Arial"/>
                              <w:b/>
                              <w:kern w:val="24"/>
                            </w:rPr>
                            <w:t>Cognition</w:t>
                          </w:r>
                        </w:p>
                        <w:p w14:paraId="39C72D55" w14:textId="3239D951"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w:t>
                          </w:r>
                          <w:r w:rsidRPr="00E8496C">
                            <w:rPr>
                              <w:rFonts w:ascii="Arial" w:hAnsi="Arial" w:cs="Arial"/>
                              <w:i/>
                              <w:kern w:val="24"/>
                            </w:rPr>
                            <w:t>‘I’m worthless’</w:t>
                          </w:r>
                        </w:p>
                      </w:txbxContent>
                    </v:textbox>
                  </v:rect>
                  <v:rect id="TextBox 9" o:spid="_x0000_s1030" style="position:absolute;left:5013;top:5367;width:2579;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" filled="f" strokeweight="1.5pt">
                    <v:textbox>
                      <w:txbxContent>
                        <w:p w14:paraId="2922F56A"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Physiology</w:t>
                          </w:r>
                        </w:p>
                        <w:p w14:paraId="3D2DADB0"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i</w:t>
                          </w:r>
                          <w:r w:rsidRPr="00E8496C">
                            <w:rPr>
                              <w:rFonts w:ascii="Arial" w:hAnsi="Arial" w:cs="Arial"/>
                              <w:i/>
                              <w:kern w:val="24"/>
                            </w:rPr>
                            <w:t>nsomnia</w:t>
                          </w:r>
                        </w:p>
                      </w:txbxContent>
                    </v:textbox>
                  </v:rect>
                  <v:rect id="TextBox 10" o:spid="_x0000_s1031" style="position:absolute;left:8432;top:4166;width:2272;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" filled="f" strokeweight="1.5pt">
                    <v:textbox>
                      <w:txbxContent>
                        <w:p w14:paraId="1C6D0C09" w14:textId="77777777" w:rsidR="006407EE" w:rsidRPr="00952CFF" w:rsidRDefault="006407EE" w:rsidP="00E26805">
                          <w:pPr>
                            <w:pStyle w:val="NormalWeb"/>
                            <w:spacing w:after="0" w:afterAutospacing="0"/>
                            <w:jc w:val="center"/>
                            <w:rPr>
                              <w:rFonts w:ascii="Arial" w:hAnsi="Arial" w:cs="Arial"/>
                              <w:b/>
                            </w:rPr>
                          </w:pPr>
                          <w:r w:rsidRPr="00952CFF">
                            <w:rPr>
                              <w:rFonts w:ascii="Arial" w:hAnsi="Arial" w:cs="Arial"/>
                              <w:b/>
                              <w:kern w:val="24"/>
                            </w:rPr>
                            <w:t>Behaviour</w:t>
                          </w:r>
                        </w:p>
                        <w:p w14:paraId="1E73799B" w14:textId="77777777" w:rsidR="006407EE" w:rsidRPr="00E8496C" w:rsidRDefault="006407EE" w:rsidP="00E26805">
                          <w:pPr>
                            <w:pStyle w:val="NormalWeb"/>
                            <w:spacing w:before="0" w:beforeAutospacing="0" w:after="0"/>
                            <w:jc w:val="center"/>
                            <w:rPr>
                              <w:rFonts w:ascii="Arial" w:hAnsi="Arial" w:cs="Arial"/>
                              <w:i/>
                            </w:rPr>
                          </w:pPr>
                          <w:r w:rsidRPr="00714904">
                            <w:rPr>
                              <w:rFonts w:ascii="Arial" w:hAnsi="Arial" w:cs="Arial"/>
                              <w:i/>
                              <w:kern w:val="24"/>
                            </w:rPr>
                            <w:t>e.g.,</w:t>
                          </w:r>
                          <w:r>
                            <w:rPr>
                              <w:rFonts w:ascii="Arial" w:hAnsi="Arial" w:cs="Arial"/>
                              <w:i/>
                              <w:kern w:val="24"/>
                            </w:rPr>
                            <w:t xml:space="preserve"> w</w:t>
                          </w:r>
                          <w:r w:rsidRPr="00E8496C">
                            <w:rPr>
                              <w:rFonts w:ascii="Arial" w:hAnsi="Arial" w:cs="Arial"/>
                              <w:i/>
                              <w:kern w:val="24"/>
                            </w:rPr>
                            <w:t>ithdraw</w:t>
                          </w:r>
                          <w:r>
                            <w:rPr>
                              <w:rFonts w:ascii="Arial" w:hAnsi="Arial" w:cs="Arial"/>
                              <w:i/>
                              <w:kern w:val="24"/>
                            </w:rPr>
                            <w:t>al</w:t>
                          </w:r>
                        </w:p>
                      </w:txbxContent>
                    </v:textbox>
                  </v:rect>
                  <v:shapetype id="_x0000_t32" coordsize="21600,21600" o:spt="32" o:oned="t" path="m,l21600,21600e" filled="f">
                    <v:path arrowok="t" fillok="f" o:connecttype="none"/>
                    <o:lock v:ext="edit" shapetype="t"/>
                  </v:shapetype>
                  <v:shape id="AutoShape 36" o:spid="_x0000_s1032" type="#_x0000_t32" style="position:absolute;left:3012;top:5289;width:2001;height: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" strokeweight="1.5pt">
                    <v:stroke startarrow="open" endarrow="open"/>
                  </v:shape>
                  <v:shape id="AutoShape 37" o:spid="_x0000_s1033" type="#_x0000_t32" style="position:absolute;left:3027;top:3396;width:1986;height: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" strokeweight="1.5pt">
                    <v:stroke startarrow="open" endarrow="open"/>
                  </v:shape>
                  <v:shape id="AutoShape 38" o:spid="_x0000_s1034" type="#_x0000_t32" style="position:absolute;left:7579;top:3396;width:1990;height:7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" strokeweight="1.5pt">
                    <v:stroke startarrow="open" endarrow="open"/>
                  </v:shape>
                  <v:shape id="AutoShape 39" o:spid="_x0000_s1035" type="#_x0000_t32" style="position:absolute;left:4235;top:4668;width:4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" strokeweight="1.5pt">
                    <v:stroke startarrow="open" endarrow="open"/>
                  </v:shape>
                  <v:shape id="AutoShape 40" o:spid="_x0000_s1036" type="#_x0000_t32" style="position:absolute;left:6302;top:3935;width:0;height:1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" strokeweight="1.5pt">
                    <v:stroke startarrow="open" endarrow="open"/>
                  </v:shape>
                  <v:shape id="AutoShape 41" o:spid="_x0000_s1037" type="#_x0000_t32" style="position:absolute;left:7592;top:5257;width:1977;height: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" strokeweight="1.5pt">
                    <v:stroke startarrow="open" endarrow="open"/>
                  </v:shape>
                </v:group>
                <v:oval id="Oval 58" o:spid="_x0000_s1038" style="position:absolute;left:1320;top:6315;width:9180;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" filled="f" strokeweight="1.5pt"/>
                <v:rect id="Rectangle 59" o:spid="_x0000_s1039" style="position:absolute;left:2445;top:7253;width:220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4F0CFBF6" w14:textId="77777777" w:rsidR="006407EE" w:rsidRPr="003D13A5" w:rsidRDefault="006407EE" w:rsidP="00EC47BB">
                        <w:pPr>
                          <w:jc w:val="center"/>
                          <w:rPr>
                            <w:rFonts w:cs="Arial"/>
                            <w:b/>
                          </w:rPr>
                        </w:pPr>
                        <w:r w:rsidRPr="003D13A5">
                          <w:rPr>
                            <w:rFonts w:cs="Arial"/>
                            <w:b/>
                          </w:rPr>
                          <w:t>Environment</w:t>
                        </w:r>
                      </w:p>
                    </w:txbxContent>
                  </v:textbox>
                </v:rect>
              </v:group>
            </w:pict>
          </mc:Fallback>
        </mc:AlternateContent>
      </w:r>
    </w:p>
    <w:p w14:paraId="698BB60B" w14:textId="77777777" w:rsidR="00EC47BB" w:rsidRPr="00EA0DC7" w:rsidRDefault="00EC47BB" w:rsidP="00EC47BB">
      <w:pPr>
        <w:rPr>
          <w:rFonts w:eastAsia="SimSun" w:cs="Arial"/>
        </w:rPr>
      </w:pPr>
      <w:r w:rsidRPr="00EA0DC7">
        <w:rPr>
          <w:rFonts w:eastAsia="SimSun" w:cs="Arial"/>
        </w:rPr>
        <w:tab/>
      </w:r>
    </w:p>
    <w:p w14:paraId="2FD3C10D" w14:textId="77777777" w:rsidR="00EC47BB" w:rsidRPr="00EA0DC7" w:rsidRDefault="00EC47BB" w:rsidP="00EC47BB">
      <w:pPr>
        <w:rPr>
          <w:rFonts w:eastAsia="SimSun" w:cs="Arial"/>
        </w:rPr>
      </w:pPr>
    </w:p>
    <w:p w14:paraId="69A1EFA1" w14:textId="77777777" w:rsidR="00EC47BB" w:rsidRPr="00EA0DC7" w:rsidRDefault="00EC47BB" w:rsidP="00EC47BB">
      <w:pPr>
        <w:ind w:firstLine="720"/>
        <w:rPr>
          <w:rFonts w:eastAsia="SimSun" w:cs="Arial"/>
          <w:szCs w:val="24"/>
        </w:rPr>
      </w:pPr>
    </w:p>
    <w:p w14:paraId="0472E083" w14:textId="77777777" w:rsidR="00EC47BB" w:rsidRPr="00EA0DC7" w:rsidRDefault="00EC47BB" w:rsidP="00EC47BB">
      <w:pPr>
        <w:ind w:firstLine="720"/>
        <w:rPr>
          <w:rFonts w:eastAsia="SimSun" w:cs="Arial"/>
          <w:szCs w:val="24"/>
        </w:rPr>
      </w:pPr>
    </w:p>
    <w:p w14:paraId="461BC014" w14:textId="77777777" w:rsidR="00EC47BB" w:rsidRPr="00EA0DC7" w:rsidRDefault="00EC47BB" w:rsidP="00EC47BB">
      <w:pPr>
        <w:ind w:firstLine="720"/>
        <w:rPr>
          <w:rFonts w:eastAsia="SimSun" w:cs="Arial"/>
          <w:szCs w:val="24"/>
        </w:rPr>
      </w:pPr>
    </w:p>
    <w:p w14:paraId="31A4ABD7" w14:textId="77777777" w:rsidR="00EC47BB" w:rsidRPr="00EA0DC7" w:rsidRDefault="00EC47BB" w:rsidP="00EC47BB">
      <w:pPr>
        <w:ind w:firstLine="720"/>
        <w:rPr>
          <w:rFonts w:eastAsia="SimSun" w:cs="Arial"/>
          <w:szCs w:val="24"/>
        </w:rPr>
      </w:pPr>
    </w:p>
    <w:p w14:paraId="15611227" w14:textId="77777777" w:rsidR="00EC47BB" w:rsidRPr="00EA0DC7" w:rsidRDefault="00EC47BB" w:rsidP="00EC47BB">
      <w:pPr>
        <w:spacing w:line="240" w:lineRule="auto"/>
        <w:rPr>
          <w:rFonts w:eastAsia="Calibri" w:cs="Arial"/>
          <w:bCs/>
          <w:szCs w:val="24"/>
        </w:rPr>
      </w:pPr>
    </w:p>
    <w:p w14:paraId="48021ABD" w14:textId="5C4C7433" w:rsidR="00EC47BB" w:rsidRPr="00EA0DC7" w:rsidRDefault="00EC47BB" w:rsidP="00EC47BB">
      <w:pPr>
        <w:spacing w:line="240" w:lineRule="auto"/>
        <w:rPr>
          <w:rFonts w:eastAsia="Calibri" w:cs="Arial"/>
          <w:bCs/>
          <w:szCs w:val="24"/>
        </w:rPr>
      </w:pPr>
      <w:bookmarkStart w:id="18" w:name="_Toc47039907"/>
      <w:r w:rsidRPr="00EA0DC7">
        <w:rPr>
          <w:rFonts w:eastAsia="Calibri" w:cs="Arial"/>
          <w:bCs/>
          <w:szCs w:val="24"/>
        </w:rPr>
        <w:t xml:space="preserve">Figure </w:t>
      </w:r>
      <w:r w:rsidR="00512B0F" w:rsidRPr="00EA0DC7">
        <w:rPr>
          <w:rFonts w:eastAsia="Calibri" w:cs="Arial"/>
          <w:bCs/>
          <w:szCs w:val="24"/>
        </w:rPr>
        <w:fldChar w:fldCharType="begin"/>
      </w:r>
      <w:r w:rsidR="00512B0F" w:rsidRPr="00EA0DC7">
        <w:rPr>
          <w:rFonts w:eastAsia="Calibri" w:cs="Arial"/>
          <w:bCs/>
          <w:szCs w:val="24"/>
        </w:rPr>
        <w:instrText xml:space="preserve"> STYLEREF 1 \s </w:instrText>
      </w:r>
      <w:r w:rsidR="00512B0F" w:rsidRPr="00EA0DC7">
        <w:rPr>
          <w:rFonts w:eastAsia="Calibri" w:cs="Arial"/>
          <w:bCs/>
          <w:szCs w:val="24"/>
        </w:rPr>
        <w:fldChar w:fldCharType="separate"/>
      </w:r>
      <w:r w:rsidR="00694354">
        <w:rPr>
          <w:rFonts w:eastAsia="Calibri" w:cs="Arial"/>
          <w:bCs/>
          <w:noProof/>
          <w:szCs w:val="24"/>
        </w:rPr>
        <w:t>1</w:t>
      </w:r>
      <w:r w:rsidR="00512B0F" w:rsidRPr="00EA0DC7">
        <w:rPr>
          <w:rFonts w:eastAsia="Calibri" w:cs="Arial"/>
          <w:bCs/>
          <w:szCs w:val="24"/>
        </w:rPr>
        <w:fldChar w:fldCharType="end"/>
      </w:r>
      <w:r w:rsidR="00512B0F" w:rsidRPr="00EA0DC7">
        <w:rPr>
          <w:rFonts w:eastAsia="Calibri" w:cs="Arial"/>
          <w:bCs/>
          <w:szCs w:val="24"/>
        </w:rPr>
        <w:t>.</w:t>
      </w:r>
      <w:r w:rsidR="00512B0F" w:rsidRPr="00EA0DC7">
        <w:rPr>
          <w:rFonts w:eastAsia="Calibri" w:cs="Arial"/>
          <w:bCs/>
          <w:szCs w:val="24"/>
        </w:rPr>
        <w:fldChar w:fldCharType="begin"/>
      </w:r>
      <w:r w:rsidR="00512B0F" w:rsidRPr="00EA0DC7">
        <w:rPr>
          <w:rFonts w:eastAsia="Calibri" w:cs="Arial"/>
          <w:bCs/>
          <w:szCs w:val="24"/>
        </w:rPr>
        <w:instrText xml:space="preserve"> SEQ Figure \* ARABIC \s 1 </w:instrText>
      </w:r>
      <w:r w:rsidR="00512B0F" w:rsidRPr="00EA0DC7">
        <w:rPr>
          <w:rFonts w:eastAsia="Calibri" w:cs="Arial"/>
          <w:bCs/>
          <w:szCs w:val="24"/>
        </w:rPr>
        <w:fldChar w:fldCharType="separate"/>
      </w:r>
      <w:r w:rsidR="00694354">
        <w:rPr>
          <w:rFonts w:eastAsia="Calibri" w:cs="Arial"/>
          <w:bCs/>
          <w:noProof/>
          <w:szCs w:val="24"/>
        </w:rPr>
        <w:t>1</w:t>
      </w:r>
      <w:r w:rsidR="00512B0F" w:rsidRPr="00EA0DC7">
        <w:rPr>
          <w:rFonts w:eastAsia="Calibri" w:cs="Arial"/>
          <w:bCs/>
          <w:szCs w:val="24"/>
        </w:rPr>
        <w:fldChar w:fldCharType="end"/>
      </w:r>
      <w:r w:rsidR="00512B0F" w:rsidRPr="00EA0DC7">
        <w:rPr>
          <w:rFonts w:eastAsia="Calibri" w:cs="Arial"/>
          <w:bCs/>
          <w:szCs w:val="24"/>
        </w:rPr>
        <w:t>.</w:t>
      </w:r>
      <w:r w:rsidRPr="00EA0DC7">
        <w:rPr>
          <w:rFonts w:eastAsia="Calibri" w:cs="Arial"/>
          <w:bCs/>
          <w:szCs w:val="24"/>
        </w:rPr>
        <w:t xml:space="preserve"> Hot-cross bun model showing the symptomatology of depression (adapted from Padesky, &amp; Mooney, 1990).</w:t>
      </w:r>
      <w:bookmarkEnd w:id="18"/>
    </w:p>
    <w:p w14:paraId="39B2720C" w14:textId="7648A714" w:rsidR="005B08FE" w:rsidRPr="00EA0DC7" w:rsidRDefault="005B08FE" w:rsidP="00C81BB2">
      <w:pPr>
        <w:rPr>
          <w:rFonts w:eastAsia="SimSun" w:cs="Arial"/>
          <w:szCs w:val="24"/>
        </w:rPr>
      </w:pPr>
    </w:p>
    <w:p w14:paraId="13417CFE" w14:textId="263ED846" w:rsidR="00EC47BB" w:rsidRPr="00EA0DC7" w:rsidRDefault="00EC47BB" w:rsidP="00EC47BB">
      <w:pPr>
        <w:outlineLvl w:val="2"/>
        <w:rPr>
          <w:rFonts w:eastAsia="SimSun" w:cs="Arial"/>
          <w:b/>
          <w:i/>
          <w:szCs w:val="24"/>
        </w:rPr>
      </w:pPr>
      <w:bookmarkStart w:id="19" w:name="_Toc508809009"/>
      <w:r w:rsidRPr="00EA0DC7">
        <w:rPr>
          <w:rFonts w:eastAsia="SimSun" w:cs="Arial"/>
          <w:b/>
          <w:i/>
          <w:szCs w:val="24"/>
        </w:rPr>
        <w:t>1.2.2 Prevalence</w:t>
      </w:r>
      <w:bookmarkEnd w:id="19"/>
    </w:p>
    <w:p w14:paraId="5264DD9C" w14:textId="77777777" w:rsidR="00EC47BB" w:rsidRPr="00EA0DC7" w:rsidRDefault="00EC47BB" w:rsidP="00EC47BB">
      <w:pPr>
        <w:rPr>
          <w:rFonts w:eastAsia="SimSun" w:cs="Arial"/>
        </w:rPr>
      </w:pPr>
      <w:r w:rsidRPr="00EA0DC7">
        <w:rPr>
          <w:rFonts w:eastAsia="SimSun" w:cs="Arial"/>
          <w:i/>
        </w:rPr>
        <w:tab/>
      </w:r>
      <w:r w:rsidRPr="00EA0DC7">
        <w:rPr>
          <w:rFonts w:eastAsia="SimSun" w:cs="Arial"/>
        </w:rPr>
        <w:t xml:space="preserve">Depression is so widespread that Seligman (1975) described the disorder as the </w:t>
      </w:r>
      <w:r w:rsidRPr="00EA0DC7">
        <w:rPr>
          <w:rFonts w:eastAsia="SimSun" w:cs="Arial"/>
          <w:i/>
        </w:rPr>
        <w:t>‘common cold’</w:t>
      </w:r>
      <w:r w:rsidRPr="00EA0DC7">
        <w:rPr>
          <w:rFonts w:eastAsia="SimSun" w:cs="Arial"/>
        </w:rPr>
        <w:t xml:space="preserve"> of psychiatry. It is difficult to gauge the number of people who have depression, as only a portion of those with mental health disorders will seek out treatment (Bebbington et al., 2000; Bland, Newman, &amp; Orn, 1997). However, we can estimate prevalence using survey methods. The World Health Organisation (2012a) </w:t>
      </w:r>
      <w:r w:rsidRPr="00EA0DC7">
        <w:rPr>
          <w:rFonts w:eastAsia="SimSun" w:cs="Arial"/>
          <w:szCs w:val="24"/>
        </w:rPr>
        <w:t>estimates that depression affects around 350 million people worldwide. T</w:t>
      </w:r>
      <w:r w:rsidRPr="00EA0DC7">
        <w:rPr>
          <w:rFonts w:eastAsia="SimSun" w:cs="Arial"/>
        </w:rPr>
        <w:t xml:space="preserve">he one-year prevalence rate in the USA is </w:t>
      </w:r>
      <w:r w:rsidRPr="00EA0DC7">
        <w:rPr>
          <w:rFonts w:eastAsia="SimSun" w:cs="Arial"/>
        </w:rPr>
        <w:lastRenderedPageBreak/>
        <w:t>estimated to be 4.5% (Narrow, Rae, Robbins, &amp; Regier, 2002), and this rate is supported by worldwide data from the World Mental Health Survey (Marcus, Yasamy, van Ommeren, Chrisholm, &amp; Saxena, 2012).</w:t>
      </w:r>
    </w:p>
    <w:p w14:paraId="1227C597" w14:textId="1BC9B43D" w:rsidR="006E1FF9" w:rsidRDefault="00EC47BB" w:rsidP="00EC47BB">
      <w:pPr>
        <w:rPr>
          <w:rFonts w:eastAsia="SimSun" w:cs="Arial"/>
        </w:rPr>
      </w:pPr>
      <w:r w:rsidRPr="00EA0DC7">
        <w:rPr>
          <w:rFonts w:eastAsia="SimSun" w:cs="Arial"/>
        </w:rPr>
        <w:tab/>
        <w:t xml:space="preserve">Certain people have a greater risk of developing depression than others. There are nearly twice as many incidences of depression amongst women as men (Fennell, 1989; Roth, &amp; Fonagy, 2005). One-year prevalence rates are 24.2% for women and 14.2% for men (Patten, 2009), and lifetime prevalence rates are 21.3% and 12.7% respectively (Blazer, </w:t>
      </w:r>
      <w:r w:rsidRPr="00EA0DC7">
        <w:rPr>
          <w:rFonts w:eastAsia="SimSun" w:cs="Arial"/>
          <w:bCs/>
          <w:szCs w:val="24"/>
        </w:rPr>
        <w:t xml:space="preserve">Kessler, McGonagle, &amp; Swartz, </w:t>
      </w:r>
      <w:r w:rsidRPr="00EA0DC7">
        <w:rPr>
          <w:rFonts w:eastAsia="SimSun" w:cs="Arial"/>
        </w:rPr>
        <w:t>1994).</w:t>
      </w:r>
      <w:r w:rsidR="00922E8D">
        <w:rPr>
          <w:rFonts w:eastAsia="SimSun" w:cs="Arial"/>
        </w:rPr>
        <w:t xml:space="preserve"> </w:t>
      </w:r>
      <w:commentRangeStart w:id="20"/>
      <w:r w:rsidR="00C81BB2">
        <w:rPr>
          <w:rFonts w:eastAsia="SimSun" w:cs="Arial"/>
        </w:rPr>
        <w:t xml:space="preserve">After </w:t>
      </w:r>
      <w:r w:rsidR="004E0430">
        <w:rPr>
          <w:rFonts w:eastAsia="SimSun" w:cs="Arial"/>
        </w:rPr>
        <w:t xml:space="preserve">analysing </w:t>
      </w:r>
      <w:commentRangeEnd w:id="20"/>
      <w:r w:rsidR="00D031DD">
        <w:rPr>
          <w:rStyle w:val="CommentReference"/>
          <w:rFonts w:eastAsiaTheme="minorHAnsi"/>
          <w:lang w:eastAsia="en-US"/>
        </w:rPr>
        <w:commentReference w:id="20"/>
      </w:r>
      <w:r w:rsidR="004E0430">
        <w:rPr>
          <w:rFonts w:eastAsia="SimSun" w:cs="Arial"/>
        </w:rPr>
        <w:t>interview data from the National Comorbidity Survey-Replication,</w:t>
      </w:r>
      <w:r w:rsidR="00751174">
        <w:rPr>
          <w:rFonts w:eastAsia="SimSun" w:cs="Arial"/>
        </w:rPr>
        <w:t xml:space="preserve"> Silverstein</w:t>
      </w:r>
      <w:r w:rsidR="004E0430">
        <w:rPr>
          <w:rFonts w:eastAsia="SimSun" w:cs="Arial"/>
        </w:rPr>
        <w:t xml:space="preserve"> et al.</w:t>
      </w:r>
      <w:r w:rsidR="00751174">
        <w:rPr>
          <w:rFonts w:eastAsia="SimSun" w:cs="Arial"/>
        </w:rPr>
        <w:t xml:space="preserve"> (2013) </w:t>
      </w:r>
      <w:r w:rsidR="00C81BB2">
        <w:rPr>
          <w:rFonts w:eastAsia="SimSun" w:cs="Arial"/>
        </w:rPr>
        <w:t>suggested</w:t>
      </w:r>
      <w:r w:rsidR="006E1FF9">
        <w:rPr>
          <w:rFonts w:eastAsia="SimSun" w:cs="Arial"/>
        </w:rPr>
        <w:t xml:space="preserve"> that this gender difference is </w:t>
      </w:r>
      <w:r w:rsidR="00751174">
        <w:rPr>
          <w:rFonts w:eastAsia="SimSun" w:cs="Arial"/>
        </w:rPr>
        <w:t>due to the difference</w:t>
      </w:r>
      <w:r w:rsidR="006E1FF9">
        <w:rPr>
          <w:rFonts w:eastAsia="SimSun" w:cs="Arial"/>
        </w:rPr>
        <w:t xml:space="preserve"> within a subcategory of depression – somatic depression (</w:t>
      </w:r>
      <w:r w:rsidR="00751174">
        <w:rPr>
          <w:rFonts w:eastAsia="SimSun" w:cs="Arial"/>
        </w:rPr>
        <w:t>depression specifically with somatic symptoms e.g., disordered eating)</w:t>
      </w:r>
      <w:r w:rsidR="006E1FF9">
        <w:rPr>
          <w:rFonts w:eastAsia="SimSun" w:cs="Arial"/>
        </w:rPr>
        <w:t xml:space="preserve">. </w:t>
      </w:r>
      <w:r w:rsidR="004E0430">
        <w:rPr>
          <w:rFonts w:eastAsia="SimSun" w:cs="Arial"/>
        </w:rPr>
        <w:t>E</w:t>
      </w:r>
      <w:r w:rsidR="006E1FF9">
        <w:rPr>
          <w:rFonts w:eastAsia="SimSun" w:cs="Arial"/>
        </w:rPr>
        <w:t xml:space="preserve">ven more specifically, </w:t>
      </w:r>
      <w:r w:rsidR="00815DC7">
        <w:rPr>
          <w:rFonts w:eastAsia="SimSun" w:cs="Arial"/>
        </w:rPr>
        <w:t xml:space="preserve">it was attributable to </w:t>
      </w:r>
      <w:r w:rsidR="006E1FF9">
        <w:rPr>
          <w:rFonts w:eastAsia="SimSun" w:cs="Arial"/>
        </w:rPr>
        <w:t xml:space="preserve">the subcategory of those with somatic depression without a relative with depression </w:t>
      </w:r>
      <w:r w:rsidR="00751174">
        <w:rPr>
          <w:rFonts w:eastAsia="SimSun" w:cs="Arial"/>
        </w:rPr>
        <w:t>(Silverstein, Ajdacic-Gross, Rossler &amp; Angst, 2017).</w:t>
      </w:r>
    </w:p>
    <w:p w14:paraId="02969280" w14:textId="28B3BB5E" w:rsidR="00EC47BB" w:rsidRPr="00EA0DC7" w:rsidRDefault="00EC47BB" w:rsidP="0018754E">
      <w:pPr>
        <w:ind w:firstLine="720"/>
        <w:rPr>
          <w:rFonts w:eastAsia="SimSun" w:cs="Arial"/>
        </w:rPr>
      </w:pPr>
      <w:r w:rsidRPr="00EA0DC7">
        <w:rPr>
          <w:rFonts w:eastAsia="SimSun" w:cs="Arial"/>
        </w:rPr>
        <w:t xml:space="preserve">There has been some indication that there are increased depression rates among younger birth cohorts (Fennell, 1989; Kessler et al., 2003). This increase might partly be due to older adults having forgotten previous depressions (Paykel, Brugha, &amp; Fryers, 2005). However, longitudinal data indicate increased rates of depression in younger women (Murphy, Laird, Monson, Sobol, &amp; Leighton, 2000). This change might reflect a greater willingness of younger adults to admit to mental health issues </w:t>
      </w:r>
      <w:r w:rsidRPr="00EA0DC7">
        <w:rPr>
          <w:rFonts w:eastAsia="SimSun" w:cs="Arial"/>
          <w:szCs w:val="24"/>
        </w:rPr>
        <w:t>(Hammen, &amp; Watkins, 2008)</w:t>
      </w:r>
      <w:r w:rsidRPr="00EA0DC7">
        <w:rPr>
          <w:rFonts w:eastAsia="SimSun" w:cs="Arial"/>
        </w:rPr>
        <w:t xml:space="preserve">. Other factors that are associated with a higher risk of developing depression are low socio-economic status (Fryers, Melzer, &amp; </w:t>
      </w:r>
      <w:r w:rsidRPr="00EA0DC7">
        <w:rPr>
          <w:rFonts w:eastAsia="SimSun" w:cs="Arial"/>
        </w:rPr>
        <w:lastRenderedPageBreak/>
        <w:t>Jenkins, 2003), living in an urban area (Wang, 2004), and being from an ethnic minority (Missinne, &amp; Bracke, 2012; Weich, et al., 2004).</w:t>
      </w:r>
    </w:p>
    <w:p w14:paraId="22485B98" w14:textId="77777777" w:rsidR="00344359" w:rsidRPr="00EA0DC7" w:rsidRDefault="00EC47BB" w:rsidP="00344359">
      <w:pPr>
        <w:keepNext/>
        <w:outlineLvl w:val="2"/>
        <w:rPr>
          <w:rFonts w:eastAsia="SimSun" w:cs="Arial"/>
          <w:b/>
          <w:i/>
          <w:szCs w:val="24"/>
        </w:rPr>
      </w:pPr>
      <w:bookmarkStart w:id="21" w:name="_Toc508809010"/>
      <w:r w:rsidRPr="00EA0DC7">
        <w:rPr>
          <w:rFonts w:eastAsia="SimSun" w:cs="Arial"/>
          <w:b/>
          <w:i/>
          <w:szCs w:val="24"/>
        </w:rPr>
        <w:t>1.2.3 Life course and consequences</w:t>
      </w:r>
      <w:bookmarkEnd w:id="21"/>
    </w:p>
    <w:p w14:paraId="51D93FDD" w14:textId="7F22A4C7" w:rsidR="00EC47BB" w:rsidRPr="00EA0DC7" w:rsidRDefault="00EC47BB" w:rsidP="00344359">
      <w:pPr>
        <w:rPr>
          <w:b/>
          <w:i/>
          <w:szCs w:val="24"/>
        </w:rPr>
      </w:pPr>
      <w:r w:rsidRPr="00EA0DC7">
        <w:rPr>
          <w:i/>
        </w:rPr>
        <w:tab/>
      </w:r>
      <w:r w:rsidRPr="00EA0DC7">
        <w:t>The life course of depression is variable across individuals. First incidence of the disorder is usually at an early age (</w:t>
      </w:r>
      <w:r w:rsidRPr="00EA0DC7">
        <w:rPr>
          <w:szCs w:val="24"/>
        </w:rPr>
        <w:t>Hammen, &amp; Watkins, 2008), but it can occur at any time (Blazer at al., 1994).</w:t>
      </w:r>
      <w:r w:rsidRPr="00EA0DC7">
        <w:t xml:space="preserve"> </w:t>
      </w:r>
      <w:commentRangeStart w:id="22"/>
      <w:r w:rsidRPr="00EA0DC7">
        <w:t>Median age of onset is disputed. Andrade et al. (2003) found it ranged between 20 and 25</w:t>
      </w:r>
      <w:r w:rsidR="004D4739">
        <w:t xml:space="preserve"> years</w:t>
      </w:r>
      <w:r w:rsidRPr="00EA0DC7">
        <w:t xml:space="preserve"> across different countries, whereas Kessler et al. (2005) found the median age to be 32</w:t>
      </w:r>
      <w:r w:rsidR="004D4739">
        <w:t xml:space="preserve"> years</w:t>
      </w:r>
      <w:commentRangeEnd w:id="22"/>
      <w:r w:rsidR="00D031DD">
        <w:rPr>
          <w:rStyle w:val="CommentReference"/>
          <w:rFonts w:eastAsiaTheme="minorHAnsi"/>
          <w:lang w:eastAsia="en-US"/>
        </w:rPr>
        <w:commentReference w:id="22"/>
      </w:r>
      <w:r w:rsidRPr="00EA0DC7">
        <w:t>. There is also evidence that the average age of onset is younger for females than for males (Burke, Burke, Regier, &amp; Rae, 1990).</w:t>
      </w:r>
    </w:p>
    <w:p w14:paraId="1673E4B8" w14:textId="139B11D1" w:rsidR="00EC47BB" w:rsidRDefault="00EC47BB" w:rsidP="00EC47BB">
      <w:pPr>
        <w:ind w:firstLine="720"/>
        <w:rPr>
          <w:rFonts w:eastAsia="SimSun" w:cs="Arial"/>
        </w:rPr>
      </w:pPr>
      <w:r w:rsidRPr="00EA0DC7">
        <w:rPr>
          <w:rFonts w:eastAsia="SimSun" w:cs="Arial"/>
        </w:rPr>
        <w:t>The majority of individuals with depression will experience more than one depressive episode over their lifetime (</w:t>
      </w:r>
      <w:r w:rsidRPr="00EA0DC7">
        <w:rPr>
          <w:rFonts w:eastAsia="SimSun" w:cs="Arial"/>
          <w:szCs w:val="24"/>
        </w:rPr>
        <w:t>Hammen &amp; Watkins, 2008;</w:t>
      </w:r>
      <w:r w:rsidRPr="00EA0DC7">
        <w:rPr>
          <w:rFonts w:eastAsia="SimSun" w:cs="Arial"/>
        </w:rPr>
        <w:t xml:space="preserve"> </w:t>
      </w:r>
      <w:r w:rsidRPr="00EA0DC7">
        <w:rPr>
          <w:rFonts w:eastAsia="SimSun" w:cs="Arial"/>
          <w:szCs w:val="24"/>
        </w:rPr>
        <w:t>Leahy, Holland, &amp; McGinn, 2012). Around 30% of people relapse in the first year</w:t>
      </w:r>
      <w:r w:rsidR="00177CE7" w:rsidRPr="00EA0DC7">
        <w:rPr>
          <w:rFonts w:eastAsia="SimSun" w:cs="Arial"/>
          <w:szCs w:val="24"/>
        </w:rPr>
        <w:t>,</w:t>
      </w:r>
      <w:r w:rsidRPr="00EA0DC7">
        <w:rPr>
          <w:rFonts w:eastAsia="SimSun" w:cs="Arial"/>
          <w:szCs w:val="24"/>
        </w:rPr>
        <w:t xml:space="preserve"> and 70-80% will experience at least one further depressive episode (Paykel et al., 2005).</w:t>
      </w:r>
      <w:r w:rsidRPr="00EA0DC7">
        <w:rPr>
          <w:rFonts w:eastAsia="SimSun" w:cs="Arial"/>
        </w:rPr>
        <w:t xml:space="preserve"> Time to first recurrence is significantly longer than time to subsequent </w:t>
      </w:r>
      <w:r w:rsidR="001F4D88" w:rsidRPr="00EA0DC7">
        <w:rPr>
          <w:rFonts w:eastAsia="SimSun" w:cs="Arial"/>
        </w:rPr>
        <w:t>recurrences</w:t>
      </w:r>
      <w:r w:rsidRPr="00EA0DC7">
        <w:rPr>
          <w:rFonts w:eastAsia="SimSun" w:cs="Arial"/>
        </w:rPr>
        <w:t xml:space="preserve"> and the risk of recurrence increases by 16% after each successive episode (Solomon et al., 2000). A younger age of onset has also been associated with greater chance of recurrence (Hollon et al., 2006).</w:t>
      </w:r>
    </w:p>
    <w:p w14:paraId="3F074B0E" w14:textId="3F592A7A" w:rsidR="001B361B" w:rsidRPr="00EA0DC7" w:rsidRDefault="001B361B" w:rsidP="00EC47BB">
      <w:pPr>
        <w:ind w:firstLine="720"/>
        <w:rPr>
          <w:rFonts w:eastAsia="SimSun" w:cs="Arial"/>
        </w:rPr>
      </w:pPr>
      <w:r w:rsidRPr="00EA0DC7">
        <w:rPr>
          <w:rFonts w:eastAsia="SimSun" w:cs="Arial"/>
        </w:rPr>
        <w:t>The chronicity and recurrence of depression impact on a person’s ability to function in the workplace and maintain a job. It is the leading cause of disability worldwide (</w:t>
      </w:r>
      <w:r w:rsidRPr="00EA0DC7">
        <w:rPr>
          <w:rFonts w:eastAsia="SimSun" w:cs="Arial"/>
          <w:bCs/>
          <w:szCs w:val="24"/>
        </w:rPr>
        <w:t xml:space="preserve">World Health Organisation, 2012a), </w:t>
      </w:r>
      <w:r w:rsidRPr="00EA0DC7">
        <w:rPr>
          <w:rFonts w:eastAsia="SimSun" w:cs="Arial"/>
        </w:rPr>
        <w:t xml:space="preserve">and on average costs 5.6 hours of productive work per person per week (Stewart, Ricci, Chee, Hahn, &amp; Morganstein, 2003). This translates to a workplace cost of depression estimated to be $51.5 billion in the United States alone (Greenberg et al., </w:t>
      </w:r>
      <w:r w:rsidRPr="00EA0DC7">
        <w:rPr>
          <w:rFonts w:eastAsia="SimSun" w:cs="Arial"/>
        </w:rPr>
        <w:lastRenderedPageBreak/>
        <w:t>2003).</w:t>
      </w:r>
      <w:r w:rsidR="001A6E67">
        <w:rPr>
          <w:rFonts w:eastAsia="SimSun" w:cs="Arial"/>
        </w:rPr>
        <w:t xml:space="preserve"> </w:t>
      </w:r>
      <w:commentRangeStart w:id="23"/>
      <w:r w:rsidR="001A6E67">
        <w:rPr>
          <w:rFonts w:eastAsia="SimSun" w:cs="Arial"/>
        </w:rPr>
        <w:t xml:space="preserve">Recurrent depression is particularly </w:t>
      </w:r>
      <w:commentRangeEnd w:id="23"/>
      <w:r w:rsidR="00BA05C7">
        <w:rPr>
          <w:rStyle w:val="CommentReference"/>
          <w:rFonts w:eastAsiaTheme="minorHAnsi"/>
          <w:lang w:eastAsia="en-US"/>
        </w:rPr>
        <w:commentReference w:id="23"/>
      </w:r>
      <w:r w:rsidR="001A6E67">
        <w:rPr>
          <w:rFonts w:eastAsia="SimSun" w:cs="Arial"/>
        </w:rPr>
        <w:t>costly to society. In a review of the literature</w:t>
      </w:r>
      <w:r w:rsidR="0018754E">
        <w:rPr>
          <w:rFonts w:eastAsia="SimSun" w:cs="Arial"/>
        </w:rPr>
        <w:t>,</w:t>
      </w:r>
      <w:r w:rsidR="007F03B7">
        <w:rPr>
          <w:rFonts w:eastAsia="SimSun" w:cs="Arial"/>
        </w:rPr>
        <w:t xml:space="preserve"> Mrazek, Hornberger, Altar and Degtiar (2014)</w:t>
      </w:r>
      <w:r w:rsidR="001A6E67">
        <w:rPr>
          <w:rFonts w:eastAsia="SimSun" w:cs="Arial"/>
        </w:rPr>
        <w:t xml:space="preserve"> calculated the annual</w:t>
      </w:r>
      <w:r>
        <w:rPr>
          <w:rFonts w:eastAsia="SimSun" w:cs="Arial"/>
        </w:rPr>
        <w:t xml:space="preserve"> societal costs of major depression </w:t>
      </w:r>
      <w:r w:rsidR="00A63FB2">
        <w:rPr>
          <w:rFonts w:eastAsia="SimSun" w:cs="Arial"/>
        </w:rPr>
        <w:t xml:space="preserve">for all patients </w:t>
      </w:r>
      <w:r w:rsidR="001A6E67">
        <w:rPr>
          <w:rFonts w:eastAsia="SimSun" w:cs="Arial"/>
        </w:rPr>
        <w:t xml:space="preserve">in the US as $106-$118 </w:t>
      </w:r>
      <w:r w:rsidR="00A63FB2">
        <w:rPr>
          <w:rFonts w:eastAsia="SimSun" w:cs="Arial"/>
        </w:rPr>
        <w:t xml:space="preserve">billion </w:t>
      </w:r>
      <w:r>
        <w:rPr>
          <w:rFonts w:eastAsia="SimSun" w:cs="Arial"/>
        </w:rPr>
        <w:t>when factoring in the</w:t>
      </w:r>
      <w:r w:rsidR="001A6E67">
        <w:rPr>
          <w:rFonts w:eastAsia="SimSun" w:cs="Arial"/>
        </w:rPr>
        <w:t xml:space="preserve"> impact of recurrent depression. </w:t>
      </w:r>
      <w:r w:rsidR="001B10C8">
        <w:rPr>
          <w:rFonts w:eastAsia="SimSun" w:cs="Arial"/>
        </w:rPr>
        <w:t>Amos et al. (</w:t>
      </w:r>
      <w:r w:rsidR="007F03B7">
        <w:rPr>
          <w:rFonts w:eastAsia="SimSun" w:cs="Arial"/>
        </w:rPr>
        <w:t>2018)</w:t>
      </w:r>
      <w:r w:rsidR="001A6E67">
        <w:rPr>
          <w:rFonts w:eastAsia="SimSun" w:cs="Arial"/>
        </w:rPr>
        <w:t xml:space="preserve"> found that direct and indirect </w:t>
      </w:r>
      <w:r w:rsidR="001B10C8">
        <w:rPr>
          <w:rFonts w:eastAsia="SimSun" w:cs="Arial"/>
        </w:rPr>
        <w:t xml:space="preserve">healthcare resource utilisation and </w:t>
      </w:r>
      <w:r w:rsidR="001A6E67">
        <w:rPr>
          <w:rFonts w:eastAsia="SimSun" w:cs="Arial"/>
        </w:rPr>
        <w:t xml:space="preserve">costs </w:t>
      </w:r>
      <w:r w:rsidR="001B10C8">
        <w:rPr>
          <w:rFonts w:eastAsia="SimSun" w:cs="Arial"/>
        </w:rPr>
        <w:t xml:space="preserve">for patients with recurrent depression were double </w:t>
      </w:r>
      <w:r w:rsidR="007F03B7">
        <w:rPr>
          <w:rFonts w:eastAsia="SimSun" w:cs="Arial"/>
        </w:rPr>
        <w:t>those of non-recurrent major depressive disorder (MDD)</w:t>
      </w:r>
      <w:r w:rsidR="001B10C8">
        <w:rPr>
          <w:rFonts w:eastAsia="SimSun" w:cs="Arial"/>
        </w:rPr>
        <w:t xml:space="preserve"> patients and quadruple those of non-MDD patients.</w:t>
      </w:r>
    </w:p>
    <w:p w14:paraId="3FA72B01" w14:textId="49B42B56" w:rsidR="00EC47BB" w:rsidRPr="00EA0DC7" w:rsidRDefault="00EC47BB" w:rsidP="00EC47BB">
      <w:pPr>
        <w:ind w:firstLine="720"/>
        <w:rPr>
          <w:rFonts w:eastAsia="SimSun" w:cs="Arial"/>
        </w:rPr>
      </w:pPr>
      <w:r w:rsidRPr="00EA0DC7">
        <w:rPr>
          <w:rFonts w:eastAsia="SimSun" w:cs="Arial"/>
        </w:rPr>
        <w:t xml:space="preserve">The World Health Organisation (2014) estimates an annual suicide rate of 11.4 per 100,000 </w:t>
      </w:r>
      <w:r w:rsidR="004E76A9" w:rsidRPr="00EA0DC7">
        <w:rPr>
          <w:rFonts w:eastAsia="SimSun" w:cs="Arial"/>
        </w:rPr>
        <w:t xml:space="preserve">of the general </w:t>
      </w:r>
      <w:r w:rsidRPr="00EA0DC7">
        <w:rPr>
          <w:rFonts w:eastAsia="SimSun" w:cs="Arial"/>
        </w:rPr>
        <w:t xml:space="preserve">population, and </w:t>
      </w:r>
      <w:r w:rsidR="00253F8B" w:rsidRPr="00EA0DC7">
        <w:rPr>
          <w:rFonts w:eastAsia="SimSun" w:cs="Arial"/>
        </w:rPr>
        <w:t xml:space="preserve">states that </w:t>
      </w:r>
      <w:r w:rsidRPr="00EA0DC7">
        <w:rPr>
          <w:rFonts w:eastAsia="SimSun" w:cs="Arial"/>
        </w:rPr>
        <w:t>there are 20 or more attempts for every suicide that is completed (World Health Organisation, 2012b). Diagnosable depressive disorders have been implicated in approximately 59% of suicides (Henriksson et al., 1993), and suicidal thoughts are a symptom of these disorders (</w:t>
      </w:r>
      <w:r w:rsidRPr="00EA0DC7">
        <w:rPr>
          <w:rFonts w:eastAsia="SimSun" w:cs="Arial"/>
          <w:szCs w:val="24"/>
        </w:rPr>
        <w:t>Hammen &amp; Watkins, 2008).</w:t>
      </w:r>
    </w:p>
    <w:p w14:paraId="0B299D42" w14:textId="5530956B" w:rsidR="00EC47BB" w:rsidRPr="00EA0DC7" w:rsidRDefault="00EC47BB" w:rsidP="00EC47BB">
      <w:pPr>
        <w:outlineLvl w:val="2"/>
        <w:rPr>
          <w:rFonts w:eastAsia="SimSun" w:cs="Arial"/>
          <w:b/>
          <w:i/>
          <w:szCs w:val="24"/>
        </w:rPr>
      </w:pPr>
      <w:bookmarkStart w:id="24" w:name="_Toc508809011"/>
      <w:r w:rsidRPr="00EA0DC7">
        <w:rPr>
          <w:rFonts w:eastAsia="SimSun" w:cs="Arial"/>
          <w:b/>
          <w:i/>
          <w:szCs w:val="24"/>
        </w:rPr>
        <w:t>1.2.4 Summary</w:t>
      </w:r>
      <w:bookmarkEnd w:id="24"/>
    </w:p>
    <w:p w14:paraId="5682A2ED" w14:textId="77777777" w:rsidR="00EC47BB" w:rsidRPr="00EA0DC7" w:rsidRDefault="00EC47BB" w:rsidP="00EC47BB">
      <w:pPr>
        <w:ind w:firstLine="720"/>
        <w:rPr>
          <w:rFonts w:eastAsia="SimSun" w:cs="Arial"/>
          <w:u w:val="single"/>
        </w:rPr>
      </w:pPr>
      <w:r w:rsidRPr="00EA0DC7">
        <w:rPr>
          <w:rFonts w:eastAsia="SimSun" w:cs="Arial"/>
          <w:szCs w:val="24"/>
        </w:rPr>
        <w:t>Depression is a far-reaching disorder that affects the lives of billions of people around the world (</w:t>
      </w:r>
      <w:r w:rsidRPr="00EA0DC7">
        <w:rPr>
          <w:rFonts w:eastAsia="SimSun" w:cs="Arial"/>
        </w:rPr>
        <w:t>World Health Organisation, 2012a)</w:t>
      </w:r>
      <w:r w:rsidRPr="00EA0DC7">
        <w:rPr>
          <w:rFonts w:eastAsia="SimSun" w:cs="Arial"/>
          <w:szCs w:val="24"/>
        </w:rPr>
        <w:t xml:space="preserve">. It is not only a disorder of mood, but also has cognitive, behavioural and physical symptoms </w:t>
      </w:r>
      <w:r w:rsidRPr="00EA0DC7">
        <w:rPr>
          <w:rFonts w:eastAsia="SimSun" w:cs="Arial"/>
        </w:rPr>
        <w:t>(</w:t>
      </w:r>
      <w:r w:rsidRPr="00EA0DC7">
        <w:rPr>
          <w:rFonts w:eastAsia="SimSun" w:cs="Arial"/>
          <w:szCs w:val="24"/>
        </w:rPr>
        <w:t xml:space="preserve">Hammen &amp; Watkins, 2008). The disorder has a high rate of recurrence (Paykel et al., 2005), bringing with it a feeling of despair and hopelessness which can often result in suicide </w:t>
      </w:r>
      <w:r w:rsidRPr="00EA0DC7">
        <w:rPr>
          <w:rFonts w:eastAsia="SimSun" w:cs="Arial"/>
        </w:rPr>
        <w:t>(Henriksson et al., 1993)</w:t>
      </w:r>
      <w:r w:rsidRPr="00EA0DC7">
        <w:rPr>
          <w:rFonts w:eastAsia="SimSun" w:cs="Arial"/>
          <w:szCs w:val="24"/>
        </w:rPr>
        <w:t xml:space="preserve">. There is an economic burden of depression on a global scale </w:t>
      </w:r>
      <w:r w:rsidRPr="00EA0DC7">
        <w:rPr>
          <w:rFonts w:eastAsia="SimSun" w:cs="Arial"/>
        </w:rPr>
        <w:t>(Greenberg et al., 2003)</w:t>
      </w:r>
      <w:r w:rsidRPr="00EA0DC7">
        <w:rPr>
          <w:rFonts w:eastAsia="SimSun" w:cs="Arial"/>
          <w:szCs w:val="24"/>
        </w:rPr>
        <w:t xml:space="preserve">. The way that this disorder diminishes quality of life combined with the high prevalence rate highlights the necessity for reliable, effective treatments. In </w:t>
      </w:r>
      <w:r w:rsidRPr="00EA0DC7">
        <w:rPr>
          <w:rFonts w:eastAsia="SimSun" w:cs="Arial"/>
          <w:szCs w:val="24"/>
        </w:rPr>
        <w:lastRenderedPageBreak/>
        <w:t>the following section, I will discuss some of the key treatments that are currently available for depression.</w:t>
      </w:r>
    </w:p>
    <w:p w14:paraId="676387CC" w14:textId="77777777" w:rsidR="0018754E" w:rsidRDefault="0018754E" w:rsidP="00C230E9">
      <w:bookmarkStart w:id="25" w:name="_Toc508809012"/>
      <w:bookmarkStart w:id="26" w:name="_Toc517453249"/>
    </w:p>
    <w:p w14:paraId="6CB12F8B" w14:textId="10214512" w:rsidR="00EC47BB" w:rsidRPr="00EA0DC7" w:rsidRDefault="00EC47BB" w:rsidP="00EC47BB">
      <w:pPr>
        <w:outlineLvl w:val="1"/>
        <w:rPr>
          <w:rFonts w:eastAsia="SimSun" w:cs="Arial"/>
          <w:b/>
          <w:sz w:val="28"/>
          <w:szCs w:val="24"/>
        </w:rPr>
      </w:pPr>
      <w:bookmarkStart w:id="27" w:name="_Toc47039825"/>
      <w:r w:rsidRPr="00EA0DC7">
        <w:rPr>
          <w:rFonts w:eastAsia="SimSun" w:cs="Arial"/>
          <w:b/>
          <w:sz w:val="28"/>
          <w:szCs w:val="24"/>
        </w:rPr>
        <w:t>1.3 Treatment</w:t>
      </w:r>
      <w:bookmarkEnd w:id="25"/>
      <w:bookmarkEnd w:id="26"/>
      <w:bookmarkEnd w:id="27"/>
    </w:p>
    <w:p w14:paraId="6479D258" w14:textId="2B8BAAAC" w:rsidR="00EC47BB" w:rsidRPr="00EA0DC7" w:rsidRDefault="00EC47BB" w:rsidP="00EC47BB">
      <w:pPr>
        <w:rPr>
          <w:rFonts w:eastAsia="SimSun" w:cs="Arial"/>
        </w:rPr>
      </w:pPr>
      <w:r w:rsidRPr="00EA0DC7">
        <w:rPr>
          <w:rFonts w:eastAsia="SimSun" w:cs="Arial"/>
        </w:rPr>
        <w:tab/>
        <w:t xml:space="preserve">There are a few different lines of treatment for depressive disorders. This overview will cover the two most widely used treatments – pharmacological and psychological. Two less commonly used treatments that will not be covered in this review are ECT (electroconvulsive therapy) and rTMS (repetitive transcranial magnetic stimulation). ECT has been found to be effective </w:t>
      </w:r>
      <w:r w:rsidRPr="00EA0DC7">
        <w:rPr>
          <w:rFonts w:eastAsia="SimSun" w:cs="Arial"/>
        </w:rPr>
        <w:fldChar w:fldCharType="begin" w:fldLock="1"/>
      </w:r>
      <w:r w:rsidRPr="00EA0DC7">
        <w:rPr>
          <w:rFonts w:eastAsia="SimSun" w:cs="Arial"/>
        </w:rPr>
        <w:instrText>ADDIN CSL_CITATION { "citationItems" : [ { "id" : "ITEM-1", "itemData" : { "DOI" : "10.1016/S0140-6736(03)12705-5", "ISSN" : "0140-6736", "PMID" : "12642045", "abstract" : "BACKGROUND: We aimed to review published work for the efficacy and safety of electroconvulsive therapy (ECT) with simulated ECT, ECT versus pharmacotherapy, and different forms of ECT for patients with depressive illness. METHODS: We designed a systematic overview and meta-analysis of randomised controlled trials and observational studies. We obtained data from the Cochrane Collaboration Depressive Anxiety and Neurosis and Schizophrenia Group Controlled trial registers, Cochrane Controlled Trials register, Biological Abstracts, CINAHL, EMBASE, LILACS, MEDLINE, PsycINFO, and SIGLE, reference lists, and specialist textbooks. Our main outcome measures were depressive symptoms, measures of cognitive function, and mortality. FINDINGS: Meta-analysis of data of short-term efficacy from randomised controlled trials was possible. Real ECT was significantly more effective than simulated ECT (six trials, 256 patients, standardised effect size [SES] -0.91, 95% CI -1.27 to -0.54). Treatment with ECT was significantly more effective than pharmacotherapy (18 trials, 1144 participants, SES -0.80, 95% CI -1.29 to -0.29). Bilateral ECT was more effective than unipolar ECT (22 trials, 1408 participants, SES -0.32, 95% CI -0.46 to -0.19). INTERPRETATION: ECT is an effective short-term treatment for depression, and is probably more effective than drug therapy. Bilateral ECT is moderately more effective than unilateral ECT, and high dose ECT is more effective than low dose.", "author" : [ { "dropping-particle" : "", "family" : "The UK ECT Review Group", "given" : "", "non-dropping-particle" : "", "parse-names" : false, "suffix" : "" } ], "container-title" : "Lancet", "id" : "ITEM-1", "issue" : "9360", "issued" : { "date-parts" : [ [ "2003", "3", "8" ] ] }, "page" : "799-808", "title" : "Efficacy and safety of electroconvulsive therapy in depressive disorders: a systematic review and meta-analysis.", "type" : "article-journal", "volume" : "361" }, "uris" : [ "http://www.mendeley.com/documents/?uuid=b297bcef-d78a-47a7-8487-4b2bd7462dd9" ] } ], "mendeley" : { "formattedCitation" : "(The UK ECT Review Group, 2003)", "plainTextFormattedCitation" : "(The UK ECT Review Group, 2003)", "previouslyFormattedCitation" : "(The UK ECT Review Group, 2003)"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(The UK ECT Review Group, 2003)</w:t>
      </w:r>
      <w:r w:rsidRPr="00EA0DC7">
        <w:rPr>
          <w:rFonts w:eastAsia="SimSun" w:cs="Arial"/>
        </w:rPr>
        <w:fldChar w:fldCharType="end"/>
      </w:r>
      <w:r w:rsidRPr="00EA0DC7">
        <w:rPr>
          <w:rFonts w:eastAsia="SimSun" w:cs="Arial"/>
        </w:rPr>
        <w:t xml:space="preserve"> but can have severe side-effects (e.g., memory loss - </w:t>
      </w:r>
      <w:r w:rsidRPr="00EA0DC7">
        <w:rPr>
          <w:rFonts w:eastAsia="SimSun" w:cs="Arial"/>
        </w:rPr>
        <w:fldChar w:fldCharType="begin" w:fldLock="1"/>
      </w:r>
      <w:r w:rsidRPr="00EA0DC7">
        <w:rPr>
          <w:rFonts w:eastAsia="SimSun" w:cs="Arial"/>
        </w:rPr>
        <w:instrText>ADDIN CSL_CITATION { "citationItems" : [ { "id" : "ITEM-1", "itemData" : { "DOI" : "10.1016/S0091-6773(74)91116-X", "ISSN" : "00916773", "abstract" : "Psychiatric patients undergoing a series of electroconvulsive therapy (E.C.T.) treatments for depressive illness were given a test of remote memory for public events, covering the years 1940\u20131969. Patients tested 40\u201380 min after their first treatment did nearly as well on this test as did a control group of medical inpatients. Patients tested 40\u201380 min after their fifth treatment were markedly impaired across nearly the entire time period sampled by the test. Patients were not impaired on the verbal portion of the Wechsler Adult Intelligence Scale. The results suggest that the amnesic effects of E.C.T. can extend to remote memory, as well as to recent memory.", "author" : [ { "dropping-particle" : "", "family" : "Squire", "given" : "Larry R.", "non-dropping-particle" : "", "parse-names" : false, "suffix" : "" } ], "container-title" : "Behavioral Biology", "id" : "ITEM-1", "issue" : "1", "issued" : { "date-parts" : [ [ "1974", "9" ] ] }, "page" : "119-125", "title" : "Amnesia for remote events following electroconvulsive therapy", "type" : "article-journal", "volume" : "12" }, "uris" : [ "http://www.mendeley.com/documents/?uuid=d7da9e9e-14ac-438b-815f-2f149a3431b5" ] } ], "mendeley" : { "formattedCitation" : "(Squire, 1974)", "plainTextFormattedCitation" : "(Squire, 1974)", "previouslyFormattedCitation" : "(Squire, 1974)"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Squire, 1974)</w:t>
      </w:r>
      <w:r w:rsidRPr="00EA0DC7">
        <w:rPr>
          <w:rFonts w:eastAsia="SimSun" w:cs="Arial"/>
        </w:rPr>
        <w:fldChar w:fldCharType="end"/>
      </w:r>
      <w:r w:rsidRPr="00EA0DC7">
        <w:rPr>
          <w:rFonts w:eastAsia="SimSun" w:cs="Arial"/>
        </w:rPr>
        <w:t xml:space="preserve">. rTMS seems to have fewer side effects than ECT </w:t>
      </w:r>
      <w:r w:rsidRPr="00EA0DC7">
        <w:rPr>
          <w:rFonts w:eastAsia="SimSun" w:cs="Arial"/>
        </w:rPr>
        <w:fldChar w:fldCharType="begin" w:fldLock="1"/>
      </w:r>
      <w:r w:rsidRPr="00EA0DC7">
        <w:rPr>
          <w:rFonts w:eastAsia="SimSun" w:cs="Arial"/>
        </w:rPr>
        <w:instrText>ADDIN CSL_CITATION { "citationItems" : [ { "id" : "ITEM-1", "itemData" : { "DOI" : "10.1097/YCT.0b013e3181d77645", "ISSN" : "1533-4112", "PMID" : "20351570", "abstract" : "OBJECTIVES: Repetitive transcranial magnetic stimulation (rTMS) is a potential new antidepressant method and alternative to electroconvulsive therapy (ECT). The efficacy of right prefrontal low-frequency rTMS was shown in a previous placebo-controlled, randomized study but has never been compared with ECT. The aim of this study was to compare the antidepressant efficacy and adverse effects of right prefrontal low-frequency rTMS with that of ECT. METHODS: Sixty inpatients with major depression were randomized to 15 days of 1-Hz right prefrontal rTMS or 9 unilateral ECTs. Depressive symptoms and adverse effects were recorded using the Hamilton Scale for Depression and the Udvalg for Kliniske Unders\u00f8gelser side effect scale, supplied by neuropsychological assessment of cognitive functions. RESULTS: Repetitive transcranial magnetic stimulation was significantly less effective than ECT. The intention-to-treat analysis revealed a 26% (confidence interval, 3%-51%) higher rate of partial remission (P = 0.035) by the end of week 3. There was no difference found between the 2 methods on the Udvalg for Kliniske Unders\u00f8gelser rating scale. However, psychological examination revealed ECT to have more adverse effects on cognitive functions, whereas the rTMS group improved particularly with respect to visual memory. CONCLUSIONS: Repetitive transcranial magnetic stimulation was significantly less effective than ECT, but ECT had more adverse effects on cognitive function. The outcome does not point to right frontal low-frequency rTMS using the present stimulus design as a first-line substitute for ECT, but rather as a treatment option for patients with depression who are intolerant to other types of treatment or not accepting ECT.", "author" : [ { "dropping-particle" : "", "family" : "Hansen", "given" : "Poul Erik Buchholtz", "non-dropping-particle" : "", "parse-names" : false, "suffix" : "" }, { "dropping-particle" : "", "family" : "Ravnkilde", "given" : "Barbara", "non-dropping-particle" : "", "parse-names" : false, "suffix" : "" }, { "dropping-particle" : "", "family" : "Videbech", "given" : "Poul", "non-dropping-particle" : "", "parse-names" : false, "suffix" : "" }, { "dropping-particle" : "", "family" : "Clemmensen", "given" : "Karin", "non-dropping-particle" : "", "parse-names" : false, "suffix" : "" }, { "dropping-particle" : "", "family" : "Sturlason", "given" : "Runa", "non-dropping-particle" : "", "parse-names" : false, "suffix" : "" }, { "dropping-particle" : "", "family" : "Reiner", "given" : "Mads", "non-dropping-particle" : "", "parse-names" : false, "suffix" : "" }, { "dropping-particle" : "", "family" : "Parner", "given" : "Erik", "non-dropping-particle" : "", "parse-names" : false, "suffix" : "" }, { "dropping-particle" : "", "family" : "Rosenberg", "given" : "Raben", "non-dropping-particle" : "", "parse-names" : false, "suffix" : "" }, { "dropping-particle" : "", "family" : "Vestergaard", "given" : "Per", "non-dropping-particle" : "", "parse-names" : false, "suffix" : "" } ], "container-title" : "The Journal of ECT", "id" : "ITEM-1", "issue" : "1", "issued" : { "date-parts" : [ [ "2011", "3" ] ] }, "page" : "26-32", "title" : "Low-frequency repetitive transcranial magnetic stimulation inferior to electroconvulsive therapy in treating depression.", "type" : "article-journal", "volume" : "27" }, "uris" : [ "http://www.mendeley.com/documents/?uuid=f6e46294-1cd3-4179-a0a7-aadcd4719cdc" ] } ], "mendeley" : { "formattedCitation" : "(Hansen et al., 2011)", "plainTextFormattedCitation" : "(Hansen et al., 2011)", "previouslyFormattedCitation" : "(Hansen et al., 2011)"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(Hansen et al., 2011)</w:t>
      </w:r>
      <w:r w:rsidRPr="00EA0DC7">
        <w:rPr>
          <w:rFonts w:eastAsia="SimSun" w:cs="Arial"/>
        </w:rPr>
        <w:fldChar w:fldCharType="end"/>
      </w:r>
      <w:r w:rsidRPr="00EA0DC7">
        <w:rPr>
          <w:rFonts w:eastAsia="SimSun" w:cs="Arial"/>
        </w:rPr>
        <w:t xml:space="preserve">, and has been found to be efficacious for depression, but it is a relatively new treatment and currently has limited clinical effectiveness </w:t>
      </w:r>
      <w:r w:rsidRPr="00EA0DC7">
        <w:rPr>
          <w:rFonts w:eastAsia="SimSun" w:cs="Arial"/>
        </w:rPr>
        <w:fldChar w:fldCharType="begin" w:fldLock="1"/>
      </w:r>
      <w:r w:rsidRPr="00EA0DC7">
        <w:rPr>
          <w:rFonts w:eastAsia="SimSun" w:cs="Arial"/>
        </w:rPr>
        <w:instrText>ADDIN CSL_CITATION { "citationItems" : [ { "id" : "ITEM-1", "itemData" : { "DOI" : "10.1111/acps.12276", "ISSN" : "1600-0447", "PMID" : "24724996", "abstract" : "OBJECTIVE: Repetitive transcranial magnetic stimulation (rTMS) is an approved treatment for depression. The clinical relevance of its efficacy is unclear. The clinical relevance of findings in the rTMS literature was assessed by translating Hamilton Depression Rating Scale (HAMD) data into Clinical Global Impression-Improvement scale (CGI-I) scores. METHOD: We performed electronic searches of MEDLINE, Embase, PsycINFO, PubMed and Cochrane Central Register of Controlled Trials for RCTs and non-RCT trials on rTMS using Hamilton Depression Rating Scale (HAMD). Articles were included if published in English before January 2014. We translated HAMD scores into nominal CGI-I scores for rTMS for depression and for treatment-resistant depression (TRD). RESULTS: About 960 abstracts were retrieved. Sixty-three studies were included, yielding 130 study arms. For depression, the mean percentage change in HAMD scores in all sham-controlled rTMS treatment arms was 35.63 (SD 16.35) and for sham-rTMS 23.33 (SD 16.51). For TRD, active rTMS in sham-controlled studies showed a mean HAMD percentage reduction of 45.21 (SD 10.94) versus 25.04 (SD 17.55) for sham-rTMS. When aggregated scores were translated into notional CGI-I scores, for the treatment of depression, the notional CGI-I score difference between rTMS and sham-rTMS was 0.5 in favour of rTMS; for TRD, it was 0.75 in favour of rTMS. Differences between rTMS and sham-rTMS were bigger when all study arms were combined. CONCLUSION: Whilst rTMS appears to be efficacious for both non-refractory and treatment-resistant depression, the clinical relevance of its efficacy is doubtful.", "author" : [ { "dropping-particle" : "", "family" : "Lepping", "given" : "P", "non-dropping-particle" : "", "parse-names" : false, "suffix" : "" }, { "dropping-particle" : "", "family" : "Sch\u00f6nfeldt-Lecuona", "given" : "C", "non-dropping-particle" : "", "parse-names" : false, "suffix" : "" }, { "dropping-particle" : "", "family" : "Sambhi", "given" : "R S", "non-dropping-particle" : "", "parse-names" : false, "suffix" : "" }, { "dropping-particle" : "", "family" : "Lanka", "given" : "S V N", "non-dropping-particle" : "", "parse-names" : false, "suffix" : "" }, { "dropping-particle" : "", "family" : "Lane", "given" : "S", "non-dropping-particle" : "", "parse-names" : false, "suffix" : "" }, { "dropping-particle" : "", "family" : "Whittington", "given" : "R", "non-dropping-particle" : "", "parse-names" : false, "suffix" : "" }, { "dropping-particle" : "", "family" : "Leucht", "given" : "S", "non-dropping-particle" : "", "parse-names" : false, "suffix" : "" }, { "dropping-particle" : "", "family" : "Poole", "given" : "R", "non-dropping-particle" : "", "parse-names" : false, "suffix" : "" } ], "container-title" : "Acta Psychiatrica Scandinavica", "id" : "ITEM-1", "issue" : "5", "issued" : { "date-parts" : [ [ "2014", "11" ] ] }, "page" : "326-341", "title" : "A systematic review of the clinical relevance of repetitive transcranial magnetic stimulation.", "type" : "article-journal", "volume" : "130" }, "uris" : [ "http://www.mendeley.com/documents/?uuid=8e305cf0-317f-4d54-a711-f2e9d6388317" ] }, { "id" : "ITEM-2", "itemData" : { "DOI" : "10.1016/j.jad.2005.08.001", "ISSN" : "0165-0327", "PMID" : "16139895", "abstract" : "BACKGROUND: There is a growing interest in extending the use of repetitive transcranial magnetic stimulation (rTMS) beyond research centres to the widespread clinical treatment of depression. Thus it is timely to critically review the evidence for the efficacy of rTMS as an antidepressant treatment. Factors relevant to the efficacy of rTMS are discussed along with the implications of these for the further optimization of rTMS. METHOD: Clinical trials of the efficacy of rTMS in depressed subjects are summarized and reviewed, focusing mainly on sham-controlled studies and meta-analyses published to date. RESULTS: There is a fairly consistent statistical evidence for the superiority of rTMS over a sham control, though the degree of clinical improvement is not large. However, this data is derived mainly from two-week comparisons of rTMS versus sham, and evidence suggests greater efficacy with longer treatment courses. Studies so far have also varied greatly in approaches to rTMS stimulation (with respect to stimulation site, stimulus parameters etc) with little empirical evidence to inform on the relative merits of these approaches. LIMITATIONS: Only studies published in English were reviewed. Many of the studies in the literature had small sample sizes and different methodologies, making comparisons between studies difficult. CONCLUSIONS: Current published studies and meta-analyses have evaluated the efficacy of rTMS as given in treatment paradigms that are almost certainly suboptimal (e.g of two weeks' duration). While the data nevertheless supports positive outcomes for rTMS, there is much scope for the further refinement and development of rTMS as an antidepressant treatment. Ongoing research is critical for optimizing the efficacy of rTMS.", "author" : [ { "dropping-particle" : "", "family" : "Loo", "given" : "Colleen K", "non-dropping-particle" : "", "parse-names" : false, "suffix" : "" }, { "dropping-particle" : "", "family" : "Mitchell", "given" : "Philip B", "non-dropping-particle" : "", "parse-names" : false, "suffix" : "" } ], "container-title" : "Journal of Affective Disorders", "id" : "ITEM-2", "issue" : "3", "issued" : { "date-parts" : [ [ "2005", "11" ] ] }, "page" : "255-267", "title" : "A review of the efficacy of transcranial magnetic stimulation (TMS) treatment for depression, and current and future strategies to optimize efficacy.", "type" : "article-journal", "volume" : "88" }, "uris" : [ "http://www.mendeley.com/documents/?uuid=4bdaef4f-cec8-49ba-9637-a717dfdec85f" ] } ], "mendeley" : { "formattedCitation" : "(Lepping et al., 2014; Loo &amp; Mitchell, 2005)", "plainTextFormattedCitation" : "(Lepping et al., 2014; Loo &amp; Mitchell, 2005)", "previouslyFormattedCitation" : "(Lepping et al., 2014; Loo &amp; Mitchell, 2005)"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(Lepping et al., 2014; Loo &amp; Mitchell, 2005)</w:t>
      </w:r>
      <w:r w:rsidRPr="00EA0DC7">
        <w:rPr>
          <w:rFonts w:eastAsia="SimSun" w:cs="Arial"/>
        </w:rPr>
        <w:fldChar w:fldCharType="end"/>
      </w:r>
      <w:r w:rsidRPr="00EA0DC7">
        <w:rPr>
          <w:rFonts w:eastAsia="SimSun" w:cs="Arial"/>
        </w:rPr>
        <w:t xml:space="preserve">. </w:t>
      </w:r>
    </w:p>
    <w:p w14:paraId="308754B5" w14:textId="21957A2B" w:rsidR="00EC47BB" w:rsidRPr="00EA0DC7" w:rsidRDefault="00EC47BB" w:rsidP="00EC47BB">
      <w:pPr>
        <w:ind w:firstLine="720"/>
        <w:rPr>
          <w:rFonts w:eastAsia="SimSun" w:cs="Arial"/>
        </w:rPr>
      </w:pPr>
      <w:r w:rsidRPr="00EA0DC7">
        <w:rPr>
          <w:rFonts w:eastAsia="SimSun" w:cs="Arial"/>
        </w:rPr>
        <w:t xml:space="preserve">This overview will touch on the pharmacological literature before turning to the main aspect of this review – psychological treatments. Finally, I will discuss the comparative effectiveness of treatments, and </w:t>
      </w:r>
      <w:r w:rsidR="001F4D88" w:rsidRPr="00EA0DC7">
        <w:rPr>
          <w:rFonts w:eastAsia="SimSun" w:cs="Arial"/>
        </w:rPr>
        <w:t xml:space="preserve">outline </w:t>
      </w:r>
      <w:r w:rsidRPr="00EA0DC7">
        <w:rPr>
          <w:rFonts w:eastAsia="SimSun" w:cs="Arial"/>
        </w:rPr>
        <w:t>which ones are currently recommended in the UK for different severities of depression.</w:t>
      </w:r>
    </w:p>
    <w:p w14:paraId="52C97C51" w14:textId="34DB816A" w:rsidR="00EC47BB" w:rsidRPr="00EA0DC7" w:rsidRDefault="00EC47BB" w:rsidP="00EC47BB">
      <w:pPr>
        <w:outlineLvl w:val="2"/>
        <w:rPr>
          <w:rFonts w:eastAsia="SimSun" w:cs="Arial"/>
          <w:b/>
          <w:i/>
          <w:szCs w:val="24"/>
        </w:rPr>
      </w:pPr>
      <w:bookmarkStart w:id="28" w:name="_Toc508809013"/>
      <w:r w:rsidRPr="00EA0DC7">
        <w:rPr>
          <w:rFonts w:eastAsia="SimSun" w:cs="Arial"/>
          <w:b/>
          <w:i/>
          <w:szCs w:val="24"/>
        </w:rPr>
        <w:t>1.3.1 Pharmacological treatment</w:t>
      </w:r>
      <w:bookmarkEnd w:id="28"/>
    </w:p>
    <w:p w14:paraId="16B32418" w14:textId="1315DA40" w:rsidR="00EC47BB" w:rsidRPr="00EA0DC7" w:rsidRDefault="00EC47BB" w:rsidP="00EC47BB">
      <w:pPr>
        <w:rPr>
          <w:rFonts w:eastAsia="SimSun" w:cs="Arial"/>
        </w:rPr>
      </w:pPr>
      <w:r w:rsidRPr="00EA0DC7">
        <w:rPr>
          <w:rFonts w:eastAsia="SimSun" w:cs="Arial"/>
          <w:i/>
        </w:rPr>
        <w:tab/>
      </w:r>
      <w:r w:rsidRPr="00EA0DC7">
        <w:rPr>
          <w:rFonts w:eastAsia="SimSun" w:cs="Arial"/>
        </w:rPr>
        <w:t xml:space="preserve">Usually, treatment with antidepressant drugs is </w:t>
      </w:r>
      <w:r w:rsidR="00344359" w:rsidRPr="00EA0DC7">
        <w:rPr>
          <w:rFonts w:eastAsia="SimSun" w:cs="Arial"/>
        </w:rPr>
        <w:t xml:space="preserve">only recommended </w:t>
      </w:r>
      <w:r w:rsidRPr="00EA0DC7">
        <w:rPr>
          <w:rFonts w:eastAsia="SimSun" w:cs="Arial"/>
        </w:rPr>
        <w:t xml:space="preserve">for those with moderate to severe depression, but it can be recommended for more mild cases in certain circumstances (e.g., when depression persists even after the use of other treatments; National Institute for Health and Care </w:t>
      </w:r>
      <w:r w:rsidRPr="00EA0DC7">
        <w:rPr>
          <w:rFonts w:eastAsia="SimSun" w:cs="Arial"/>
        </w:rPr>
        <w:lastRenderedPageBreak/>
        <w:t>Excellence; NICE, 2011). While there are many different classes of antidepressant medication, the most commonly prescribed are selective serotonin reuptake inhibitors (SSRIs; NICE, 2009). These drugs block the reuptake of serotonin from synapses in the brain, thereby increasing the time that serotonin stays in the synapse (Healy, 2009). Other classes of antidepressant are tricyclic antidepressants and monoamine oxidase inhibitors (MAOIs), which are both used less often than SSRIs.</w:t>
      </w:r>
    </w:p>
    <w:p w14:paraId="717C5913" w14:textId="443D0AC5" w:rsidR="00EC47BB" w:rsidRPr="00EA0DC7" w:rsidRDefault="00EC47BB" w:rsidP="00EC47BB">
      <w:pPr>
        <w:rPr>
          <w:rFonts w:eastAsia="SimSun" w:cs="Arial"/>
        </w:rPr>
      </w:pPr>
      <w:r w:rsidRPr="00EA0DC7">
        <w:rPr>
          <w:rFonts w:eastAsia="SimSun" w:cs="Arial"/>
        </w:rPr>
        <w:tab/>
        <w:t>Remission rates for patients being treated with citalopram (an SSRI) have been found to be around 28% (Trivedi et al., 2006), and switching to different medication or a psychotherapy if remission is not achieved can increase remission rates to around 67% (Rush et al., 2006). While different classes of antidepressants have their own mechanism of action, many of them have similar therapeutic benefits (Kirsch, 2014). This similarity might be due, in part, to the placebo effect, which has been found to account for 82% of the antidepressant response (Kirsch et al., 2008). A recent meta-analysis of 21 antidepressant drugs found that all were more effective than placebo for adults with major depressive disorder. However, there was varia</w:t>
      </w:r>
      <w:r w:rsidR="00177CE7" w:rsidRPr="00EA0DC7">
        <w:rPr>
          <w:rFonts w:eastAsia="SimSun" w:cs="Arial"/>
        </w:rPr>
        <w:t>tion</w:t>
      </w:r>
      <w:r w:rsidRPr="00EA0DC7">
        <w:rPr>
          <w:rFonts w:eastAsia="SimSun" w:cs="Arial"/>
        </w:rPr>
        <w:t xml:space="preserve"> in acceptability and efficacy between drugs (Cipriani et al., 2018).</w:t>
      </w:r>
      <w:r w:rsidRPr="00EA0DC7">
        <w:rPr>
          <w:rFonts w:eastAsia="SimSun" w:cs="Arial"/>
          <w:vanish/>
        </w:rPr>
        <w:t xml:space="preserve">owevre there was </w:t>
      </w:r>
      <w:r w:rsidRPr="00EA0DC7">
        <w:rPr>
          <w:rFonts w:eastAsia="SimSun" w:cs="Arial"/>
        </w:rPr>
        <w:t xml:space="preserve"> The efficacy of antidepressant medication also appears to vary as a function of clinical severity. The advantage of antidepressants over placebo has been found to be negligible for mild, moderate and even some cases of severe depression. However, effects are large for very severe cases (Fournier et al., 2010; Kirsch, 2014).</w:t>
      </w:r>
    </w:p>
    <w:p w14:paraId="4A721C1F" w14:textId="4F504C56" w:rsidR="00EC47BB" w:rsidRPr="00EA0DC7" w:rsidRDefault="00EC47BB" w:rsidP="00EC47BB">
      <w:pPr>
        <w:rPr>
          <w:rFonts w:eastAsia="SimSun" w:cs="Arial"/>
        </w:rPr>
      </w:pPr>
      <w:r w:rsidRPr="00EA0DC7">
        <w:rPr>
          <w:rFonts w:eastAsia="SimSun" w:cs="Arial"/>
        </w:rPr>
        <w:tab/>
        <w:t xml:space="preserve">A major problem with antidepressants is </w:t>
      </w:r>
      <w:r w:rsidR="005D430A" w:rsidRPr="00EA0DC7">
        <w:rPr>
          <w:rFonts w:eastAsia="SimSun" w:cs="Arial"/>
        </w:rPr>
        <w:t xml:space="preserve">the </w:t>
      </w:r>
      <w:r w:rsidRPr="00EA0DC7">
        <w:rPr>
          <w:rFonts w:eastAsia="SimSun" w:cs="Arial"/>
        </w:rPr>
        <w:t xml:space="preserve">side effects of the medication, such as tremors, dry mouth, sedation, weight gain and tooth </w:t>
      </w:r>
      <w:r w:rsidRPr="00EA0DC7">
        <w:rPr>
          <w:rFonts w:eastAsia="SimSun" w:cs="Arial"/>
        </w:rPr>
        <w:lastRenderedPageBreak/>
        <w:t xml:space="preserve">grinding. In addition, there are some intrapsychic side effects, for example depersonalisation, confusion, internal turmoil (akathisia), and emotional blunting (Healy, 2009). Such side effects account, in part, for why many individuals opt for psychological therapies rather than medication. </w:t>
      </w:r>
    </w:p>
    <w:p w14:paraId="16ADB299" w14:textId="66DE114E" w:rsidR="00EC47BB" w:rsidRPr="00EA0DC7" w:rsidRDefault="00EC47BB" w:rsidP="00EC47BB">
      <w:pPr>
        <w:outlineLvl w:val="2"/>
        <w:rPr>
          <w:rFonts w:eastAsia="SimSun" w:cs="Arial"/>
          <w:b/>
          <w:i/>
          <w:szCs w:val="24"/>
        </w:rPr>
      </w:pPr>
      <w:bookmarkStart w:id="29" w:name="_Toc508809014"/>
      <w:r w:rsidRPr="00EA0DC7">
        <w:rPr>
          <w:rFonts w:eastAsia="SimSun" w:cs="Arial"/>
          <w:b/>
          <w:i/>
          <w:szCs w:val="24"/>
        </w:rPr>
        <w:t>1.3.2 Psychodynamic therapy</w:t>
      </w:r>
      <w:bookmarkEnd w:id="29"/>
    </w:p>
    <w:p w14:paraId="20A94930" w14:textId="7F64C12D" w:rsidR="00EC47BB" w:rsidRPr="00EA0DC7" w:rsidRDefault="00EC47BB" w:rsidP="00EC47BB">
      <w:pPr>
        <w:rPr>
          <w:rFonts w:eastAsia="SimSun" w:cs="Arial"/>
        </w:rPr>
      </w:pPr>
      <w:r w:rsidRPr="00EA0DC7">
        <w:rPr>
          <w:rFonts w:eastAsia="SimSun" w:cs="Arial"/>
          <w:i/>
        </w:rPr>
        <w:tab/>
      </w:r>
      <w:r w:rsidRPr="00EA0DC7">
        <w:rPr>
          <w:rFonts w:eastAsia="SimSun" w:cs="Arial"/>
        </w:rPr>
        <w:t>Psychodynamic therapy originated in the late 1800s (Breuer &amp; Freud, 1895). While it is no</w:t>
      </w:r>
      <w:r w:rsidR="00177CE7" w:rsidRPr="00EA0DC7">
        <w:rPr>
          <w:rFonts w:eastAsia="SimSun" w:cs="Arial"/>
        </w:rPr>
        <w:t xml:space="preserve">t a recommended </w:t>
      </w:r>
      <w:r w:rsidRPr="00EA0DC7">
        <w:rPr>
          <w:rFonts w:eastAsia="SimSun" w:cs="Arial"/>
        </w:rPr>
        <w:t>treatment for depression, it is still used by many therapists. The basic assumption of the therapy is that unconscious conflicts, alongside historical relationships and childhood experiences impact an individual’s present functioning (Cuijpers, van Straten, Andersson, &amp; van Oppen, 2008). Therefore, the goal of this therapy is resolutio</w:t>
      </w:r>
      <w:r w:rsidR="004D0A56" w:rsidRPr="00EA0DC7">
        <w:rPr>
          <w:rFonts w:eastAsia="SimSun" w:cs="Arial"/>
        </w:rPr>
        <w:t>n of unconscious conflict (Roth</w:t>
      </w:r>
      <w:r w:rsidRPr="00EA0DC7">
        <w:rPr>
          <w:rFonts w:eastAsia="SimSun" w:cs="Arial"/>
        </w:rPr>
        <w:t xml:space="preserve"> &amp; Fonagy, 2005). To identify such conflict, therapy focuses on the interpretation of the client’s behaviours and verb</w:t>
      </w:r>
      <w:r w:rsidR="004D0A56" w:rsidRPr="00EA0DC7">
        <w:rPr>
          <w:rFonts w:eastAsia="SimSun" w:cs="Arial"/>
        </w:rPr>
        <w:t>alisations during therapy (Roth</w:t>
      </w:r>
      <w:r w:rsidRPr="00EA0DC7">
        <w:rPr>
          <w:rFonts w:eastAsia="SimSun" w:cs="Arial"/>
        </w:rPr>
        <w:t xml:space="preserve"> &amp; Fonagy, 2005). In the UK, IAPT (Improving Access to Psychological Therapies) offers a psychodynamic therapy model, known as Dynamic Interpersonal Therapy (DIT), as one treatment for depression. DIT is formed from evidence-based psychoanalytic/psychodynamic approaches, pooled together to form a brief individual therapy protocol for depression (Lemma, Target, &amp; Fonagy, 2010).</w:t>
      </w:r>
    </w:p>
    <w:p w14:paraId="1969735B" w14:textId="2D066CE3" w:rsidR="00EC47BB" w:rsidRPr="00EA0DC7" w:rsidRDefault="00EC47BB" w:rsidP="00EC47BB">
      <w:pPr>
        <w:outlineLvl w:val="2"/>
        <w:rPr>
          <w:rFonts w:eastAsia="SimSun" w:cs="Arial"/>
          <w:b/>
          <w:i/>
          <w:szCs w:val="24"/>
        </w:rPr>
      </w:pPr>
      <w:bookmarkStart w:id="30" w:name="_Toc508809015"/>
      <w:r w:rsidRPr="00EA0DC7">
        <w:rPr>
          <w:rFonts w:eastAsia="SimSun" w:cs="Arial"/>
          <w:b/>
          <w:i/>
          <w:szCs w:val="24"/>
        </w:rPr>
        <w:t>1.3.3 Counselling</w:t>
      </w:r>
      <w:bookmarkEnd w:id="30"/>
    </w:p>
    <w:p w14:paraId="7D7B3762" w14:textId="1DB9B97B" w:rsidR="00EC47BB" w:rsidRPr="00EA0DC7" w:rsidRDefault="00EC47BB" w:rsidP="00EC47BB">
      <w:pPr>
        <w:rPr>
          <w:rFonts w:eastAsia="SimSun" w:cs="Arial"/>
        </w:rPr>
      </w:pPr>
      <w:r w:rsidRPr="00EA0DC7">
        <w:rPr>
          <w:rFonts w:eastAsia="SimSun" w:cs="Arial"/>
          <w:i/>
        </w:rPr>
        <w:tab/>
      </w:r>
      <w:r w:rsidRPr="00EA0DC7">
        <w:rPr>
          <w:rFonts w:eastAsia="SimSun" w:cs="Arial"/>
        </w:rPr>
        <w:t xml:space="preserve">Counselling for depression does not have a strict framework and is usually defined by the setting in which it is conducted (Roth, &amp; Fonagy, 2005). The overall aim of this approach is for the client to live more fully and satisfyingly (Barkham &amp; Hardy, 2001). Therefore, the focus is usually very </w:t>
      </w:r>
      <w:r w:rsidRPr="00EA0DC7">
        <w:rPr>
          <w:rFonts w:eastAsia="SimSun" w:cs="Arial"/>
        </w:rPr>
        <w:lastRenderedPageBreak/>
        <w:t>much client-centred (Pearce, Sewell, Hill, &amp; Coles, 2012) and seeks to address their current prob</w:t>
      </w:r>
      <w:r w:rsidR="008C4747" w:rsidRPr="00EA0DC7">
        <w:rPr>
          <w:rFonts w:eastAsia="SimSun" w:cs="Arial"/>
        </w:rPr>
        <w:t>lems and relationships (Barkham &amp; Hardy, 2001; Roth</w:t>
      </w:r>
      <w:r w:rsidRPr="00EA0DC7">
        <w:rPr>
          <w:rFonts w:eastAsia="SimSun" w:cs="Arial"/>
        </w:rPr>
        <w:t xml:space="preserve"> &amp; Fonagy, 2005). In the UK, a commonly used counselling framework is the IAPT approved Counselling for Depression (CfD) which is derived from</w:t>
      </w:r>
      <w:r w:rsidR="00177CE7" w:rsidRPr="00EA0DC7">
        <w:rPr>
          <w:rFonts w:eastAsia="SimSun" w:cs="Arial"/>
        </w:rPr>
        <w:t xml:space="preserve"> person-centred and experiential</w:t>
      </w:r>
      <w:r w:rsidRPr="00EA0DC7">
        <w:rPr>
          <w:rFonts w:eastAsia="SimSun" w:cs="Arial"/>
        </w:rPr>
        <w:t xml:space="preserve"> approaches (Roth, Hill, &amp; Pilling, 2009). The key focus of CfD is the discrepancy between how a person feels they should be and how they feel they actually are (Improving Access to Psychological Therapies, 2010a). </w:t>
      </w:r>
    </w:p>
    <w:p w14:paraId="7B0895D2" w14:textId="38576FC7" w:rsidR="00EC47BB" w:rsidRPr="00EA0DC7" w:rsidRDefault="00EC47BB" w:rsidP="005D430A">
      <w:pPr>
        <w:keepNext/>
        <w:outlineLvl w:val="2"/>
        <w:rPr>
          <w:rFonts w:eastAsia="SimSun" w:cs="Arial"/>
          <w:b/>
          <w:i/>
          <w:szCs w:val="24"/>
        </w:rPr>
      </w:pPr>
      <w:bookmarkStart w:id="31" w:name="_Toc508809016"/>
      <w:r w:rsidRPr="00EA0DC7">
        <w:rPr>
          <w:rFonts w:eastAsia="SimSun" w:cs="Arial"/>
          <w:b/>
          <w:i/>
          <w:szCs w:val="24"/>
        </w:rPr>
        <w:t>1.3.4 Interpersonal psychotherapy</w:t>
      </w:r>
      <w:bookmarkEnd w:id="31"/>
    </w:p>
    <w:p w14:paraId="136896CC" w14:textId="585F00B0" w:rsidR="00EC47BB" w:rsidRPr="00EA0DC7" w:rsidRDefault="00EC47BB" w:rsidP="00EC47BB">
      <w:pPr>
        <w:rPr>
          <w:rFonts w:eastAsia="SimSun" w:cs="Arial"/>
        </w:rPr>
      </w:pPr>
      <w:r w:rsidRPr="00EA0DC7">
        <w:rPr>
          <w:rFonts w:eastAsia="SimSun" w:cs="Arial"/>
        </w:rPr>
        <w:tab/>
        <w:t>Interpersonal psychotherapy (IPT) is a brief intervention that is based on interpersonal theory by Sullivan (1953). The focus is on current interpersonal interactions and how these develop when the individ</w:t>
      </w:r>
      <w:r w:rsidR="001F4D88" w:rsidRPr="00EA0DC7">
        <w:rPr>
          <w:rFonts w:eastAsia="SimSun" w:cs="Arial"/>
        </w:rPr>
        <w:t>ual experiences depression</w:t>
      </w:r>
      <w:r w:rsidR="008C4747" w:rsidRPr="00EA0DC7">
        <w:rPr>
          <w:rFonts w:eastAsia="SimSun" w:cs="Arial"/>
        </w:rPr>
        <w:t xml:space="preserve"> (Barkham &amp; Hardy, 2001; Roth</w:t>
      </w:r>
      <w:r w:rsidRPr="00EA0DC7">
        <w:rPr>
          <w:rFonts w:eastAsia="SimSun" w:cs="Arial"/>
        </w:rPr>
        <w:t xml:space="preserve"> &amp; Fonagy, 2005). IPT aims to help a person identify how they are feeling in their relationships and to find new ways to interact with others (Improving Access to Psychological Therapies, 2010b). </w:t>
      </w:r>
    </w:p>
    <w:p w14:paraId="2E6DCD2D" w14:textId="2F6F82D4" w:rsidR="00EC47BB" w:rsidRPr="00EA0DC7" w:rsidRDefault="00EC47BB" w:rsidP="00EC47BB">
      <w:pPr>
        <w:outlineLvl w:val="2"/>
        <w:rPr>
          <w:rFonts w:eastAsia="SimSun" w:cs="Arial"/>
          <w:b/>
          <w:i/>
          <w:szCs w:val="24"/>
        </w:rPr>
      </w:pPr>
      <w:bookmarkStart w:id="32" w:name="_Toc508809017"/>
      <w:r w:rsidRPr="00EA0DC7">
        <w:rPr>
          <w:rFonts w:eastAsia="SimSun" w:cs="Arial"/>
          <w:b/>
          <w:i/>
          <w:szCs w:val="24"/>
        </w:rPr>
        <w:t>1.3.5 Cognitive behavioural therapy</w:t>
      </w:r>
      <w:bookmarkEnd w:id="32"/>
    </w:p>
    <w:p w14:paraId="4565129C" w14:textId="25959034" w:rsidR="00EC47BB" w:rsidRPr="00EA0DC7" w:rsidRDefault="00EC47BB" w:rsidP="00EC47BB">
      <w:pPr>
        <w:rPr>
          <w:rFonts w:eastAsia="SimSun" w:cs="Arial"/>
        </w:rPr>
      </w:pPr>
      <w:r w:rsidRPr="00EA0DC7">
        <w:rPr>
          <w:rFonts w:eastAsia="SimSun" w:cs="Arial"/>
          <w:i/>
        </w:rPr>
        <w:tab/>
      </w:r>
      <w:r w:rsidRPr="00EA0DC7">
        <w:rPr>
          <w:rFonts w:eastAsia="SimSun" w:cs="Arial"/>
        </w:rPr>
        <w:t xml:space="preserve">Cognitive behavioural therapy (CBT, also labelled cognitive therapy or CT by Beck) focuses on a client’s present dysfunctional thoughts and behaviours, and future functioning (Beck, Rush, Shaw, &amp; Emery, 1979; Cuijpers et al., 2008). An underlying assumption of CBT is that cognitions have been learnt and maintained through reinforcement (Roth, &amp; Fonagy, 2005). </w:t>
      </w:r>
      <w:commentRangeStart w:id="33"/>
      <w:r w:rsidRPr="00EA0DC7">
        <w:rPr>
          <w:rFonts w:eastAsia="SimSun" w:cs="Arial"/>
        </w:rPr>
        <w:t xml:space="preserve">These cognitions </w:t>
      </w:r>
      <w:r w:rsidR="00BA05C7">
        <w:rPr>
          <w:rFonts w:eastAsia="SimSun" w:cs="Arial"/>
        </w:rPr>
        <w:t>can</w:t>
      </w:r>
      <w:r w:rsidRPr="00EA0DC7">
        <w:rPr>
          <w:rFonts w:eastAsia="SimSun" w:cs="Arial"/>
        </w:rPr>
        <w:t xml:space="preserve"> be challenged</w:t>
      </w:r>
      <w:r w:rsidR="00E426A7">
        <w:rPr>
          <w:rFonts w:eastAsia="SimSun" w:cs="Arial"/>
        </w:rPr>
        <w:t xml:space="preserve"> when they are irrational (as can be</w:t>
      </w:r>
      <w:r w:rsidRPr="00EA0DC7">
        <w:rPr>
          <w:rFonts w:eastAsia="SimSun" w:cs="Arial"/>
        </w:rPr>
        <w:t xml:space="preserve"> the case in depression). </w:t>
      </w:r>
      <w:commentRangeEnd w:id="33"/>
      <w:r w:rsidR="00BA05C7">
        <w:rPr>
          <w:rStyle w:val="CommentReference"/>
          <w:rFonts w:eastAsiaTheme="minorHAnsi"/>
          <w:lang w:eastAsia="en-US"/>
        </w:rPr>
        <w:commentReference w:id="33"/>
      </w:r>
      <w:r w:rsidRPr="00EA0DC7">
        <w:rPr>
          <w:rFonts w:eastAsia="SimSun" w:cs="Arial"/>
        </w:rPr>
        <w:t xml:space="preserve">Modifying a client’s dysfunctional beliefs and behaviours </w:t>
      </w:r>
      <w:r w:rsidRPr="00EA0DC7">
        <w:rPr>
          <w:rFonts w:eastAsia="SimSun" w:cs="Arial"/>
        </w:rPr>
        <w:lastRenderedPageBreak/>
        <w:t xml:space="preserve">takes the form of both behavioural techniques (e.g., behavioural experiments that can challenge thoughts about the self) and cognitive techniques (e.g., reattribution, which helps a client to take a more objective stance) (Beck et al., 1979; Leahy et al., 2012).  </w:t>
      </w:r>
    </w:p>
    <w:p w14:paraId="5187CDA7" w14:textId="77777777" w:rsidR="00EC47BB" w:rsidRPr="00EA0DC7" w:rsidRDefault="00EC47BB" w:rsidP="00EC47BB">
      <w:pPr>
        <w:ind w:firstLine="720"/>
        <w:rPr>
          <w:rFonts w:eastAsia="SimSun" w:cs="Arial"/>
        </w:rPr>
      </w:pPr>
      <w:r w:rsidRPr="00EA0DC7">
        <w:rPr>
          <w:rFonts w:eastAsia="SimSun" w:cs="Arial"/>
        </w:rPr>
        <w:t>Some research suggests that not all aspects of CBT are necessary for clinical improvement. Jacobson et al. (1996) found comparable outcomes for patients receiving only the behavioural activation (BA) component, patients receiving BA plus teaching of skills to modify automatic thoughts (AT), and patients receiving full CBT. Similarly, Gortner, Gollan, Dobson, &amp; Jacobson (1998) found no outcome differences for patients treated with BA, AT, or CBT.</w:t>
      </w:r>
    </w:p>
    <w:p w14:paraId="61E9577B" w14:textId="40EDFD01" w:rsidR="00EC47BB" w:rsidRPr="00EA0DC7" w:rsidRDefault="00EC47BB" w:rsidP="00EC47BB">
      <w:pPr>
        <w:outlineLvl w:val="2"/>
        <w:rPr>
          <w:rFonts w:eastAsia="SimSun" w:cs="Arial"/>
          <w:b/>
          <w:i/>
          <w:szCs w:val="24"/>
        </w:rPr>
      </w:pPr>
      <w:bookmarkStart w:id="34" w:name="_Toc508809018"/>
      <w:r w:rsidRPr="00EA0DC7">
        <w:rPr>
          <w:rFonts w:eastAsia="SimSun" w:cs="Arial"/>
          <w:b/>
          <w:i/>
          <w:szCs w:val="24"/>
        </w:rPr>
        <w:t>1.3.6 Comparisons of treatments for depression</w:t>
      </w:r>
      <w:bookmarkEnd w:id="34"/>
    </w:p>
    <w:p w14:paraId="3B410019" w14:textId="533E7FC5" w:rsidR="00023363" w:rsidRPr="000C6F37" w:rsidRDefault="00EC47BB" w:rsidP="00EC47BB">
      <w:pPr>
        <w:rPr>
          <w:rFonts w:eastAsia="SimSun" w:cs="Arial"/>
        </w:rPr>
      </w:pPr>
      <w:r w:rsidRPr="00EA0DC7">
        <w:rPr>
          <w:rFonts w:eastAsia="SimSun" w:cs="Arial"/>
          <w:i/>
        </w:rPr>
        <w:tab/>
      </w:r>
      <w:r w:rsidRPr="00EA0DC7">
        <w:rPr>
          <w:rFonts w:eastAsia="SimSun" w:cs="Arial"/>
        </w:rPr>
        <w:t>A variety of</w:t>
      </w:r>
      <w:r w:rsidRPr="00EA0DC7">
        <w:rPr>
          <w:rFonts w:eastAsia="SimSun" w:cs="Arial"/>
          <w:i/>
        </w:rPr>
        <w:t xml:space="preserve"> </w:t>
      </w:r>
      <w:r w:rsidRPr="00EA0DC7">
        <w:rPr>
          <w:rFonts w:eastAsia="SimSun" w:cs="Arial"/>
        </w:rPr>
        <w:t xml:space="preserve">research has shown that psychotherapies produce better outcomes than no therapy (e.g., </w:t>
      </w:r>
      <w:r w:rsidRPr="00EA0DC7">
        <w:rPr>
          <w:rFonts w:eastAsia="SimSun" w:cs="Arial"/>
          <w:i/>
        </w:rPr>
        <w:t>d</w:t>
      </w:r>
      <w:r w:rsidRPr="00EA0DC7">
        <w:rPr>
          <w:rFonts w:eastAsia="SimSun" w:cs="Arial"/>
        </w:rPr>
        <w:t xml:space="preserve"> = 0.73; Robinson, Berman, &amp; Neimeyer, 1990). This effect remains even when only high quality studies are analysed (</w:t>
      </w:r>
      <w:r w:rsidRPr="00EA0DC7">
        <w:rPr>
          <w:rFonts w:eastAsia="SimSun" w:cs="Arial"/>
          <w:i/>
        </w:rPr>
        <w:t>d</w:t>
      </w:r>
      <w:r w:rsidRPr="00EA0DC7">
        <w:rPr>
          <w:rFonts w:eastAsia="SimSun" w:cs="Arial"/>
        </w:rPr>
        <w:t xml:space="preserve"> = 0.22; Cuijpers, van Straten, Bohlmeijer, Hollon, &amp; Andersson, 2010). However, there is conflicting evidence for which specific psychotherapy produces superior outcomes (Roth &amp; Fonagy, 2005). Gloaguen, Cottraux, Cucherat, &amp; Blackburn (1998) conducted a meta-analysis comparing therapy outcomes and found cognitive therapy to be superior to other therapies. However, Wampold, Minami, Baskin, &amp; Callen-Tierney (2002) suggest that this meta-analysis failed to separate bona fide interventions from non-bona fide interventions. When non-bona fide interventions were removed, there was no longer a benefit of cognitive therapy over other treatments. Churchill et al. (2001) found that CBT produced equal outcomes to IPT but they were both </w:t>
      </w:r>
      <w:r w:rsidRPr="00EA0DC7">
        <w:rPr>
          <w:rFonts w:eastAsia="SimSun" w:cs="Arial"/>
        </w:rPr>
        <w:lastRenderedPageBreak/>
        <w:t>superior to psychodynamic therapy. However, in another meta-analysis Cuijpers et al. (2008) found that while other therapies (CBT, behavioural activation therapy, psychodynamic therapy, problem-solving therapy, and social skills training) had similar outcomes, IPT was slightly more efficacious.</w:t>
      </w:r>
    </w:p>
    <w:p w14:paraId="0F60EE1D" w14:textId="0AD82356" w:rsidR="005B08FE" w:rsidRDefault="00EC47BB" w:rsidP="005B08FE">
      <w:pPr>
        <w:rPr>
          <w:rFonts w:eastAsia="SimSun" w:cs="Arial"/>
        </w:rPr>
      </w:pPr>
      <w:r w:rsidRPr="00987943">
        <w:rPr>
          <w:rFonts w:eastAsia="SimSun" w:cs="Arial"/>
        </w:rPr>
        <w:tab/>
      </w:r>
      <w:r w:rsidRPr="00EA0DC7">
        <w:rPr>
          <w:rFonts w:eastAsia="SimSun" w:cs="Arial"/>
        </w:rPr>
        <w:t>Studies comparing psychological treatments to pharmacological often find that they have similar outcomes in the short term. However, long-term outcome data indicate that psychotherapies might be a more effective treatment, as patients are less likely to relapse (Evans at al., 1992; Spielmans, Berman, &amp; Usitalo, 2011). Combining pharmacological treatment and psychotherapy reduces relapse rates and improves recovery rates compared to either treatment alone (Friedman et al., 2004). Combination treatment seems to be particularly effective for patients with depression that is more difficult to treat, such as chronic depression (Keller et al., 2000), or more severe depress</w:t>
      </w:r>
      <w:bookmarkStart w:id="35" w:name="_Toc508809019"/>
      <w:r w:rsidR="005B08FE" w:rsidRPr="00EA0DC7">
        <w:rPr>
          <w:rFonts w:eastAsia="SimSun" w:cs="Arial"/>
        </w:rPr>
        <w:t>ion cases (Thase et al., 1997).</w:t>
      </w:r>
    </w:p>
    <w:p w14:paraId="65CB5620" w14:textId="06336D82" w:rsidR="00023363" w:rsidRDefault="00A1146F" w:rsidP="00DD76B8">
      <w:pPr>
        <w:pStyle w:val="Heading3"/>
      </w:pPr>
      <w:commentRangeStart w:id="36"/>
      <w:r>
        <w:t xml:space="preserve">1.3.7 Temporal changes in </w:t>
      </w:r>
      <w:r w:rsidR="00F163C8">
        <w:t xml:space="preserve">treatment </w:t>
      </w:r>
      <w:r>
        <w:t>effect sizes</w:t>
      </w:r>
      <w:commentRangeEnd w:id="36"/>
      <w:r w:rsidR="00BA05C7">
        <w:rPr>
          <w:rStyle w:val="CommentReference"/>
          <w:rFonts w:eastAsiaTheme="minorHAnsi" w:cstheme="minorBidi"/>
          <w:b w:val="0"/>
          <w:i w:val="0"/>
          <w:lang w:eastAsia="en-US"/>
        </w:rPr>
        <w:commentReference w:id="36"/>
      </w:r>
    </w:p>
    <w:p w14:paraId="2180DA94" w14:textId="5C49FED3" w:rsidR="00FB0767" w:rsidRDefault="00A12C4C" w:rsidP="00DD76B8">
      <w:pPr>
        <w:ind w:firstLine="720"/>
        <w:rPr>
          <w:rFonts w:eastAsia="SimSun" w:cs="Arial"/>
        </w:rPr>
      </w:pPr>
      <w:r>
        <w:rPr>
          <w:rFonts w:eastAsia="SimSun" w:cs="Arial"/>
        </w:rPr>
        <w:t>When looking at which therapies produce</w:t>
      </w:r>
      <w:r w:rsidR="00FB0767">
        <w:rPr>
          <w:rFonts w:eastAsia="SimSun" w:cs="Arial"/>
        </w:rPr>
        <w:t xml:space="preserve"> greater treatment effects, it is important to take into account when the study was conducted. </w:t>
      </w:r>
      <w:r w:rsidR="00FB0767" w:rsidRPr="00EA0DC7">
        <w:rPr>
          <w:rFonts w:eastAsia="SimSun" w:cs="Arial"/>
        </w:rPr>
        <w:t xml:space="preserve">A </w:t>
      </w:r>
      <w:r w:rsidR="00FB0767">
        <w:rPr>
          <w:rFonts w:eastAsia="SimSun" w:cs="Arial"/>
        </w:rPr>
        <w:t xml:space="preserve">meta-analysis </w:t>
      </w:r>
      <w:r w:rsidR="00FB0767" w:rsidRPr="00EA0DC7">
        <w:rPr>
          <w:rFonts w:eastAsia="SimSun" w:cs="Arial"/>
        </w:rPr>
        <w:t xml:space="preserve">by Johnsen &amp; Friborg (2015) highlights </w:t>
      </w:r>
      <w:r w:rsidR="00FB0767">
        <w:rPr>
          <w:rFonts w:eastAsia="SimSun" w:cs="Arial"/>
        </w:rPr>
        <w:t>this</w:t>
      </w:r>
      <w:r w:rsidR="00FB0767" w:rsidRPr="00EA0DC7">
        <w:rPr>
          <w:rFonts w:eastAsia="SimSun" w:cs="Arial"/>
        </w:rPr>
        <w:t>. They found that the effects of CBT have declined linearly since the therapy was introduced. The authors suggest that a potential reason for this is that adherence to the original treatment manual from Beck et al. (1979) has reduced over time. Often trials of CBT are published without fully describing the contents of the treatment, possibly indicating a reduction in adherence (Johnsen &amp; Friborg, 2015).</w:t>
      </w:r>
      <w:r w:rsidR="00FB0767">
        <w:rPr>
          <w:rFonts w:eastAsia="SimSun" w:cs="Arial"/>
        </w:rPr>
        <w:t xml:space="preserve"> An alternative explanation </w:t>
      </w:r>
      <w:r w:rsidR="00632CAF">
        <w:rPr>
          <w:rFonts w:eastAsia="SimSun" w:cs="Arial"/>
        </w:rPr>
        <w:t xml:space="preserve">that Johnsen and Friborg (2015) propose </w:t>
      </w:r>
      <w:r w:rsidR="00FB0767">
        <w:rPr>
          <w:rFonts w:eastAsia="SimSun" w:cs="Arial"/>
        </w:rPr>
        <w:t xml:space="preserve">is the </w:t>
      </w:r>
      <w:r w:rsidR="00FB0767">
        <w:rPr>
          <w:rFonts w:eastAsia="SimSun" w:cs="Arial"/>
        </w:rPr>
        <w:lastRenderedPageBreak/>
        <w:t>placebo effect. The</w:t>
      </w:r>
      <w:r w:rsidR="00632CAF">
        <w:rPr>
          <w:rFonts w:eastAsia="SimSun" w:cs="Arial"/>
        </w:rPr>
        <w:t>y suggest that</w:t>
      </w:r>
      <w:r w:rsidR="00FB0767">
        <w:rPr>
          <w:rFonts w:eastAsia="SimSun" w:cs="Arial"/>
        </w:rPr>
        <w:t xml:space="preserve"> </w:t>
      </w:r>
      <w:r w:rsidR="00987943">
        <w:rPr>
          <w:rFonts w:eastAsia="SimSun" w:cs="Arial"/>
        </w:rPr>
        <w:t xml:space="preserve">the </w:t>
      </w:r>
      <w:r w:rsidR="00FB0767">
        <w:rPr>
          <w:rFonts w:eastAsia="SimSun" w:cs="Arial"/>
        </w:rPr>
        <w:t xml:space="preserve">placebo effect is typically stronger for newer treatments </w:t>
      </w:r>
      <w:r w:rsidR="009B26FF">
        <w:rPr>
          <w:rFonts w:eastAsia="SimSun" w:cs="Arial"/>
        </w:rPr>
        <w:t>and so as we become more familiar with CBT, expectations begin to wane.</w:t>
      </w:r>
    </w:p>
    <w:p w14:paraId="551A4D6C" w14:textId="3BA1BBED" w:rsidR="00AB4C9B" w:rsidRDefault="00A12C4C" w:rsidP="00DD76B8">
      <w:pPr>
        <w:ind w:firstLine="720"/>
      </w:pPr>
      <w:r>
        <w:rPr>
          <w:rFonts w:eastAsia="SimSun" w:cs="Arial"/>
        </w:rPr>
        <w:t>Johnsen and Friborg’s (2015) meta-analysis has received a number of criticisms. Cristea et al. (2017) argue that the meta-analysis has methodological</w:t>
      </w:r>
      <w:r w:rsidR="00866FEA">
        <w:rPr>
          <w:rFonts w:eastAsia="SimSun" w:cs="Arial"/>
        </w:rPr>
        <w:t xml:space="preserve"> flaws. These include a possible impact of attrition bias due to a focus on </w:t>
      </w:r>
      <w:r>
        <w:rPr>
          <w:rFonts w:eastAsia="SimSun" w:cs="Arial"/>
        </w:rPr>
        <w:t xml:space="preserve">completer analysis </w:t>
      </w:r>
      <w:r w:rsidR="00866FEA">
        <w:rPr>
          <w:rFonts w:eastAsia="SimSun" w:cs="Arial"/>
        </w:rPr>
        <w:t>rather than intent-to-treat analysis,</w:t>
      </w:r>
      <w:r w:rsidR="00A1146F">
        <w:rPr>
          <w:rFonts w:eastAsia="SimSun" w:cs="Arial"/>
        </w:rPr>
        <w:t xml:space="preserve"> </w:t>
      </w:r>
      <w:r>
        <w:rPr>
          <w:rFonts w:eastAsia="SimSun" w:cs="Arial"/>
        </w:rPr>
        <w:t xml:space="preserve">and </w:t>
      </w:r>
      <w:r w:rsidR="001C4CA8">
        <w:rPr>
          <w:rFonts w:eastAsia="SimSun" w:cs="Arial"/>
        </w:rPr>
        <w:t xml:space="preserve">the inclusion of </w:t>
      </w:r>
      <w:r>
        <w:rPr>
          <w:rFonts w:eastAsia="SimSun" w:cs="Arial"/>
        </w:rPr>
        <w:t>within-group effect sizes</w:t>
      </w:r>
      <w:r w:rsidR="001C4CA8">
        <w:rPr>
          <w:rFonts w:eastAsia="SimSun" w:cs="Arial"/>
        </w:rPr>
        <w:t xml:space="preserve"> (which can inflate effectiveness estimations through the possibility of extraneous influences, e.g., spontaneous remission)</w:t>
      </w:r>
      <w:r>
        <w:rPr>
          <w:rFonts w:eastAsia="SimSun" w:cs="Arial"/>
        </w:rPr>
        <w:t xml:space="preserve">. </w:t>
      </w:r>
      <w:r w:rsidR="001C4CA8">
        <w:rPr>
          <w:rFonts w:eastAsia="SimSun" w:cs="Arial"/>
        </w:rPr>
        <w:t xml:space="preserve">Cristea et al.’s re-analysis of the data showed no overall relationship between publication year and effect size. However, they do note a decrease over time of effect size specifically in the US. In a second re-analysis, </w:t>
      </w:r>
      <w:r w:rsidR="001C4CA8">
        <w:t>Ljótsson, Hedman, Mattsson and Andersson (2017) argue that effect sizes decrease between 1977 and 1995 but remain constant after</w:t>
      </w:r>
      <w:r w:rsidR="00AB4C9B">
        <w:t xml:space="preserve"> that</w:t>
      </w:r>
      <w:r w:rsidR="001C4CA8">
        <w:t>.</w:t>
      </w:r>
      <w:r w:rsidR="00F45D21">
        <w:t xml:space="preserve"> An effect which they suggest could be due to strong allegiance to the therapy in early trials. </w:t>
      </w:r>
    </w:p>
    <w:p w14:paraId="1CC23B53" w14:textId="631B405A" w:rsidR="00E1468E" w:rsidRDefault="00AB4C9B" w:rsidP="00DD76B8">
      <w:pPr>
        <w:ind w:firstLine="720"/>
      </w:pPr>
      <w:r>
        <w:t>A further criticism from Cristea et al. (2017), is that</w:t>
      </w:r>
      <w:r w:rsidR="00CB46FC">
        <w:t xml:space="preserve"> although</w:t>
      </w:r>
      <w:r>
        <w:t xml:space="preserve"> sample </w:t>
      </w:r>
      <w:r w:rsidR="00CB46FC">
        <w:t xml:space="preserve">size, </w:t>
      </w:r>
      <w:r>
        <w:t>trial quality</w:t>
      </w:r>
      <w:r w:rsidR="00987943">
        <w:t>,</w:t>
      </w:r>
      <w:r>
        <w:t xml:space="preserve"> </w:t>
      </w:r>
      <w:r w:rsidR="00CB46FC">
        <w:t xml:space="preserve">and publication year appear to be intercorrelated, they are not included in the same </w:t>
      </w:r>
      <w:r>
        <w:t xml:space="preserve">meta-regression </w:t>
      </w:r>
      <w:r w:rsidR="00CB46FC">
        <w:t xml:space="preserve">model. Larger studies generally yield smaller effect sizes, as do higher quality studies. </w:t>
      </w:r>
      <w:r w:rsidR="003A6C3C">
        <w:t>Low quality studies are more open to biases that can artificially inflate effect sizes</w:t>
      </w:r>
      <w:r w:rsidR="005A318B">
        <w:t xml:space="preserve"> (Cuijpers et al., 2010)</w:t>
      </w:r>
      <w:r w:rsidR="003A6C3C">
        <w:t xml:space="preserve">. </w:t>
      </w:r>
      <w:r w:rsidR="005A318B">
        <w:t>Earlier studies tended to be of lower quality (Chen et al., 2014) a</w:t>
      </w:r>
      <w:r w:rsidR="00F163C8">
        <w:t>nd have smaller sample sizes. T</w:t>
      </w:r>
      <w:r w:rsidR="005A318B">
        <w:t xml:space="preserve">his could explain the higher effect sizes of </w:t>
      </w:r>
      <w:r w:rsidR="00F163C8">
        <w:t>such</w:t>
      </w:r>
      <w:r w:rsidR="005A318B">
        <w:t xml:space="preserve"> studies. </w:t>
      </w:r>
    </w:p>
    <w:p w14:paraId="69C1A42A" w14:textId="1A27A8B4" w:rsidR="00DD76B8" w:rsidRDefault="005A318B" w:rsidP="003268C4">
      <w:pPr>
        <w:ind w:firstLine="720"/>
      </w:pPr>
      <w:r>
        <w:lastRenderedPageBreak/>
        <w:t>R</w:t>
      </w:r>
      <w:r w:rsidR="008927E3">
        <w:t xml:space="preserve">ecent studies are often higher in quality because they seek to emulate ‘real-world’ settings more than earlier trials. </w:t>
      </w:r>
      <w:r w:rsidR="00F163C8">
        <w:t xml:space="preserve">Such trials are </w:t>
      </w:r>
      <w:r w:rsidR="00E1468E">
        <w:t xml:space="preserve">known as pragmatic randomised controlled trials. </w:t>
      </w:r>
      <w:r w:rsidR="008927E3">
        <w:t>They are more often conducted in primary care or community settings</w:t>
      </w:r>
      <w:r w:rsidR="00E1468E">
        <w:t xml:space="preserve"> (Gamerman, Cai &amp; </w:t>
      </w:r>
      <w:r w:rsidR="00BC6AF2" w:rsidRPr="00BC6AF2">
        <w:t>Elsäßer</w:t>
      </w:r>
      <w:r w:rsidR="00BC6AF2">
        <w:t>, 2018)</w:t>
      </w:r>
      <w:r w:rsidR="00E1468E">
        <w:t xml:space="preserve">. For example, </w:t>
      </w:r>
      <w:r w:rsidR="00F15990">
        <w:t>A-Tjak, Morina, To</w:t>
      </w:r>
      <w:r w:rsidR="00E1468E">
        <w:t xml:space="preserve">pper and </w:t>
      </w:r>
      <w:r w:rsidR="00F15990">
        <w:t xml:space="preserve">Emmelkamp </w:t>
      </w:r>
      <w:r w:rsidR="00E1468E">
        <w:t>(</w:t>
      </w:r>
      <w:r w:rsidR="00F15990">
        <w:t>2018</w:t>
      </w:r>
      <w:r w:rsidR="00E1468E">
        <w:t xml:space="preserve">) found both CBT and </w:t>
      </w:r>
      <w:r w:rsidR="00E1468E" w:rsidRPr="00BC6AF2">
        <w:t>AC</w:t>
      </w:r>
      <w:r w:rsidR="00E1468E">
        <w:t xml:space="preserve">T </w:t>
      </w:r>
      <w:r w:rsidR="00BC6AF2">
        <w:t xml:space="preserve">(Acceptance and Commitment Therapy) </w:t>
      </w:r>
      <w:r w:rsidR="00E1468E">
        <w:t>to be equally effective when treating depression in routine clinical practice</w:t>
      </w:r>
      <w:r w:rsidR="00C564C3">
        <w:t>.</w:t>
      </w:r>
      <w:r w:rsidR="00E1468E">
        <w:t xml:space="preserve"> </w:t>
      </w:r>
      <w:r w:rsidR="00C564C3">
        <w:t>Such studies</w:t>
      </w:r>
      <w:r w:rsidR="00E1468E">
        <w:t xml:space="preserve"> also seek to recruit a heterogeneous ‘real world</w:t>
      </w:r>
      <w:r w:rsidR="00866FEA">
        <w:t>’</w:t>
      </w:r>
      <w:r w:rsidR="00E1468E">
        <w:t xml:space="preserve"> population</w:t>
      </w:r>
      <w:r w:rsidR="00BC6AF2">
        <w:t xml:space="preserve"> (Gamerman et al., 2018),</w:t>
      </w:r>
      <w:r w:rsidR="00F15990">
        <w:t xml:space="preserve"> </w:t>
      </w:r>
      <w:r w:rsidR="003A6C3C">
        <w:t xml:space="preserve">and are more likely to include patients with comorbidities (Chen et al., 2014). </w:t>
      </w:r>
    </w:p>
    <w:p w14:paraId="6122F8DE" w14:textId="4428BC03" w:rsidR="00EC47BB" w:rsidRPr="00EA0DC7" w:rsidRDefault="00EC47BB" w:rsidP="00651CA1">
      <w:pPr>
        <w:widowControl w:val="0"/>
        <w:outlineLvl w:val="2"/>
        <w:rPr>
          <w:rFonts w:eastAsia="SimSun" w:cs="Arial"/>
          <w:b/>
          <w:i/>
          <w:szCs w:val="24"/>
        </w:rPr>
      </w:pPr>
      <w:r w:rsidRPr="00EA0DC7">
        <w:rPr>
          <w:rFonts w:eastAsia="SimSun" w:cs="Arial"/>
          <w:b/>
          <w:i/>
          <w:szCs w:val="24"/>
        </w:rPr>
        <w:t>1.3.</w:t>
      </w:r>
      <w:r w:rsidR="00A1146F">
        <w:rPr>
          <w:rFonts w:eastAsia="SimSun" w:cs="Arial"/>
          <w:b/>
          <w:i/>
          <w:szCs w:val="24"/>
        </w:rPr>
        <w:t>8</w:t>
      </w:r>
      <w:r w:rsidRPr="00EA0DC7">
        <w:rPr>
          <w:rFonts w:eastAsia="SimSun" w:cs="Arial"/>
          <w:b/>
          <w:i/>
          <w:szCs w:val="24"/>
        </w:rPr>
        <w:t xml:space="preserve"> Recommended treatment</w:t>
      </w:r>
      <w:bookmarkEnd w:id="35"/>
      <w:r w:rsidRPr="00EA0DC7">
        <w:rPr>
          <w:rFonts w:eastAsia="SimSun" w:cs="Arial"/>
          <w:b/>
          <w:i/>
          <w:szCs w:val="24"/>
        </w:rPr>
        <w:tab/>
      </w:r>
    </w:p>
    <w:p w14:paraId="71B021C5" w14:textId="13E59BCB" w:rsidR="00EC47BB" w:rsidRPr="00EA0DC7" w:rsidRDefault="00EC47BB" w:rsidP="00651CA1">
      <w:pPr>
        <w:widowControl w:val="0"/>
        <w:ind w:firstLine="720"/>
        <w:rPr>
          <w:rFonts w:eastAsia="SimSun" w:cs="Arial"/>
        </w:rPr>
      </w:pPr>
      <w:r w:rsidRPr="00EA0DC7">
        <w:rPr>
          <w:rFonts w:eastAsia="SimSun" w:cs="Arial"/>
        </w:rPr>
        <w:t>As depression can be treated in a number of different ways, it is necessary to have clear guidelines that aid healthcare professionals working with the disorder. In the UK, the National Health Service (NHS) takes guidance and recommendations from NICE. These guidelines are based on the best available empirical evidence, often in the form of meta-analyses of randomised controlled trials (RCTs), but can also be supplemented with clinical opinion where clear empirical ev</w:t>
      </w:r>
      <w:r w:rsidR="005B08FE" w:rsidRPr="00EA0DC7">
        <w:rPr>
          <w:rFonts w:eastAsia="SimSun" w:cs="Arial"/>
        </w:rPr>
        <w:t xml:space="preserve">idence is lacking (NICE, 2009). </w:t>
      </w:r>
      <w:r w:rsidRPr="00EA0DC7">
        <w:rPr>
          <w:rFonts w:eastAsia="SimSun" w:cs="Arial"/>
        </w:rPr>
        <w:t xml:space="preserve">A brief overview of the clinical guidance for adults with depression is outlined in Table 1.2 (NICE, 2009). </w:t>
      </w:r>
    </w:p>
    <w:p w14:paraId="7C934048" w14:textId="3D84DDCE" w:rsidR="005B08FE" w:rsidRPr="00EA0DC7" w:rsidRDefault="005B08FE" w:rsidP="00EC47BB">
      <w:pPr>
        <w:ind w:firstLine="720"/>
        <w:rPr>
          <w:rFonts w:eastAsia="SimSun" w:cs="Arial"/>
        </w:rPr>
      </w:pPr>
    </w:p>
    <w:p w14:paraId="0D8B3DB1" w14:textId="77777777" w:rsidR="00262E16" w:rsidRPr="00EA0DC7" w:rsidRDefault="00262E16" w:rsidP="003941AA">
      <w:pPr>
        <w:spacing w:line="240" w:lineRule="auto"/>
        <w:sectPr w:rsidR="00262E16" w:rsidRPr="00EA0DC7" w:rsidSect="00A63FB2">
          <w:headerReference w:type="default" r:id="rId14"/>
          <w:footerReference w:type="default" r:id="rId15"/>
          <w:pgSz w:w="11906" w:h="16838"/>
          <w:pgMar w:top="1440" w:right="1440" w:bottom="1440" w:left="2268" w:header="709" w:footer="709" w:gutter="0"/>
          <w:cols w:space="708"/>
          <w:titlePg/>
          <w:docGrid w:linePitch="360"/>
        </w:sectPr>
      </w:pPr>
    </w:p>
    <w:p w14:paraId="0D0C6626" w14:textId="3856C980" w:rsidR="00EC47BB" w:rsidRPr="00EA0DC7" w:rsidRDefault="003941AA" w:rsidP="003941AA">
      <w:pPr>
        <w:spacing w:line="240" w:lineRule="auto"/>
        <w:rPr>
          <w:rFonts w:eastAsia="Calibri" w:cs="Arial"/>
          <w:bCs/>
          <w:szCs w:val="24"/>
        </w:rPr>
      </w:pPr>
      <w:bookmarkStart w:id="37" w:name="_Toc47039916"/>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1</w:t>
      </w:r>
      <w:r w:rsidR="004F2FDB">
        <w:rPr>
          <w:noProof/>
        </w:rPr>
        <w:fldChar w:fldCharType="end"/>
      </w:r>
      <w:r w:rsidR="008A7246" w:rsidRPr="00EA0DC7">
        <w:t>.</w:t>
      </w:r>
      <w:r w:rsidR="004F2FDB">
        <w:fldChar w:fldCharType="begin"/>
      </w:r>
      <w:r w:rsidR="004F2FDB">
        <w:instrText xml:space="preserve"> SEQ Table \* ARABIC \s 1 </w:instrText>
      </w:r>
      <w:r w:rsidR="004F2FDB">
        <w:fldChar w:fldCharType="separate"/>
      </w:r>
      <w:r w:rsidR="00694354">
        <w:rPr>
          <w:noProof/>
        </w:rPr>
        <w:t>2</w:t>
      </w:r>
      <w:r w:rsidR="004F2FDB">
        <w:rPr>
          <w:noProof/>
        </w:rPr>
        <w:fldChar w:fldCharType="end"/>
      </w:r>
      <w:r w:rsidRPr="00EA0DC7">
        <w:t>. NICE guidelines (CG90) - Depression in adults: The treatment and management of depression in adults.</w:t>
      </w:r>
      <w:bookmarkEnd w:id="37"/>
    </w:p>
    <w:tbl>
      <w:tblPr>
        <w:tblStyle w:val="TableGrid1"/>
        <w:tblW w:w="13606" w:type="dxa"/>
        <w:tblLook w:val="04A0" w:firstRow="1" w:lastRow="0" w:firstColumn="1" w:lastColumn="0" w:noHBand="0" w:noVBand="1"/>
      </w:tblPr>
      <w:tblGrid>
        <w:gridCol w:w="4535"/>
        <w:gridCol w:w="9071"/>
      </w:tblGrid>
      <w:tr w:rsidR="00EC47BB" w:rsidRPr="00EA0DC7" w14:paraId="645B6DE1" w14:textId="77777777" w:rsidTr="00950E84">
        <w:tc>
          <w:tcPr>
            <w:tcW w:w="4535" w:type="dxa"/>
            <w:tcBorders>
              <w:left w:val="nil"/>
              <w:bottom w:val="single" w:sz="4" w:space="0" w:color="auto"/>
              <w:right w:val="nil"/>
            </w:tcBorders>
            <w:vAlign w:val="center"/>
          </w:tcPr>
          <w:p w14:paraId="2FB782B8" w14:textId="77777777" w:rsidR="00EC47BB" w:rsidRPr="00EA0DC7" w:rsidRDefault="00EC47BB" w:rsidP="00EC47BB">
            <w:pPr>
              <w:spacing w:before="240" w:after="200"/>
              <w:jc w:val="center"/>
              <w:rPr>
                <w:rFonts w:eastAsia="SimSun" w:cs="Arial"/>
                <w:b/>
                <w:szCs w:val="24"/>
              </w:rPr>
            </w:pPr>
            <w:r w:rsidRPr="00EA0DC7">
              <w:rPr>
                <w:rFonts w:eastAsia="SimSun" w:cs="Arial"/>
                <w:b/>
                <w:szCs w:val="24"/>
              </w:rPr>
              <w:t>Depression type</w:t>
            </w:r>
          </w:p>
        </w:tc>
        <w:tc>
          <w:tcPr>
            <w:tcW w:w="9071" w:type="dxa"/>
            <w:tcBorders>
              <w:left w:val="nil"/>
              <w:bottom w:val="single" w:sz="4" w:space="0" w:color="auto"/>
              <w:right w:val="nil"/>
            </w:tcBorders>
            <w:vAlign w:val="center"/>
          </w:tcPr>
          <w:p w14:paraId="2E1E8830" w14:textId="77777777" w:rsidR="00EC47BB" w:rsidRPr="00EA0DC7" w:rsidRDefault="00EC47BB" w:rsidP="00EC47BB">
            <w:pPr>
              <w:spacing w:before="240" w:after="200"/>
              <w:jc w:val="center"/>
              <w:rPr>
                <w:rFonts w:eastAsia="SimSun" w:cs="Arial"/>
                <w:b/>
                <w:szCs w:val="24"/>
              </w:rPr>
            </w:pPr>
            <w:r w:rsidRPr="00EA0DC7">
              <w:rPr>
                <w:rFonts w:eastAsia="SimSun" w:cs="Arial"/>
                <w:b/>
                <w:szCs w:val="24"/>
              </w:rPr>
              <w:t>Recommended psychological treatment</w:t>
            </w:r>
          </w:p>
        </w:tc>
      </w:tr>
      <w:tr w:rsidR="00EC47BB" w:rsidRPr="00EA0DC7" w14:paraId="341AE8D8" w14:textId="77777777" w:rsidTr="00FB04B0">
        <w:tc>
          <w:tcPr>
            <w:tcW w:w="4535" w:type="dxa"/>
            <w:tcBorders>
              <w:left w:val="nil"/>
              <w:bottom w:val="nil"/>
              <w:right w:val="nil"/>
            </w:tcBorders>
          </w:tcPr>
          <w:p w14:paraId="229345C7" w14:textId="77777777" w:rsidR="00EC47BB" w:rsidRPr="00EA0DC7" w:rsidRDefault="00EC47BB" w:rsidP="00FB04B0">
            <w:pPr>
              <w:spacing w:before="240" w:after="240"/>
              <w:jc w:val="left"/>
              <w:rPr>
                <w:rFonts w:eastAsia="SimSun" w:cs="Arial"/>
                <w:szCs w:val="24"/>
              </w:rPr>
            </w:pPr>
            <w:r w:rsidRPr="00EA0DC7">
              <w:rPr>
                <w:rFonts w:eastAsia="SimSun" w:cs="Arial"/>
                <w:szCs w:val="24"/>
              </w:rPr>
              <w:t>Persistent subthreshold depressive symptoms or mild to moderate depression</w:t>
            </w:r>
          </w:p>
        </w:tc>
        <w:tc>
          <w:tcPr>
            <w:tcW w:w="9071" w:type="dxa"/>
            <w:tcBorders>
              <w:left w:val="nil"/>
              <w:bottom w:val="nil"/>
              <w:right w:val="nil"/>
            </w:tcBorders>
          </w:tcPr>
          <w:p w14:paraId="06E8B27F" w14:textId="77777777" w:rsidR="00EC47BB" w:rsidRPr="00EA0DC7" w:rsidRDefault="00EC47BB" w:rsidP="00EC47BB">
            <w:pPr>
              <w:spacing w:before="240" w:after="240"/>
              <w:rPr>
                <w:rFonts w:eastAsia="SimSun" w:cs="Arial"/>
                <w:szCs w:val="24"/>
              </w:rPr>
            </w:pPr>
            <w:r w:rsidRPr="00EA0DC7">
              <w:rPr>
                <w:rFonts w:eastAsia="SimSun" w:cs="Arial"/>
                <w:szCs w:val="24"/>
              </w:rPr>
              <w:t>One or more of the following low-intensity psychological interventions:</w:t>
            </w:r>
          </w:p>
          <w:p w14:paraId="28146564" w14:textId="77777777" w:rsidR="00EC47BB" w:rsidRPr="00EA0DC7" w:rsidRDefault="00EC47BB" w:rsidP="00EC47BB">
            <w:pPr>
              <w:numPr>
                <w:ilvl w:val="0"/>
                <w:numId w:val="1"/>
              </w:numPr>
              <w:spacing w:before="240" w:after="240" w:line="240" w:lineRule="auto"/>
              <w:contextualSpacing/>
              <w:rPr>
                <w:rFonts w:cs="Arial"/>
                <w:szCs w:val="24"/>
              </w:rPr>
            </w:pPr>
            <w:r w:rsidRPr="00EA0DC7">
              <w:rPr>
                <w:rFonts w:cs="Arial"/>
                <w:szCs w:val="24"/>
              </w:rPr>
              <w:t>Individual guided self-help CBT</w:t>
            </w:r>
          </w:p>
          <w:p w14:paraId="31826A19" w14:textId="77777777" w:rsidR="00EC47BB" w:rsidRPr="00EA0DC7" w:rsidRDefault="00EC47BB" w:rsidP="00EC47BB">
            <w:pPr>
              <w:numPr>
                <w:ilvl w:val="0"/>
                <w:numId w:val="1"/>
              </w:numPr>
              <w:spacing w:before="240" w:after="240" w:line="240" w:lineRule="auto"/>
              <w:contextualSpacing/>
              <w:rPr>
                <w:rFonts w:cs="Arial"/>
                <w:szCs w:val="24"/>
              </w:rPr>
            </w:pPr>
            <w:r w:rsidRPr="00EA0DC7">
              <w:rPr>
                <w:rFonts w:cs="Arial"/>
                <w:szCs w:val="24"/>
              </w:rPr>
              <w:t>Computerised cognitive behaviour therapy (CCBT)</w:t>
            </w:r>
          </w:p>
          <w:p w14:paraId="732D0078" w14:textId="77777777" w:rsidR="00EC47BB" w:rsidRPr="00EA0DC7" w:rsidRDefault="00EC47BB" w:rsidP="00EC47BB">
            <w:pPr>
              <w:numPr>
                <w:ilvl w:val="0"/>
                <w:numId w:val="1"/>
              </w:numPr>
              <w:spacing w:before="240" w:after="240" w:line="240" w:lineRule="auto"/>
              <w:contextualSpacing/>
              <w:rPr>
                <w:rFonts w:cs="Arial"/>
                <w:szCs w:val="24"/>
              </w:rPr>
            </w:pPr>
            <w:r w:rsidRPr="00EA0DC7">
              <w:rPr>
                <w:rFonts w:cs="Arial"/>
                <w:szCs w:val="24"/>
              </w:rPr>
              <w:t>Structured group physical activity programme</w:t>
            </w:r>
          </w:p>
          <w:p w14:paraId="2077EF0F" w14:textId="77777777" w:rsidR="00EC47BB" w:rsidRPr="00EA0DC7" w:rsidRDefault="00EC47BB" w:rsidP="00EC47BB">
            <w:pPr>
              <w:numPr>
                <w:ilvl w:val="0"/>
                <w:numId w:val="1"/>
              </w:numPr>
              <w:spacing w:before="240" w:after="240" w:line="240" w:lineRule="auto"/>
              <w:contextualSpacing/>
              <w:rPr>
                <w:rFonts w:cs="Arial"/>
                <w:szCs w:val="24"/>
              </w:rPr>
            </w:pPr>
            <w:r w:rsidRPr="00EA0DC7">
              <w:rPr>
                <w:rFonts w:cs="Arial"/>
                <w:szCs w:val="24"/>
              </w:rPr>
              <w:t>Group-based CBT (for those who decline other options)</w:t>
            </w:r>
          </w:p>
        </w:tc>
      </w:tr>
      <w:tr w:rsidR="00EC47BB" w:rsidRPr="00EA0DC7" w14:paraId="02BEE705" w14:textId="77777777" w:rsidTr="00FB04B0">
        <w:tc>
          <w:tcPr>
            <w:tcW w:w="4535" w:type="dxa"/>
            <w:tcBorders>
              <w:top w:val="nil"/>
              <w:left w:val="nil"/>
              <w:bottom w:val="single" w:sz="4" w:space="0" w:color="auto"/>
              <w:right w:val="nil"/>
            </w:tcBorders>
          </w:tcPr>
          <w:p w14:paraId="07636A82" w14:textId="77777777" w:rsidR="00EC47BB" w:rsidRPr="00EA0DC7" w:rsidRDefault="00EC47BB" w:rsidP="00FB04B0">
            <w:pPr>
              <w:spacing w:before="240" w:after="240"/>
              <w:jc w:val="left"/>
              <w:rPr>
                <w:rFonts w:eastAsia="SimSun" w:cs="Arial"/>
                <w:szCs w:val="24"/>
              </w:rPr>
            </w:pPr>
            <w:r w:rsidRPr="00EA0DC7">
              <w:rPr>
                <w:rFonts w:eastAsia="SimSun" w:cs="Arial"/>
                <w:szCs w:val="24"/>
              </w:rPr>
              <w:t>Persistent subthreshold depressive symptoms or mild to moderate depression who have not benefited from a low-intensity psychosocial intervention</w:t>
            </w:r>
          </w:p>
        </w:tc>
        <w:tc>
          <w:tcPr>
            <w:tcW w:w="9071" w:type="dxa"/>
            <w:tcBorders>
              <w:top w:val="nil"/>
              <w:left w:val="nil"/>
              <w:bottom w:val="single" w:sz="4" w:space="0" w:color="auto"/>
              <w:right w:val="nil"/>
            </w:tcBorders>
          </w:tcPr>
          <w:p w14:paraId="0BF9AE02" w14:textId="77777777" w:rsidR="00EC47BB" w:rsidRPr="00EA0DC7" w:rsidRDefault="00EC47BB" w:rsidP="00EC47BB">
            <w:pPr>
              <w:spacing w:before="240" w:after="240"/>
              <w:rPr>
                <w:rFonts w:eastAsia="SimSun" w:cs="Arial"/>
                <w:szCs w:val="24"/>
              </w:rPr>
            </w:pPr>
            <w:r w:rsidRPr="00EA0DC7">
              <w:rPr>
                <w:rFonts w:eastAsia="SimSun" w:cs="Arial"/>
                <w:szCs w:val="24"/>
              </w:rPr>
              <w:t xml:space="preserve">An antidepressant (usually an SSRI) </w:t>
            </w:r>
          </w:p>
          <w:p w14:paraId="04953FB9" w14:textId="77777777" w:rsidR="00EC47BB" w:rsidRPr="00EA0DC7" w:rsidRDefault="00EC47BB" w:rsidP="00EC47BB">
            <w:pPr>
              <w:spacing w:before="240" w:after="240"/>
              <w:rPr>
                <w:rFonts w:eastAsia="SimSun" w:cs="Arial"/>
                <w:szCs w:val="24"/>
              </w:rPr>
            </w:pPr>
            <w:r w:rsidRPr="00EA0DC7">
              <w:rPr>
                <w:rFonts w:eastAsia="SimSun" w:cs="Arial"/>
                <w:szCs w:val="24"/>
              </w:rPr>
              <w:t xml:space="preserve">OR  </w:t>
            </w:r>
          </w:p>
          <w:p w14:paraId="6CBA4A23" w14:textId="77777777" w:rsidR="00EC47BB" w:rsidRPr="00EA0DC7" w:rsidRDefault="00EC47BB" w:rsidP="00EC47BB">
            <w:pPr>
              <w:spacing w:before="240" w:after="240"/>
              <w:rPr>
                <w:rFonts w:eastAsia="SimSun" w:cs="Arial"/>
                <w:szCs w:val="24"/>
              </w:rPr>
            </w:pPr>
            <w:r w:rsidRPr="00EA0DC7">
              <w:rPr>
                <w:rFonts w:eastAsia="SimSun" w:cs="Arial"/>
                <w:szCs w:val="24"/>
              </w:rPr>
              <w:t>A high-intensity psychological intervention, normally one of the following:</w:t>
            </w:r>
          </w:p>
          <w:p w14:paraId="41BB07D1" w14:textId="77777777" w:rsidR="00EC47BB" w:rsidRPr="00EA0DC7" w:rsidRDefault="00EC47BB" w:rsidP="00EC47BB">
            <w:pPr>
              <w:numPr>
                <w:ilvl w:val="0"/>
                <w:numId w:val="2"/>
              </w:numPr>
              <w:spacing w:before="240" w:after="240" w:line="240" w:lineRule="auto"/>
              <w:contextualSpacing/>
              <w:rPr>
                <w:rFonts w:cs="Arial"/>
                <w:szCs w:val="24"/>
              </w:rPr>
            </w:pPr>
            <w:r w:rsidRPr="00EA0DC7">
              <w:rPr>
                <w:rFonts w:cs="Arial"/>
                <w:szCs w:val="24"/>
              </w:rPr>
              <w:t>CBT</w:t>
            </w:r>
          </w:p>
          <w:p w14:paraId="3F27B45E" w14:textId="77777777" w:rsidR="00EC47BB" w:rsidRPr="00EA0DC7" w:rsidRDefault="00EC47BB" w:rsidP="00EC47BB">
            <w:pPr>
              <w:numPr>
                <w:ilvl w:val="0"/>
                <w:numId w:val="2"/>
              </w:numPr>
              <w:spacing w:before="240" w:after="240" w:line="240" w:lineRule="auto"/>
              <w:contextualSpacing/>
              <w:rPr>
                <w:rFonts w:cs="Arial"/>
                <w:szCs w:val="24"/>
              </w:rPr>
            </w:pPr>
            <w:r w:rsidRPr="00EA0DC7">
              <w:rPr>
                <w:rFonts w:cs="Arial"/>
                <w:szCs w:val="24"/>
              </w:rPr>
              <w:t>IPT</w:t>
            </w:r>
          </w:p>
          <w:p w14:paraId="713F5303" w14:textId="77777777" w:rsidR="00EC47BB" w:rsidRPr="00EA0DC7" w:rsidRDefault="00EC47BB" w:rsidP="00EC47BB">
            <w:pPr>
              <w:numPr>
                <w:ilvl w:val="0"/>
                <w:numId w:val="2"/>
              </w:numPr>
              <w:spacing w:before="240" w:after="240" w:line="240" w:lineRule="auto"/>
              <w:contextualSpacing/>
              <w:rPr>
                <w:rFonts w:cs="Arial"/>
                <w:szCs w:val="24"/>
              </w:rPr>
            </w:pPr>
            <w:r w:rsidRPr="00EA0DC7">
              <w:rPr>
                <w:rFonts w:cs="Arial"/>
                <w:szCs w:val="24"/>
              </w:rPr>
              <w:t xml:space="preserve">Behavioural activation </w:t>
            </w:r>
          </w:p>
          <w:p w14:paraId="25608444" w14:textId="77777777" w:rsidR="00EC47BB" w:rsidRPr="00EA0DC7" w:rsidRDefault="00EC47BB" w:rsidP="00EC47BB">
            <w:pPr>
              <w:numPr>
                <w:ilvl w:val="0"/>
                <w:numId w:val="2"/>
              </w:numPr>
              <w:spacing w:before="240" w:after="240" w:line="240" w:lineRule="auto"/>
              <w:contextualSpacing/>
              <w:rPr>
                <w:rFonts w:cs="Arial"/>
                <w:szCs w:val="24"/>
              </w:rPr>
            </w:pPr>
            <w:r w:rsidRPr="00EA0DC7">
              <w:rPr>
                <w:rFonts w:cs="Arial"/>
                <w:szCs w:val="24"/>
              </w:rPr>
              <w:t>Behavioural couples therapy (for people who have a regular partner and where the relationship may contribute to the depression, or where involving the partner is considered to be of potential therapeutic benefit)</w:t>
            </w:r>
          </w:p>
        </w:tc>
      </w:tr>
    </w:tbl>
    <w:p w14:paraId="796FEE4E" w14:textId="77777777" w:rsidR="00FB04B0" w:rsidRPr="00EA0DC7" w:rsidRDefault="00FB04B0" w:rsidP="00CB78E1">
      <w:pPr>
        <w:spacing w:before="240"/>
        <w:jc w:val="center"/>
        <w:rPr>
          <w:rFonts w:eastAsia="SimSun" w:cs="Arial"/>
          <w:b/>
          <w:szCs w:val="24"/>
        </w:rPr>
        <w:sectPr w:rsidR="00FB04B0" w:rsidRPr="00EA0DC7" w:rsidSect="00B328B8">
          <w:pgSz w:w="16838" w:h="11906" w:orient="landscape"/>
          <w:pgMar w:top="2268" w:right="1440" w:bottom="1440" w:left="1440" w:header="709" w:footer="709" w:gutter="0"/>
          <w:cols w:space="708"/>
          <w:docGrid w:linePitch="360"/>
        </w:sectPr>
      </w:pPr>
    </w:p>
    <w:tbl>
      <w:tblPr>
        <w:tblStyle w:val="TableGrid1"/>
        <w:tblW w:w="13606" w:type="dxa"/>
        <w:tblLook w:val="04A0" w:firstRow="1" w:lastRow="0" w:firstColumn="1" w:lastColumn="0" w:noHBand="0" w:noVBand="1"/>
      </w:tblPr>
      <w:tblGrid>
        <w:gridCol w:w="4535"/>
        <w:gridCol w:w="9071"/>
      </w:tblGrid>
      <w:tr w:rsidR="00FB04B0" w:rsidRPr="00EA0DC7" w14:paraId="0C0166A1" w14:textId="77777777" w:rsidTr="00FB04B0">
        <w:tc>
          <w:tcPr>
            <w:tcW w:w="4535" w:type="dxa"/>
            <w:tcBorders>
              <w:left w:val="nil"/>
              <w:bottom w:val="single" w:sz="4" w:space="0" w:color="auto"/>
              <w:right w:val="nil"/>
            </w:tcBorders>
            <w:vAlign w:val="center"/>
          </w:tcPr>
          <w:p w14:paraId="587DC8A2" w14:textId="0D726A98" w:rsidR="00FB04B0" w:rsidRPr="00EA0DC7" w:rsidRDefault="00FB04B0" w:rsidP="00CB78E1">
            <w:pPr>
              <w:spacing w:before="240" w:after="200"/>
              <w:jc w:val="center"/>
              <w:rPr>
                <w:rFonts w:eastAsia="SimSun" w:cs="Arial"/>
                <w:b/>
                <w:szCs w:val="24"/>
              </w:rPr>
            </w:pPr>
            <w:r w:rsidRPr="00EA0DC7">
              <w:rPr>
                <w:rFonts w:eastAsia="SimSun" w:cs="Arial"/>
                <w:b/>
                <w:szCs w:val="24"/>
              </w:rPr>
              <w:lastRenderedPageBreak/>
              <w:t>Depression type</w:t>
            </w:r>
          </w:p>
        </w:tc>
        <w:tc>
          <w:tcPr>
            <w:tcW w:w="9071" w:type="dxa"/>
            <w:tcBorders>
              <w:left w:val="nil"/>
              <w:bottom w:val="single" w:sz="4" w:space="0" w:color="auto"/>
              <w:right w:val="nil"/>
            </w:tcBorders>
            <w:vAlign w:val="center"/>
          </w:tcPr>
          <w:p w14:paraId="6C86D760" w14:textId="77777777" w:rsidR="00FB04B0" w:rsidRPr="00EA0DC7" w:rsidRDefault="00FB04B0" w:rsidP="00CB78E1">
            <w:pPr>
              <w:spacing w:before="240" w:after="200"/>
              <w:jc w:val="center"/>
              <w:rPr>
                <w:rFonts w:eastAsia="SimSun" w:cs="Arial"/>
                <w:b/>
                <w:szCs w:val="24"/>
              </w:rPr>
            </w:pPr>
            <w:r w:rsidRPr="00EA0DC7">
              <w:rPr>
                <w:rFonts w:eastAsia="SimSun" w:cs="Arial"/>
                <w:b/>
                <w:szCs w:val="24"/>
              </w:rPr>
              <w:t>Recommended psychological treatment</w:t>
            </w:r>
          </w:p>
        </w:tc>
      </w:tr>
      <w:tr w:rsidR="00EC47BB" w:rsidRPr="00EA0DC7" w14:paraId="69989B7F" w14:textId="77777777" w:rsidTr="00FB04B0">
        <w:tc>
          <w:tcPr>
            <w:tcW w:w="4535" w:type="dxa"/>
            <w:tcBorders>
              <w:top w:val="single" w:sz="4" w:space="0" w:color="auto"/>
              <w:left w:val="nil"/>
              <w:bottom w:val="nil"/>
              <w:right w:val="nil"/>
            </w:tcBorders>
          </w:tcPr>
          <w:p w14:paraId="70B154C6" w14:textId="77777777" w:rsidR="00EC47BB" w:rsidRPr="00EA0DC7" w:rsidRDefault="00EC47BB" w:rsidP="00FB04B0">
            <w:pPr>
              <w:spacing w:before="240" w:after="240"/>
              <w:jc w:val="left"/>
              <w:rPr>
                <w:rFonts w:eastAsia="SimSun" w:cs="Arial"/>
                <w:szCs w:val="24"/>
              </w:rPr>
            </w:pPr>
            <w:r w:rsidRPr="00EA0DC7">
              <w:rPr>
                <w:rFonts w:eastAsia="SimSun" w:cs="Arial"/>
                <w:szCs w:val="24"/>
              </w:rPr>
              <w:t>Moderate or severe depression</w:t>
            </w:r>
          </w:p>
        </w:tc>
        <w:tc>
          <w:tcPr>
            <w:tcW w:w="9071" w:type="dxa"/>
            <w:tcBorders>
              <w:top w:val="single" w:sz="4" w:space="0" w:color="auto"/>
              <w:left w:val="nil"/>
              <w:bottom w:val="nil"/>
              <w:right w:val="nil"/>
            </w:tcBorders>
          </w:tcPr>
          <w:p w14:paraId="5E0E2558" w14:textId="77777777" w:rsidR="00EC47BB" w:rsidRPr="00EA0DC7" w:rsidRDefault="00EC47BB" w:rsidP="00EC47BB">
            <w:pPr>
              <w:spacing w:before="240" w:after="240"/>
              <w:rPr>
                <w:rFonts w:eastAsia="SimSun" w:cs="Arial"/>
                <w:szCs w:val="24"/>
              </w:rPr>
            </w:pPr>
            <w:r w:rsidRPr="00EA0DC7">
              <w:rPr>
                <w:rFonts w:eastAsia="SimSun" w:cs="Arial"/>
                <w:szCs w:val="24"/>
              </w:rPr>
              <w:t>An antidepressant</w:t>
            </w:r>
          </w:p>
          <w:p w14:paraId="5FBB83A6" w14:textId="77777777" w:rsidR="00EC47BB" w:rsidRPr="00EA0DC7" w:rsidRDefault="00EC47BB" w:rsidP="00EC47BB">
            <w:pPr>
              <w:spacing w:before="240" w:after="240"/>
              <w:rPr>
                <w:rFonts w:eastAsia="SimSun" w:cs="Arial"/>
                <w:szCs w:val="24"/>
              </w:rPr>
            </w:pPr>
            <w:r w:rsidRPr="00EA0DC7">
              <w:rPr>
                <w:rFonts w:eastAsia="SimSun" w:cs="Arial"/>
                <w:szCs w:val="24"/>
              </w:rPr>
              <w:t>AND</w:t>
            </w:r>
          </w:p>
          <w:p w14:paraId="37B6599D" w14:textId="77777777" w:rsidR="00EC47BB" w:rsidRPr="00EA0DC7" w:rsidRDefault="00EC47BB" w:rsidP="00EC47BB">
            <w:pPr>
              <w:spacing w:before="240" w:after="240"/>
              <w:rPr>
                <w:rFonts w:eastAsia="SimSun" w:cs="Arial"/>
                <w:szCs w:val="24"/>
              </w:rPr>
            </w:pPr>
            <w:r w:rsidRPr="00EA0DC7">
              <w:rPr>
                <w:rFonts w:eastAsia="SimSun" w:cs="Arial"/>
                <w:szCs w:val="24"/>
              </w:rPr>
              <w:t>A high-intensity psychological intervention (CBT or IPT)</w:t>
            </w:r>
          </w:p>
        </w:tc>
      </w:tr>
      <w:tr w:rsidR="00EC47BB" w:rsidRPr="00EA0DC7" w14:paraId="36F0D650" w14:textId="77777777" w:rsidTr="00950E84">
        <w:tc>
          <w:tcPr>
            <w:tcW w:w="4535" w:type="dxa"/>
            <w:tcBorders>
              <w:top w:val="nil"/>
              <w:left w:val="nil"/>
              <w:bottom w:val="single" w:sz="4" w:space="0" w:color="auto"/>
              <w:right w:val="nil"/>
            </w:tcBorders>
          </w:tcPr>
          <w:p w14:paraId="1E925192" w14:textId="77777777" w:rsidR="00EC47BB" w:rsidRPr="00EA0DC7" w:rsidRDefault="00EC47BB" w:rsidP="00FB04B0">
            <w:pPr>
              <w:spacing w:before="240" w:after="240"/>
              <w:jc w:val="left"/>
              <w:rPr>
                <w:rFonts w:eastAsia="SimSun" w:cs="Arial"/>
                <w:szCs w:val="24"/>
              </w:rPr>
            </w:pPr>
            <w:r w:rsidRPr="00EA0DC7">
              <w:rPr>
                <w:rFonts w:eastAsia="SimSun" w:cs="Arial"/>
                <w:szCs w:val="24"/>
              </w:rPr>
              <w:t>Those with depression who decline an antidepressant, CBT, IPT, behavioural activation and behavioural couples therapy</w:t>
            </w:r>
          </w:p>
        </w:tc>
        <w:tc>
          <w:tcPr>
            <w:tcW w:w="9071" w:type="dxa"/>
            <w:tcBorders>
              <w:top w:val="nil"/>
              <w:left w:val="nil"/>
              <w:bottom w:val="single" w:sz="4" w:space="0" w:color="auto"/>
              <w:right w:val="nil"/>
            </w:tcBorders>
          </w:tcPr>
          <w:p w14:paraId="6E50203C" w14:textId="77777777" w:rsidR="00EC47BB" w:rsidRPr="00EA0DC7" w:rsidRDefault="00EC47BB" w:rsidP="00EC47BB">
            <w:pPr>
              <w:spacing w:before="240" w:after="240"/>
              <w:rPr>
                <w:rFonts w:eastAsia="SimSun" w:cs="Arial"/>
                <w:szCs w:val="24"/>
              </w:rPr>
            </w:pPr>
            <w:r w:rsidRPr="00EA0DC7">
              <w:rPr>
                <w:rFonts w:eastAsia="SimSun" w:cs="Arial"/>
                <w:szCs w:val="24"/>
              </w:rPr>
              <w:t>Counselling</w:t>
            </w:r>
          </w:p>
          <w:p w14:paraId="12F1819B" w14:textId="77777777" w:rsidR="00EC47BB" w:rsidRPr="00EA0DC7" w:rsidRDefault="00EC47BB" w:rsidP="00EC47BB">
            <w:pPr>
              <w:spacing w:before="240" w:after="240"/>
              <w:rPr>
                <w:rFonts w:eastAsia="SimSun" w:cs="Arial"/>
                <w:szCs w:val="24"/>
              </w:rPr>
            </w:pPr>
            <w:r w:rsidRPr="00EA0DC7">
              <w:rPr>
                <w:rFonts w:eastAsia="SimSun" w:cs="Arial"/>
                <w:szCs w:val="24"/>
              </w:rPr>
              <w:t>OR</w:t>
            </w:r>
          </w:p>
          <w:p w14:paraId="5605C8AF" w14:textId="77777777" w:rsidR="00EC47BB" w:rsidRPr="00EA0DC7" w:rsidRDefault="00EC47BB" w:rsidP="00EC47BB">
            <w:pPr>
              <w:spacing w:before="240" w:after="240"/>
              <w:rPr>
                <w:rFonts w:eastAsia="SimSun" w:cs="Arial"/>
                <w:szCs w:val="24"/>
              </w:rPr>
            </w:pPr>
            <w:r w:rsidRPr="00EA0DC7">
              <w:rPr>
                <w:rFonts w:eastAsia="SimSun" w:cs="Arial"/>
                <w:szCs w:val="24"/>
              </w:rPr>
              <w:t>Short-term psychodynamic psychotherapy</w:t>
            </w:r>
          </w:p>
        </w:tc>
      </w:tr>
    </w:tbl>
    <w:p w14:paraId="3A2E35A2" w14:textId="77777777" w:rsidR="00262E16" w:rsidRPr="00EA0DC7" w:rsidRDefault="00262E16" w:rsidP="00EC47BB">
      <w:pPr>
        <w:rPr>
          <w:rFonts w:eastAsia="SimSun" w:cs="Arial"/>
        </w:rPr>
        <w:sectPr w:rsidR="00262E16" w:rsidRPr="00EA0DC7" w:rsidSect="00B328B8">
          <w:pgSz w:w="16838" w:h="11906" w:orient="landscape"/>
          <w:pgMar w:top="1440" w:right="1440" w:bottom="2268" w:left="1440" w:header="709" w:footer="709" w:gutter="0"/>
          <w:cols w:space="708"/>
          <w:docGrid w:linePitch="360"/>
        </w:sectPr>
      </w:pPr>
      <w:bookmarkStart w:id="38" w:name="_Toc508809020"/>
    </w:p>
    <w:p w14:paraId="11F6B465" w14:textId="77777777" w:rsidR="001D1891" w:rsidRPr="00EA0DC7" w:rsidRDefault="001D1891" w:rsidP="001D1891">
      <w:pPr>
        <w:ind w:firstLine="720"/>
        <w:rPr>
          <w:rFonts w:eastAsia="SimSun" w:cs="Arial"/>
        </w:rPr>
      </w:pPr>
      <w:r w:rsidRPr="00EA0DC7">
        <w:rPr>
          <w:rFonts w:eastAsia="SimSun" w:cs="Arial"/>
        </w:rPr>
        <w:lastRenderedPageBreak/>
        <w:t xml:space="preserve">The guideline is based on a stepped-care model in which the least intrusive, most effective treatment is offered first. Then, if the patient does not benefit from this intervention, they are ‘stepped-up’ to a more complex intervention (NICE, 2009). This is a model that has been adopted by the IAPT programme and rolled out across the UK to offer patients a routine first-line treatment for depression and anxiety disorders </w:t>
      </w:r>
      <w:r w:rsidRPr="00EA0DC7">
        <w:rPr>
          <w:rFonts w:eastAsia="SimSun" w:cs="Arial"/>
        </w:rPr>
        <w:fldChar w:fldCharType="begin" w:fldLock="1"/>
      </w:r>
      <w:r w:rsidRPr="00EA0DC7">
        <w:rPr>
          <w:rFonts w:eastAsia="SimSun" w:cs="Arial"/>
        </w:rPr>
        <w:instrText>ADDIN CSL_CITATION { "citationItems" : [ { "id" : "ITEM-1", "itemData" : { "DOI" : "10.3109/09540261.2011.606803", "ISBN" : "1369-1627 (Electronic)\\r0954-0261 (Linking)", "ISSN" : "0954-0261", "PMID" : "22026487", "abstract" : "The Improving Access to Psychological Therapies (IAPT) programme is a large-scale initiative that aims to greatly increase the availability of NICE recommended psychological treatment for depression and anxiety disorders within the National Health Service in England. This article describes the background to the programme, the arguments on which it is based, the therapist training scheme, the clinical service model, and a summary of progress to date. At mid-point in a national roll-out of the programme progress is generally in line with expectation, and a large number of people who would not otherwise have had the opportunity to receive evidence-based psychological treatment have accessed, and benefited from, the new IAPT services. Planned future developments and challenges for the programme are briefly described.", "author" : [ { "dropping-particle" : "", "family" : "Clark", "given" : "David M.", "non-dropping-particle" : "", "parse-names" : false, "suffix" : "" } ], "container-title" : "International Review of Psychiatry", "id" : "ITEM-1", "issue" : "4", "issued" : { "date-parts" : [ [ "2011" ] ] }, "page" : "318-327", "title" : "Implementing NICE guidelines for the psychological treatment of depression and anxiety disorders: The IAPT experience", "type" : "article-journal", "volume" : "23" }, "uris" : [ "http://www.mendeley.com/documents/?uuid=b4e30cad-5eb2-4b15-b57c-62a79c6e9b18" ] } ], "mendeley" : { "formattedCitation" : "(Clark, 2011)", "plainTextFormattedCitation" : "(Clark, 2011)", "previouslyFormattedCitation" : "(Clark, 2011)"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(Clark, 2011)</w:t>
      </w:r>
      <w:r w:rsidRPr="00EA0DC7">
        <w:rPr>
          <w:rFonts w:eastAsia="SimSun" w:cs="Arial"/>
        </w:rPr>
        <w:fldChar w:fldCharType="end"/>
      </w:r>
      <w:r w:rsidRPr="00EA0DC7">
        <w:rPr>
          <w:rFonts w:eastAsia="SimSun" w:cs="Arial"/>
        </w:rPr>
        <w:t>. An analysis of recovery rates within IAPT services found that compliance with NICE guidance is associated with higher reliable recovery rates (Gyani, Shafran, Layard, &amp; Clark, 2013).</w:t>
      </w:r>
    </w:p>
    <w:p w14:paraId="3E0973D9" w14:textId="51301BCE" w:rsidR="00EC47BB" w:rsidRPr="00EA0DC7" w:rsidRDefault="00EC47BB" w:rsidP="00EC47BB">
      <w:pPr>
        <w:outlineLvl w:val="2"/>
        <w:rPr>
          <w:rFonts w:eastAsia="SimSun" w:cs="Arial"/>
          <w:b/>
          <w:i/>
          <w:szCs w:val="24"/>
        </w:rPr>
      </w:pPr>
      <w:r w:rsidRPr="00EA0DC7">
        <w:rPr>
          <w:rFonts w:eastAsia="SimSun" w:cs="Arial"/>
          <w:b/>
          <w:i/>
          <w:szCs w:val="24"/>
        </w:rPr>
        <w:t>1.3.</w:t>
      </w:r>
      <w:r w:rsidR="00A1146F">
        <w:rPr>
          <w:rFonts w:eastAsia="SimSun" w:cs="Arial"/>
          <w:b/>
          <w:i/>
          <w:szCs w:val="24"/>
        </w:rPr>
        <w:t>9</w:t>
      </w:r>
      <w:r w:rsidRPr="00EA0DC7">
        <w:rPr>
          <w:rFonts w:eastAsia="SimSun" w:cs="Arial"/>
          <w:b/>
          <w:i/>
          <w:szCs w:val="24"/>
        </w:rPr>
        <w:t xml:space="preserve"> Summary</w:t>
      </w:r>
      <w:bookmarkEnd w:id="38"/>
    </w:p>
    <w:p w14:paraId="0BAE2D78" w14:textId="77777777" w:rsidR="00EC47BB" w:rsidRPr="00EA0DC7" w:rsidRDefault="00EC47BB" w:rsidP="00EC47BB">
      <w:pPr>
        <w:ind w:firstLine="720"/>
        <w:rPr>
          <w:rFonts w:eastAsia="SimSun" w:cs="Arial"/>
        </w:rPr>
      </w:pPr>
      <w:r w:rsidRPr="00EA0DC7">
        <w:rPr>
          <w:rFonts w:eastAsia="SimSun" w:cs="Arial"/>
        </w:rPr>
        <w:t xml:space="preserve">Treatments available for depression are varied, and only the most commonly used interventions (drug therapy, psychodynamic therapy, counselling, IPT, and CBT) have been outlined in this review. Research into which treatment is the most effective has mixed findings, but it is generally agreed that pharmacotherapy and psychotherapy have similar recovery rates and that combination treatment is slightly superior (Roth &amp; Fonagy, 2005). In the UK, there is a clear set of guidelines telling us which treatments are appropriate for each presentation of depression (NICE, 2009). While these guidelines cover a range of treatments, the most commonly recommended treatment for most forms of depression is CBT. </w:t>
      </w:r>
    </w:p>
    <w:p w14:paraId="3412FBB5" w14:textId="2B13592B" w:rsidR="00EC47BB" w:rsidRPr="00EA0DC7" w:rsidRDefault="00EC47BB" w:rsidP="00EC47BB">
      <w:pPr>
        <w:outlineLvl w:val="1"/>
        <w:rPr>
          <w:rFonts w:eastAsia="SimSun" w:cs="Arial"/>
          <w:b/>
          <w:sz w:val="28"/>
          <w:szCs w:val="24"/>
        </w:rPr>
      </w:pPr>
      <w:bookmarkStart w:id="39" w:name="_Toc508809021"/>
      <w:bookmarkStart w:id="40" w:name="_Toc517453250"/>
      <w:bookmarkStart w:id="41" w:name="_Toc47039826"/>
      <w:r w:rsidRPr="00EA0DC7">
        <w:rPr>
          <w:rFonts w:eastAsia="SimSun" w:cs="Arial"/>
          <w:b/>
          <w:sz w:val="28"/>
          <w:szCs w:val="24"/>
        </w:rPr>
        <w:t>1.4 Factors influencing psychotherapy outcomes</w:t>
      </w:r>
      <w:bookmarkEnd w:id="39"/>
      <w:bookmarkEnd w:id="40"/>
      <w:bookmarkEnd w:id="41"/>
    </w:p>
    <w:p w14:paraId="574F218C" w14:textId="7B442D32" w:rsidR="00EC47BB" w:rsidRPr="00EA0DC7" w:rsidRDefault="00EC47BB" w:rsidP="00EC47BB">
      <w:pPr>
        <w:rPr>
          <w:rFonts w:eastAsia="SimSun" w:cs="Arial"/>
        </w:rPr>
      </w:pPr>
      <w:r w:rsidRPr="00EA0DC7">
        <w:rPr>
          <w:rFonts w:eastAsia="SimSun" w:cs="Arial"/>
        </w:rPr>
        <w:tab/>
        <w:t xml:space="preserve">Treatment guidelines for depression are based on the highest quality evidence available, usually in the form of RCTs (NICE, 2009). Unfortunately, it is very difficult to get the same conditions seen in RCTs in other settings </w:t>
      </w:r>
      <w:r w:rsidRPr="00EA0DC7">
        <w:rPr>
          <w:rFonts w:eastAsia="SimSun" w:cs="Arial"/>
        </w:rPr>
        <w:lastRenderedPageBreak/>
        <w:t xml:space="preserve">(e.g., routine clinical practice). RCT settings are often far removed from the context in which psychotherapy is usually conducted (Gibbons et al., 2010). </w:t>
      </w:r>
      <w:r w:rsidR="000C6F37">
        <w:rPr>
          <w:rFonts w:eastAsia="SimSun" w:cs="Arial"/>
        </w:rPr>
        <w:t xml:space="preserve">Although, more recent RCTs attempt to emulate ‘real world’ settings as best they can (Gamerman et al., 2018). </w:t>
      </w:r>
      <w:r w:rsidRPr="00EA0DC7">
        <w:rPr>
          <w:rFonts w:eastAsia="SimSun" w:cs="Arial"/>
        </w:rPr>
        <w:t>As their name suggests, RCTs have much tighter controls than standard clinical practice. For example, they only recruit specific populations of patients, therapy sessions are fixed in number and content, and there is constant monitoring of therapists (Gibbons, Stirman, DeRubeis, Newman, &amp; Beck, 2013; Kazdin, 2008). These and other aspects of therapy can vary in clinical practice, potentially affecting patient outcomes. Indeed</w:t>
      </w:r>
      <w:r w:rsidR="00177CE7" w:rsidRPr="00EA0DC7">
        <w:rPr>
          <w:rFonts w:eastAsia="SimSun" w:cs="Arial"/>
        </w:rPr>
        <w:t>,</w:t>
      </w:r>
      <w:r w:rsidRPr="00EA0DC7">
        <w:rPr>
          <w:rFonts w:eastAsia="SimSun" w:cs="Arial"/>
        </w:rPr>
        <w:t xml:space="preserve"> there is a discrepancy </w:t>
      </w:r>
      <w:r w:rsidR="00783E09">
        <w:rPr>
          <w:rFonts w:eastAsia="SimSun" w:cs="Arial"/>
        </w:rPr>
        <w:t>in</w:t>
      </w:r>
      <w:r w:rsidRPr="00EA0DC7">
        <w:rPr>
          <w:rFonts w:eastAsia="SimSun" w:cs="Arial"/>
        </w:rPr>
        <w:t xml:space="preserve"> patient outcomes between RCTs and clinical practice (Gibbons et al., 2013). However, this does not always have to be the case. Studies by Persons et al. (1999) and Persons, Roberts, Zalecki, and Brechwald (2006) have shown that treatment of depression and anxious-depression in routine clinical practice can yield similar outcomes to those in research trials. This review will now look at factors that can influence therapy processes and patient outcomes.</w:t>
      </w:r>
    </w:p>
    <w:p w14:paraId="11C6ED0D" w14:textId="683AE814" w:rsidR="00EC47BB" w:rsidRPr="00EA0DC7" w:rsidRDefault="00EC47BB" w:rsidP="00EC47BB">
      <w:pPr>
        <w:outlineLvl w:val="2"/>
        <w:rPr>
          <w:rFonts w:eastAsia="SimSun" w:cs="Arial"/>
          <w:b/>
          <w:i/>
          <w:szCs w:val="24"/>
        </w:rPr>
      </w:pPr>
      <w:bookmarkStart w:id="42" w:name="_Toc508809022"/>
      <w:r w:rsidRPr="00EA0DC7">
        <w:rPr>
          <w:rFonts w:eastAsia="SimSun" w:cs="Arial"/>
          <w:b/>
          <w:i/>
          <w:szCs w:val="24"/>
        </w:rPr>
        <w:t>1.4.1 Therapy format</w:t>
      </w:r>
      <w:bookmarkEnd w:id="42"/>
    </w:p>
    <w:p w14:paraId="1780C27F" w14:textId="77A5C776" w:rsidR="00EC47BB" w:rsidRPr="00EA0DC7" w:rsidRDefault="00EC47BB" w:rsidP="00EC47BB">
      <w:pPr>
        <w:rPr>
          <w:rFonts w:eastAsia="SimSun" w:cs="Arial"/>
        </w:rPr>
      </w:pPr>
      <w:r w:rsidRPr="00EA0DC7">
        <w:rPr>
          <w:rFonts w:eastAsia="SimSun" w:cs="Arial"/>
        </w:rPr>
        <w:tab/>
        <w:t>The format of therapy in RCT settings is very tightly controlled and therefore it is unlikely to vary across patients in the trial. In clinical practice, however,</w:t>
      </w:r>
      <w:r w:rsidR="00214A9A" w:rsidRPr="00EA0DC7">
        <w:rPr>
          <w:rFonts w:eastAsia="SimSun" w:cs="Arial"/>
        </w:rPr>
        <w:t xml:space="preserve"> therapy format can vary </w:t>
      </w:r>
      <w:r w:rsidRPr="00EA0DC7">
        <w:rPr>
          <w:rFonts w:eastAsia="SimSun" w:cs="Arial"/>
        </w:rPr>
        <w:t xml:space="preserve">both across and within practices, and certain aspects of therapy format can have an impact on patient outcome. For example, Braun, Gregor, &amp; Tran (2013) suggest that therapy session length moderates patient outcome. They found that CBT for depression was superior to other psychotherapies, but only when the treatment sessions lasted 90 minutes or longer. Research investigating group CBT for depression also </w:t>
      </w:r>
      <w:r w:rsidRPr="00EA0DC7">
        <w:rPr>
          <w:rFonts w:eastAsia="SimSun" w:cs="Arial"/>
        </w:rPr>
        <w:lastRenderedPageBreak/>
        <w:t>found an effect of session length, which indicated that the optimum length is between 60 and 90 minutes (Feng et al., 2012).</w:t>
      </w:r>
    </w:p>
    <w:p w14:paraId="41B25382" w14:textId="2AD2AE66" w:rsidR="00EC47BB" w:rsidRPr="00EA0DC7" w:rsidRDefault="00EC47BB" w:rsidP="00EC47BB">
      <w:pPr>
        <w:rPr>
          <w:rFonts w:eastAsia="SimSun" w:cs="Arial"/>
        </w:rPr>
      </w:pPr>
      <w:r w:rsidRPr="00EA0DC7">
        <w:rPr>
          <w:rFonts w:eastAsia="SimSun" w:cs="Arial"/>
        </w:rPr>
        <w:tab/>
        <w:t xml:space="preserve">The number of therapy sessions that an individual receives also varies across practices, and patients might not recover because they do not receive enough sessions. Hansen, Lambert, &amp; Forman (2002) explain that while 13 to 18 sessions are required for 50% of patients to improve, the average number received in clinical practice is actually fewer than five. Similarly, within IAPT services, those practices with a higher average number of therapy sessions also have higher numbers of recovered patients (Gyani et al., 2013). However, it is possible that this is partly due to patients dropping out before recovery, rather than there being limited available therapy sessions. </w:t>
      </w:r>
    </w:p>
    <w:p w14:paraId="713A861A" w14:textId="3EE308D4" w:rsidR="00EC47BB" w:rsidRPr="00EA0DC7" w:rsidRDefault="00EC47BB" w:rsidP="00D70E2E">
      <w:pPr>
        <w:keepNext/>
        <w:outlineLvl w:val="2"/>
        <w:rPr>
          <w:rFonts w:eastAsia="SimSun" w:cs="Arial"/>
          <w:b/>
          <w:i/>
          <w:szCs w:val="24"/>
        </w:rPr>
      </w:pPr>
      <w:bookmarkStart w:id="43" w:name="_Toc508809023"/>
      <w:r w:rsidRPr="00EA0DC7">
        <w:rPr>
          <w:rFonts w:eastAsia="SimSun" w:cs="Arial"/>
          <w:b/>
          <w:i/>
          <w:szCs w:val="24"/>
        </w:rPr>
        <w:t>1.4.2 Therapeutic alliance</w:t>
      </w:r>
      <w:bookmarkEnd w:id="43"/>
    </w:p>
    <w:p w14:paraId="6D379884" w14:textId="77777777" w:rsidR="00EC47BB" w:rsidRPr="00EA0DC7" w:rsidRDefault="00EC47BB" w:rsidP="00EC47BB">
      <w:pPr>
        <w:rPr>
          <w:rFonts w:eastAsia="SimSun" w:cs="Arial"/>
        </w:rPr>
      </w:pPr>
      <w:r w:rsidRPr="00EA0DC7">
        <w:rPr>
          <w:rFonts w:eastAsia="SimSun" w:cs="Arial"/>
          <w:i/>
        </w:rPr>
        <w:tab/>
      </w:r>
      <w:r w:rsidRPr="00EA0DC7">
        <w:rPr>
          <w:rFonts w:eastAsia="SimSun" w:cs="Arial"/>
        </w:rPr>
        <w:t xml:space="preserve">The term ‘therapeutic alliance’ was originally coined by Zetzel (1956) to refer to the relationship between client and therapist within a psychoanalytic context. Bordin (1979) broadened the definition of this term to apply to other psychotherapies, and outlined the three core aspects of the working alliance – an agreement on goals, an agreement on tasks, and the development of attachment bonds. The alliance is seen as an important aspect of therapy that contributes to client outcome (Roth &amp; Fonagy, 2005).  Many factors can contribute to a positive therapeutic alliance, including therapist attributes (e.g., honesty, flexibility, and experience - Ackerman &amp; Hilsenroth, 2003), patient attributes (e.g. lack of hostility - Johansson &amp; Jansson, 2010), and therapist techniques (e.g. reflection, attending to experience - Ackerman &amp; Hilsenroth, </w:t>
      </w:r>
      <w:r w:rsidRPr="00EA0DC7">
        <w:rPr>
          <w:rFonts w:eastAsia="SimSun" w:cs="Arial"/>
        </w:rPr>
        <w:lastRenderedPageBreak/>
        <w:t>2003). Martin, Garske, and Davis (2000) found the therapeutic alliance to be consistently and moderately related to patient outcome (</w:t>
      </w:r>
      <w:r w:rsidRPr="00EA0DC7">
        <w:rPr>
          <w:rFonts w:eastAsia="SimSun" w:cs="Arial"/>
          <w:i/>
        </w:rPr>
        <w:t>r</w:t>
      </w:r>
      <w:r w:rsidRPr="00EA0DC7">
        <w:rPr>
          <w:rFonts w:eastAsia="SimSun" w:cs="Arial"/>
        </w:rPr>
        <w:t xml:space="preserve"> = .22). </w:t>
      </w:r>
    </w:p>
    <w:p w14:paraId="08E2F093" w14:textId="77777777" w:rsidR="00EC47BB" w:rsidRPr="00EA0DC7" w:rsidRDefault="00EC47BB" w:rsidP="00EC47BB">
      <w:pPr>
        <w:ind w:firstLine="720"/>
        <w:rPr>
          <w:rFonts w:eastAsia="SimSun" w:cs="Arial"/>
        </w:rPr>
      </w:pPr>
      <w:r w:rsidRPr="00EA0DC7">
        <w:rPr>
          <w:rFonts w:eastAsia="SimSun" w:cs="Arial"/>
        </w:rPr>
        <w:t>However, there might be a more complex interaction between alliance and outcome (Webb et al., 2011), as some research suggests that symptom change actually predicts later therapeutic alliance (DeRubeis &amp; Feeley, 1990). There is also an additional alliance aspect within most psychotherapy settings – the supervisory alliance (the relationship between the therapist and their supervisor). Patton and Kivlighan (1997) found that the supervisory working alliance was positively related to the therapeutic working alliance.</w:t>
      </w:r>
    </w:p>
    <w:p w14:paraId="0533EB2F" w14:textId="07D55874" w:rsidR="00EC47BB" w:rsidRPr="00EA0DC7" w:rsidRDefault="00EC47BB" w:rsidP="00D70E2E">
      <w:pPr>
        <w:keepNext/>
        <w:outlineLvl w:val="2"/>
        <w:rPr>
          <w:rFonts w:eastAsia="SimSun" w:cs="Arial"/>
          <w:b/>
          <w:i/>
          <w:szCs w:val="24"/>
        </w:rPr>
      </w:pPr>
      <w:bookmarkStart w:id="44" w:name="_Toc508809024"/>
      <w:r w:rsidRPr="00EA0DC7">
        <w:rPr>
          <w:rFonts w:eastAsia="SimSun" w:cs="Arial"/>
          <w:b/>
          <w:i/>
          <w:szCs w:val="24"/>
        </w:rPr>
        <w:t>1.4.3 Selection of patients</w:t>
      </w:r>
      <w:bookmarkEnd w:id="44"/>
    </w:p>
    <w:p w14:paraId="33D20AE5" w14:textId="097E4914" w:rsidR="00EC47BB" w:rsidRPr="00EA0DC7" w:rsidRDefault="00EC47BB" w:rsidP="00EC47BB">
      <w:pPr>
        <w:ind w:firstLine="720"/>
        <w:rPr>
          <w:rFonts w:eastAsia="SimSun" w:cs="Arial"/>
        </w:rPr>
      </w:pPr>
      <w:r w:rsidRPr="00EA0DC7">
        <w:rPr>
          <w:rFonts w:eastAsia="SimSun" w:cs="Arial"/>
        </w:rPr>
        <w:t xml:space="preserve">There has been criticism of RCTs for using homogeneous patient samples and excluding more difficult-to-treat patients (e.g., Seligman, 1995; Westen &amp; Morrison, 2001). </w:t>
      </w:r>
      <w:commentRangeStart w:id="45"/>
      <w:r w:rsidR="00DE247B">
        <w:rPr>
          <w:rFonts w:eastAsia="SimSun" w:cs="Arial"/>
        </w:rPr>
        <w:t xml:space="preserve">Due to the </w:t>
      </w:r>
      <w:commentRangeEnd w:id="45"/>
      <w:r w:rsidR="00C864F7">
        <w:rPr>
          <w:rStyle w:val="CommentReference"/>
          <w:rFonts w:eastAsiaTheme="minorHAnsi"/>
          <w:lang w:eastAsia="en-US"/>
        </w:rPr>
        <w:commentReference w:id="45"/>
      </w:r>
      <w:r w:rsidR="00DE247B">
        <w:rPr>
          <w:rFonts w:eastAsia="SimSun" w:cs="Arial"/>
        </w:rPr>
        <w:t>settings of many RCTs and the higher depression prevalence in women, t</w:t>
      </w:r>
      <w:r w:rsidRPr="00EA0DC7">
        <w:rPr>
          <w:rFonts w:eastAsia="SimSun" w:cs="Arial"/>
        </w:rPr>
        <w:t>he majority of</w:t>
      </w:r>
      <w:r w:rsidR="00886FF4">
        <w:rPr>
          <w:rFonts w:eastAsia="SimSun" w:cs="Arial"/>
        </w:rPr>
        <w:t xml:space="preserve"> participants in</w:t>
      </w:r>
      <w:r w:rsidRPr="00EA0DC7">
        <w:rPr>
          <w:rFonts w:eastAsia="SimSun" w:cs="Arial"/>
        </w:rPr>
        <w:t xml:space="preserve"> RCTs of psychotherapy for depression </w:t>
      </w:r>
      <w:r w:rsidR="00886FF4">
        <w:rPr>
          <w:rFonts w:eastAsia="SimSun" w:cs="Arial"/>
        </w:rPr>
        <w:t>are</w:t>
      </w:r>
      <w:r w:rsidRPr="00EA0DC7">
        <w:rPr>
          <w:rFonts w:eastAsia="SimSun" w:cs="Arial"/>
        </w:rPr>
        <w:t xml:space="preserve"> Caucasian females with a diagnosis of acute major depressive disorder (Scott &amp; Watkins, 2004). Often </w:t>
      </w:r>
      <w:r w:rsidR="000C6F37">
        <w:rPr>
          <w:rFonts w:eastAsia="SimSun" w:cs="Arial"/>
        </w:rPr>
        <w:t>such</w:t>
      </w:r>
      <w:r w:rsidR="000C6F37" w:rsidRPr="00EA0DC7">
        <w:rPr>
          <w:rFonts w:eastAsia="SimSun" w:cs="Arial"/>
        </w:rPr>
        <w:t xml:space="preserve"> </w:t>
      </w:r>
      <w:r w:rsidRPr="00EA0DC7">
        <w:rPr>
          <w:rFonts w:eastAsia="SimSun" w:cs="Arial"/>
        </w:rPr>
        <w:t xml:space="preserve">highly selective RCT samples do not include patients with comorbid diagnoses (Westen, Novotny, &amp; Thompson-Brenner, 2004), even though most cases of depression are comorbid with other Axis I or Axis II disorders (Kessler et al., 1996; Zimmerman, McDermut, &amp; Mattia, 2000). As comorbidity can complicate treatment and lead to poorer outcomes (Shea, Widiger, &amp; Klein, 1992), excluding these patients can mean that RCT outcomes are not representative of general psychotherapy outcomes. The greater variety of patients in non-RCT samples might lead to therapists varying their practice more in such </w:t>
      </w:r>
      <w:r w:rsidRPr="00EA0DC7">
        <w:rPr>
          <w:rFonts w:eastAsia="SimSun" w:cs="Arial"/>
        </w:rPr>
        <w:lastRenderedPageBreak/>
        <w:t>settings, meaning that they drift from protocols. For example, within panic disorder research, patient individual differences have been found to affect therapist competence and adherence (Boswell et al., 2013).</w:t>
      </w:r>
    </w:p>
    <w:p w14:paraId="1BF8BC19" w14:textId="77777777" w:rsidR="00EC47BB" w:rsidRPr="00EA0DC7" w:rsidRDefault="00EC47BB" w:rsidP="00EC47BB">
      <w:pPr>
        <w:ind w:firstLine="720"/>
        <w:rPr>
          <w:rFonts w:eastAsia="SimSun" w:cs="Arial"/>
        </w:rPr>
      </w:pPr>
      <w:r w:rsidRPr="00EA0DC7">
        <w:rPr>
          <w:rFonts w:eastAsia="SimSun" w:cs="Arial"/>
        </w:rPr>
        <w:t xml:space="preserve">In a meta-analysis, Westen and Morrison (2001) found that the majority of patients are excluded from RCTs – on average only 32% of potential participants with depression meet the strict inclusion criteria. The authors also found that the more potential patients excluded in a given study, the higher percentage of patients showed improvement. Although Westen and Morrison (2001) found that a large number of potential participants are excluded from RCTs, why they are excluded is often unclear. </w:t>
      </w:r>
    </w:p>
    <w:p w14:paraId="3054DACF" w14:textId="76339FE6" w:rsidR="00EC47BB" w:rsidRPr="00EA0DC7" w:rsidRDefault="00EC47BB" w:rsidP="00EC47BB">
      <w:pPr>
        <w:ind w:firstLine="720"/>
        <w:rPr>
          <w:rFonts w:eastAsia="SimSun" w:cs="Arial"/>
        </w:rPr>
      </w:pPr>
      <w:r w:rsidRPr="00EA0DC7">
        <w:rPr>
          <w:rFonts w:eastAsia="SimSun" w:cs="Arial"/>
        </w:rPr>
        <w:t>Stirman, DeRubeis, Crits-Christoph, &amp; Brody (2003) applied RCT criteria to an outpatient sample. Although many patients did not meet RCT criteria, this was mainly because their primary diagnosis had never been studied using RCT methodology. Where their primary diagnosis was the subject of an RCT, 80% matched the criteria. The authors conclude that the problem with RCTs is not that they are unrepresentative of patient samples for the disorder that is being studied,</w:t>
      </w:r>
      <w:r w:rsidR="00177CE7" w:rsidRPr="00EA0DC7">
        <w:rPr>
          <w:rFonts w:eastAsia="SimSun" w:cs="Arial"/>
        </w:rPr>
        <w:t xml:space="preserve"> but</w:t>
      </w:r>
      <w:r w:rsidR="004E76A9" w:rsidRPr="00EA0DC7">
        <w:rPr>
          <w:rFonts w:eastAsia="SimSun" w:cs="Arial"/>
        </w:rPr>
        <w:t xml:space="preserve"> </w:t>
      </w:r>
      <w:r w:rsidRPr="00EA0DC7">
        <w:rPr>
          <w:rFonts w:eastAsia="SimSun" w:cs="Arial"/>
        </w:rPr>
        <w:t>that they fail to study some common but unrepresented diagnoses, e.g.</w:t>
      </w:r>
      <w:r w:rsidR="00D70E2E" w:rsidRPr="00EA0DC7">
        <w:rPr>
          <w:rFonts w:eastAsia="SimSun" w:cs="Arial"/>
        </w:rPr>
        <w:t>,</w:t>
      </w:r>
      <w:r w:rsidRPr="00EA0DC7">
        <w:rPr>
          <w:rFonts w:eastAsia="SimSun" w:cs="Arial"/>
        </w:rPr>
        <w:t xml:space="preserve"> dysthymia. Similar results have been found when the patient sample is more diverse, and more patients have comorbid diagnoses (Stirman, DeRubeis, Crits-Christoph, &amp; Rothman, 2005). To investigate whether RCT inclusion criteria systematically exclude patients who are more difficult to treat, Schindler, Hiller, &amp; Witthöft (2011) applied RCT criteria to an outpatient sample, creating a subsample </w:t>
      </w:r>
      <w:r w:rsidR="00177CE7" w:rsidRPr="00EA0DC7">
        <w:rPr>
          <w:rFonts w:eastAsia="SimSun" w:cs="Arial"/>
        </w:rPr>
        <w:t xml:space="preserve">of patients </w:t>
      </w:r>
      <w:r w:rsidRPr="00EA0DC7">
        <w:rPr>
          <w:rFonts w:eastAsia="SimSun" w:cs="Arial"/>
        </w:rPr>
        <w:t xml:space="preserve">who were RCT eligible. They then compared the outcomes of the whole group with the </w:t>
      </w:r>
      <w:r w:rsidRPr="00EA0DC7">
        <w:rPr>
          <w:rFonts w:eastAsia="SimSun" w:cs="Arial"/>
        </w:rPr>
        <w:lastRenderedPageBreak/>
        <w:t>subsample and found the outcomes to be comparable, indicating that there is no systematic bias due to patient selection in RCTs.</w:t>
      </w:r>
    </w:p>
    <w:p w14:paraId="425AF4DE" w14:textId="2E97E3AA" w:rsidR="00EC47BB" w:rsidRPr="00EA0DC7" w:rsidRDefault="00EC47BB" w:rsidP="00EC47BB">
      <w:pPr>
        <w:outlineLvl w:val="2"/>
        <w:rPr>
          <w:rFonts w:eastAsia="SimSun" w:cs="Arial"/>
          <w:b/>
          <w:i/>
          <w:szCs w:val="24"/>
        </w:rPr>
      </w:pPr>
      <w:bookmarkStart w:id="46" w:name="_Toc508809025"/>
      <w:r w:rsidRPr="00EA0DC7">
        <w:rPr>
          <w:rFonts w:eastAsia="SimSun" w:cs="Arial"/>
          <w:b/>
          <w:i/>
          <w:szCs w:val="24"/>
        </w:rPr>
        <w:t>1.4.4 Patient effects</w:t>
      </w:r>
      <w:bookmarkEnd w:id="46"/>
    </w:p>
    <w:p w14:paraId="3670AEEF" w14:textId="6BAF1537" w:rsidR="00EC47BB" w:rsidRPr="00EA0DC7" w:rsidRDefault="00EC47BB" w:rsidP="00EC47BB">
      <w:pPr>
        <w:rPr>
          <w:rFonts w:eastAsia="SimSun" w:cs="Arial"/>
        </w:rPr>
      </w:pPr>
      <w:r w:rsidRPr="00EA0DC7">
        <w:rPr>
          <w:rFonts w:eastAsia="SimSun" w:cs="Arial"/>
          <w:i/>
        </w:rPr>
        <w:tab/>
      </w:r>
      <w:r w:rsidRPr="00EA0DC7">
        <w:rPr>
          <w:rFonts w:eastAsia="SimSun" w:cs="Arial"/>
        </w:rPr>
        <w:t>In addition to patient selection, patient characteristics can impact overall therapy outcome. Such characteristics can include disorder presentation</w:t>
      </w:r>
      <w:r w:rsidR="00B02D56" w:rsidRPr="00EA0DC7">
        <w:rPr>
          <w:rFonts w:eastAsia="SimSun" w:cs="Arial"/>
        </w:rPr>
        <w:t>,</w:t>
      </w:r>
      <w:r w:rsidRPr="00EA0DC7">
        <w:rPr>
          <w:rFonts w:eastAsia="SimSun" w:cs="Arial"/>
        </w:rPr>
        <w:t xml:space="preserve"> such as chronicity (Thase et al., 1994), and patient attitudes e.g., expectation </w:t>
      </w:r>
      <w:r w:rsidRPr="00EA0DC7">
        <w:rPr>
          <w:rFonts w:eastAsia="SimSun" w:cs="Arial"/>
        </w:rPr>
        <w:fldChar w:fldCharType="begin" w:fldLock="1"/>
      </w:r>
      <w:r w:rsidRPr="00EA0DC7">
        <w:rPr>
          <w:rFonts w:eastAsia="SimSun" w:cs="Arial"/>
        </w:rPr>
        <w:instrText>ADDIN CSL_CITATION { "citationItems" : [ { "id" : "ITEM-1", "itemData" : { "DOI" : "10.1176/foc.4.2.278", "ISSN" : "1541-4094", "author" : [ { "dropping-particle" : "", "family" : "Sotsky", "given" : "Stuart M.", "non-dropping-particle" : "", "parse-names" : false, "suffix" : "" }, { "dropping-particle" : "", "family" : "Glass", "given" : "David R.", "non-dropping-particle" : "", "parse-names" : false, "suffix" : "" }, { "dropping-particle" : "", "family" : "Shea", "given" : "M. Tracie", "non-dropping-particle" : "", "parse-names" : false, "suffix" : "" }, { "dropping-particle" : "", "family" : "Pilkonis", "given" : "Paul a.", "non-dropping-particle" : "", "parse-names" : false, "suffix" : "" }, { "dropping-particle" : "", "family" : "Collins", "given" : "F.", "non-dropping-particle" : "", "parse-names" : false, "suffix" : "" }, { "dropping-particle" : "", "family" : "Elkin", "given" : "Irene", "non-dropping-particle" : "", "parse-names" : false, "suffix" : "" }, { "dropping-particle" : "", "family" : "Watkins", "given" : "John T.", "non-dropping-particle" : "", "parse-names" : false, "suffix" : "" }, { "dropping-particle" : "", "family" : "Imber", "given" : "Stanley D.", "non-dropping-particle" : "", "parse-names" : false, "suffix" : "" }, { "dropping-particle" : "", "family" : "Leber", "given" : "William R.", "non-dropping-particle" : "", "parse-names" : false, "suffix" : "" }, { "dropping-particle" : "", "family" : "Moyer", "given" : "Janet", "non-dropping-particle" : "", "parse-names" : false, "suffix" : "" }, { "dropping-particle" : "", "family" : "Oliveri", "given" : "Mary Ellen", "non-dropping-particle" : "", "parse-names" : false, "suffix" : "" } ], "container-title" : "American Journal of Psychiatry", "id" : "ITEM-1", "issued" : { "date-parts" : [ [ "1991" ] ] }, "page" : "997-1008", "title" : "Patient Predictors of Response to Psychotherapy and Pharmacotherapy: Findings in the NIMH Treatment of Depression Collaborative Research Program", "type" : "article-journal", "volume" : "148" }, "uris" : [ "http://www.mendeley.com/documents/?uuid=312fc5f6-a2df-4fcd-b1a2-f7f3e36eaba8" ] } ], "mendeley" : { "formattedCitation" : "(Sotsky et al., 1991)", "plainTextFormattedCitation" : "(Sotsky et al., 1991)"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(Sotsky et al., 1991)</w:t>
      </w:r>
      <w:r w:rsidRPr="00EA0DC7">
        <w:rPr>
          <w:rFonts w:eastAsia="SimSun" w:cs="Arial"/>
        </w:rPr>
        <w:fldChar w:fldCharType="end"/>
      </w:r>
      <w:r w:rsidRPr="00EA0DC7">
        <w:rPr>
          <w:rFonts w:eastAsia="SimSun" w:cs="Arial"/>
        </w:rPr>
        <w:t xml:space="preserve">. Demographic characteristics seem to have little effect on outcomes </w:t>
      </w:r>
      <w:r w:rsidRPr="00EA0DC7">
        <w:rPr>
          <w:rFonts w:eastAsia="SimSun" w:cs="Arial"/>
        </w:rPr>
        <w:fldChar w:fldCharType="begin" w:fldLock="1"/>
      </w:r>
      <w:r w:rsidRPr="00EA0DC7">
        <w:rPr>
          <w:rFonts w:eastAsia="SimSun" w:cs="Arial"/>
        </w:rPr>
        <w:instrText>ADDIN CSL_CITATION { "citationItems" : [ { "id" : "ITEM-1", "itemData" : { "DOI" : "10.1016/S0272-7358(02)00106-X", "ISSN" : "02727358", "abstract" : "This review examines the role of patient predictors of outcome in cognitive therapy of depression. Studies that meet eligibility criteria are reviewed for demonstrated linkage between various predictors (i.e., pretreatment severity, historical features, demographic predictors, dysfunctional attitudes and other cognitive features, and treatment acceptability) and outcome, and several effects are found. Notably, high pretreatment severity scores are associated with poorer response to cognitive therapy, as are high chronicity, younger age at onset, an increased number of previous episodes, and marital status. High pretreatment levels of dysfunctional attitudes and certain beliefs about the nature of depression were also found to predict differential response to cognitive therapy of depression. Limitations of the research and directions for further investigations of patient predictors of outcome in cognitive therapy of depression are provided.", "author" : [ { "dropping-particle" : "", "family" : "Hamilton", "given" : "Kate E", "non-dropping-particle" : "", "parse-names" : false, "suffix" : "" }, { "dropping-particle" : "", "family" : "Dobson", "given" : "Keith S", "non-dropping-particle" : "", "parse-names" : false, "suffix" : "" } ], "container-title" : "Clinical Psychology Review", "id" : "ITEM-1", "issue" : "6", "issued" : { "date-parts" : [ [ "2002", "7" ] ] }, "page" : "875-893", "title" : "Cognitive therapy of depression", "type" : "article-journal", "volume" : "22" }, "uris" : [ "http://www.mendeley.com/documents/?uuid=2e3ffdb7-b88b-4eda-be43-d101bf8d21ab" ] } ], "mendeley" : { "formattedCitation" : "(Hamilton &amp; Dobson, 2002)", "plainTextFormattedCitation" : "(Hamilton &amp; Dobson, 2002)", "previouslyFormattedCitation" : "(Hamilton &amp; Dobson, 2002)"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(Hamilton &amp; Dobson, 2002)</w:t>
      </w:r>
      <w:r w:rsidRPr="00EA0DC7">
        <w:rPr>
          <w:rFonts w:eastAsia="SimSun" w:cs="Arial"/>
        </w:rPr>
        <w:fldChar w:fldCharType="end"/>
      </w:r>
      <w:r w:rsidRPr="00EA0DC7">
        <w:rPr>
          <w:rFonts w:eastAsia="SimSun" w:cs="Arial"/>
        </w:rPr>
        <w:t>. Cuijpers, van Straten, Smit, &amp; Andersson (2009) conducted a meta-regression analysis and found that psychotherapy is equally effective for both younger and older adults. Patient gender is also not a predictor of outcome in CBT for depression (Cuijpers et al., 2014; Jarrett, Eaves, Grannemann, &amp; Rush, 1991).</w:t>
      </w:r>
    </w:p>
    <w:p w14:paraId="1BF3C8D7" w14:textId="76EF26C6" w:rsidR="00EC47BB" w:rsidRPr="00EA0DC7" w:rsidRDefault="00EC47BB" w:rsidP="00EC47BB">
      <w:pPr>
        <w:rPr>
          <w:rFonts w:eastAsia="SimSun" w:cs="Arial"/>
        </w:rPr>
      </w:pPr>
      <w:r w:rsidRPr="00EA0DC7">
        <w:rPr>
          <w:rFonts w:eastAsia="SimSun" w:cs="Arial"/>
        </w:rPr>
        <w:tab/>
        <w:t>Turning to disorder presentation, there is some indication that depression chronicity impacts therapy outcome (Roth &amp; Fonagy, 2005). Thase et al. (1994) found that those with chronic depression had poorer responses to CBT. However, looking at outcomes in dynamic psychotherapy, Luborsky et al. (1996) found no differences between chronic and non-chronic cases. Depression severity can also impact on patient outcome. Higher pre-treatment depression scores predict a poorer response to cognitive therapy (Jarrett et al., 1991; Persons, Burns, &amp; Perloff, 1988). It might be that those with more severe presentations need longer in therapy. Severe cases improve substantially more after 16</w:t>
      </w:r>
      <w:r w:rsidR="00D70E2E" w:rsidRPr="00EA0DC7">
        <w:rPr>
          <w:rFonts w:eastAsia="SimSun" w:cs="Arial"/>
        </w:rPr>
        <w:t>,</w:t>
      </w:r>
      <w:r w:rsidRPr="00EA0DC7">
        <w:rPr>
          <w:rFonts w:eastAsia="SimSun" w:cs="Arial"/>
        </w:rPr>
        <w:t xml:space="preserve"> rather than eight</w:t>
      </w:r>
      <w:r w:rsidR="00D70E2E" w:rsidRPr="00EA0DC7">
        <w:rPr>
          <w:rFonts w:eastAsia="SimSun" w:cs="Arial"/>
        </w:rPr>
        <w:t>,</w:t>
      </w:r>
      <w:r w:rsidRPr="00EA0DC7">
        <w:rPr>
          <w:rFonts w:eastAsia="SimSun" w:cs="Arial"/>
        </w:rPr>
        <w:t xml:space="preserve"> sessions of psychodyna</w:t>
      </w:r>
      <w:r w:rsidR="00D70E2E" w:rsidRPr="00EA0DC7">
        <w:rPr>
          <w:rFonts w:eastAsia="SimSun" w:cs="Arial"/>
        </w:rPr>
        <w:t>mic-interpersonal psychotherapy. T</w:t>
      </w:r>
      <w:r w:rsidRPr="00EA0DC7">
        <w:rPr>
          <w:rFonts w:eastAsia="SimSun" w:cs="Arial"/>
        </w:rPr>
        <w:t xml:space="preserve">his was not the case for patients of other severity levels </w:t>
      </w:r>
      <w:r w:rsidRPr="00EA0DC7">
        <w:rPr>
          <w:rFonts w:eastAsia="SimSun" w:cs="Arial"/>
        </w:rPr>
        <w:fldChar w:fldCharType="begin" w:fldLock="1"/>
      </w:r>
      <w:r w:rsidRPr="00EA0DC7">
        <w:rPr>
          <w:rFonts w:eastAsia="SimSun" w:cs="Arial"/>
        </w:rPr>
        <w:instrText>ADDIN CSL_CITATION { "citationItems" : [ { "id" : "ITEM-1", "itemData" : { "ISSN" : "0022-006X", "PMID" : "8063978", "abstract" : "A total of 117 depressed clients, stratified for severity, completed 8 or 16 sessions of manualized treatment, either cognitive-behavioral psychotherapy (CB) or psychodynamic-interpersonal psychotherapy (PI). Each of 5 clinician-investigators treated clients in all 4 treatment conditions. On most measures, CB and PI were equally effective, irrespective of the severity of depression or the duration of treatment. However, there was evidence of some advantage to CB on the Beck Depression Inventory (Beck, Ward, Mendelson, Mock, &amp; Erbaugh, 1961). There was no evidence that CB's effects were more rapid than those of PI, nor did the effects of each treatment method vary according to the severity of depression. There was no overall advantage to 16-session treatment over 8-session treatment. However, those presenting with relatively severe depression improved substantially more after 16 than after 8 sessions.", "author" : [ { "dropping-particle" : "", "family" : "Shapiro", "given" : "D A", "non-dropping-particle" : "", "parse-names" : false, "suffix" : "" }, { "dropping-particle" : "", "family" : "Barkham", "given" : "M", "non-dropping-particle" : "", "parse-names" : false, "suffix" : "" }, { "dropping-particle" : "", "family" : "Rees", "given" : "A", "non-dropping-particle" : "", "parse-names" : false, "suffix" : "" }, { "dropping-particle" : "", "family" : "Hardy", "given" : "G E", "non-dropping-particle" : "", "parse-names" : false, "suffix" : "" }, { "dropping-particle" : "", "family" : "Reynolds", "given" : "S", "non-dropping-particle" : "", "parse-names" : false, "suffix" : "" }, { "dropping-particle" : "", "family" : "Startup", "given" : "M", "non-dropping-particle" : "", "parse-names" : false, "suffix" : "" } ], "container-title" : "Journal of consulting and clinical psychology", "id" : "ITEM-1", "issue" : "3", "issued" : { "date-parts" : [ [ "1994", "6" ] ] }, "page" : "522-34", "title" : "Effects of treatment duration and severity of depression on the effectiveness of cognitive-behavioral and psychodynamic-interpersonal psychotherapy.", "type" : "article-journal", "volume" : "62" }, "uris" : [ "http://www.mendeley.com/documents/?uuid=2bc8ec3a-6dc2-4ee9-b8e2-34081f97340a" ] } ], "mendeley" : { "formattedCitation" : "(Shapiro et al., 1994)", "plainTextFormattedCitation" : "(Shapiro et al., 1994)", "previouslyFormattedCitation" : "(Shapiro et al., 1994)"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(Shapiro et al., 1994)</w:t>
      </w:r>
      <w:r w:rsidRPr="00EA0DC7">
        <w:rPr>
          <w:rFonts w:eastAsia="SimSun" w:cs="Arial"/>
        </w:rPr>
        <w:fldChar w:fldCharType="end"/>
      </w:r>
      <w:r w:rsidRPr="00EA0DC7">
        <w:rPr>
          <w:rFonts w:eastAsia="SimSun" w:cs="Arial"/>
        </w:rPr>
        <w:t xml:space="preserve">. There is also a possibility that severe </w:t>
      </w:r>
      <w:r w:rsidRPr="00EA0DC7">
        <w:rPr>
          <w:rFonts w:eastAsia="SimSun" w:cs="Arial"/>
        </w:rPr>
        <w:lastRenderedPageBreak/>
        <w:t xml:space="preserve">cases have greater symptom improvement with more experienced therapists, as has been found with treatment for anxiety disorders (Mason, Grey, &amp; Veale, 2016). In addition to severity, case complexity can also have an impact on treatment outcome. When depression is comorbid with other disorders, such as personality disorders </w:t>
      </w:r>
      <w:r w:rsidRPr="00EA0DC7">
        <w:rPr>
          <w:rFonts w:eastAsia="SimSun" w:cs="Arial"/>
        </w:rPr>
        <w:fldChar w:fldCharType="begin" w:fldLock="1"/>
      </w:r>
      <w:r w:rsidRPr="00EA0DC7">
        <w:rPr>
          <w:rFonts w:eastAsia="SimSun" w:cs="Arial"/>
        </w:rPr>
        <w:instrText>ADDIN CSL_CITATION { "citationItems" : [ { "id" : "ITEM-1", "itemData" : { "DOI" : "10.1521/pedi.1993.7.4.304", "ISSN" : "0885-579X", "abstract" : "A sample of depressed and/or anxious inpatients were administered the Structured Clinical Interview for DSM-III-R Axis I and II diagnoses. Measures of symptoms were obtained at hospital admission, at discharge, and at 1-year follow-up. In a subsample of 77 patients with unipolar depression who received psychodynamically oriented treatment, paranoid and dependent PD were related to poorer outcome immediately after treatment. Avoidant PD was negatively related to improvement from posttreatment to 1-year follow-up. The presence of anxiety in the depressed patients did not influence outcome. In a subsample of 36 patients with panic disorder and agoraphobia who received combined behavioral and psychodynamic treatment, neither PDs nor presence of unipolar depression predicted immediate outcome. However, avoidant PD was negatively related, whereas presence of unipolar depression was positively related to improvement from post-treatment to 1-year follow-up. These results suggest that it may be useful to address p...", "author" : [ { "dropping-particle" : "", "family" : "Hoffart", "given" : "Asle", "non-dropping-particle" : "", "parse-names" : false, "suffix" : "" }, { "dropping-particle" : "", "family" : "Martinsen", "given" : "Egil W.", "non-dropping-particle" : "", "parse-names" : false, "suffix" : "" } ], "container-title" : "Journal of Personality Disorders", "id" : "ITEM-1", "issue" : "4", "issued" : { "date-parts" : [ [ "1993", "12", "8" ] ] }, "language" : "en", "page" : "304-311", "publisher" : "Guilford Publications Inc.", "title" : "The Effect of Personality Disorders and Anxious-Depressive Comorbidity On Outcome in Patients with Unipolar Depression and With Panic Disorder and Agoraphobia", "type" : "article-journal", "volume" : "7" }, "uris" : [ "http://www.mendeley.com/documents/?uuid=ced72d7b-0145-4f05-9c5c-560dbe99775f" ] }, { "id" : "ITEM-2", "itemData" : { "DOI" : "10.1176/ajp.150.8.1246", "ISSN" : "0002-953X", "abstract" : "In a group of 25 patients with major depression, the authors investigated the relationships among having a comorbid personality disorder, the severity of psychiatric disorder, and the outcome of dynamic psychotherapy. They found that 1) depressed patients with a comorbid diagnosis of personality disorder had more severe psychiatric disturbance at intake and at termination of therapy as well as at follow-up and 2) although all patients improved and maintained their gains at follow-up, those with a comorbid personality disorder diagnosis did not improve as much as those without a personality disorder.", "author" : [ { "dropping-particle" : "", "family" : "Diguer", "given" : "L.", "non-dropping-particle" : "", "parse-names" : false, "suffix" : "" }, { "dropping-particle" : "", "family" : "Barber", "given" : "J P", "non-dropping-particle" : "", "parse-names" : false, "suffix" : "" }, { "dropping-particle" : "", "family" : "Luborsky", "given" : "L", "non-dropping-particle" : "", "parse-names" : false, "suffix" : "" } ], "container-title" : "American Journal of Psychiatry", "id" : "ITEM-2", "issue" : "8", "issued" : { "date-parts" : [ [ "1993", "8", "1" ] ] }, "language" : "en", "page" : "1246-1248", "publisher" : "American Psychiatric Publishing", "title" : "Three concomitants: personality disorders, psychiatric severity, and outcome of dynamic psychotherapy of major depression", "type" : "article-journal", "volume" : "150" }, "uris" : [ "http://www.mendeley.com/documents/?uuid=debd1c29-8875-4171-a82c-5533d21f0fa6" ] } ], "mendeley" : { "formattedCitation" : "(Diguer, Barber, &amp; Luborsky, 1993; Hoffart &amp; Martinsen, 1993)", "plainTextFormattedCitation" : "(Diguer, Barber, &amp; Luborsky, 1993; Hoffart &amp; Martinsen, 1993)", "previouslyFormattedCitation" : "(Diguer, Barber, &amp; Luborsky, 1993; Hoffart &amp; Martinsen, 1993)"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(Diguer, Barber, &amp; Luborsky, 1993; Hoffart &amp; Martinsen, 1993)</w:t>
      </w:r>
      <w:r w:rsidRPr="00EA0DC7">
        <w:rPr>
          <w:rFonts w:eastAsia="SimSun" w:cs="Arial"/>
        </w:rPr>
        <w:fldChar w:fldCharType="end"/>
      </w:r>
      <w:r w:rsidRPr="00EA0DC7">
        <w:rPr>
          <w:rFonts w:eastAsia="SimSun" w:cs="Arial"/>
        </w:rPr>
        <w:t>, patients make smaller gains. In contrast, those with a low level of complexity make greater gains in treatment (Piette et al. 2011).</w:t>
      </w:r>
    </w:p>
    <w:p w14:paraId="726C948D" w14:textId="48622C1A" w:rsidR="00EC47BB" w:rsidRPr="00EA0DC7" w:rsidRDefault="00EC47BB" w:rsidP="00EC47BB">
      <w:pPr>
        <w:rPr>
          <w:rFonts w:eastAsia="SimSun" w:cs="Arial"/>
        </w:rPr>
      </w:pPr>
      <w:r w:rsidRPr="00EA0DC7">
        <w:rPr>
          <w:rFonts w:eastAsia="SimSun" w:cs="Arial"/>
        </w:rPr>
        <w:tab/>
        <w:t xml:space="preserve">Patient attitudes are associated with therapy outcomes </w:t>
      </w:r>
      <w:r w:rsidRPr="00EA0DC7">
        <w:rPr>
          <w:rFonts w:eastAsia="SimSun" w:cs="Arial"/>
        </w:rPr>
        <w:fldChar w:fldCharType="begin" w:fldLock="1"/>
      </w:r>
      <w:r w:rsidRPr="00EA0DC7">
        <w:rPr>
          <w:rFonts w:eastAsia="SimSun" w:cs="Arial"/>
        </w:rPr>
        <w:instrText>ADDIN CSL_CITATION { "citationItems" : [ { "id" : "ITEM-1", "itemData" : { "DOI" : "10.1016/S0272-7358(02)00106-X", "ISSN" : "02727358", "abstract" : "This review examines the role of patient predictors of outcome in cognitive therapy of depression. Studies that meet eligibility criteria are reviewed for demonstrated linkage between various predictors (i.e., pretreatment severity, historical features, demographic predictors, dysfunctional attitudes and other cognitive features, and treatment acceptability) and outcome, and several effects are found. Notably, high pretreatment severity scores are associated with poorer response to cognitive therapy, as are high chronicity, younger age at onset, an increased number of previous episodes, and marital status. High pretreatment levels of dysfunctional attitudes and certain beliefs about the nature of depression were also found to predict differential response to cognitive therapy of depression. Limitations of the research and directions for further investigations of patient predictors of outcome in cognitive therapy of depression are provided.", "author" : [ { "dropping-particle" : "", "family" : "Hamilton", "given" : "Kate E", "non-dropping-particle" : "", "parse-names" : false, "suffix" : "" }, { "dropping-particle" : "", "family" : "Dobson", "given" : "Keith S", "non-dropping-particle" : "", "parse-names" : false, "suffix" : "" } ], "container-title" : "Clinical Psychology Review", "id" : "ITEM-1", "issue" : "6", "issued" : { "date-parts" : [ [ "2002", "7" ] ] }, "page" : "875-893", "title" : "Cognitive therapy of depression", "type" : "article-journal", "volume" : "22" }, "uris" : [ "http://www.mendeley.com/documents/?uuid=2e3ffdb7-b88b-4eda-be43-d101bf8d21ab" ] } ], "mendeley" : { "formattedCitation" : "(Hamilton &amp; Dobson, 2002)", "plainTextFormattedCitation" : "(Hamilton &amp; Dobson, 2002)", "previouslyFormattedCitation" : "(Hamilton &amp; Dobson, 2002)"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(Hamilton &amp; Dobson, 2002)</w:t>
      </w:r>
      <w:r w:rsidRPr="00EA0DC7">
        <w:rPr>
          <w:rFonts w:eastAsia="SimSun" w:cs="Arial"/>
        </w:rPr>
        <w:fldChar w:fldCharType="end"/>
      </w:r>
      <w:r w:rsidRPr="00EA0DC7">
        <w:rPr>
          <w:rFonts w:eastAsia="SimSun" w:cs="Arial"/>
        </w:rPr>
        <w:t>. In particular, attitudes</w:t>
      </w:r>
      <w:r w:rsidR="00644709">
        <w:rPr>
          <w:rFonts w:eastAsia="SimSun" w:cs="Arial"/>
        </w:rPr>
        <w:t xml:space="preserve"> with the potential to be maladaptive</w:t>
      </w:r>
      <w:r w:rsidRPr="00EA0DC7">
        <w:rPr>
          <w:rFonts w:eastAsia="SimSun" w:cs="Arial"/>
        </w:rPr>
        <w:t xml:space="preserve"> (e.g., perfectionism) are associated with poorer outcomes </w:t>
      </w:r>
      <w:r w:rsidRPr="00EA0DC7">
        <w:rPr>
          <w:rFonts w:eastAsia="SimSun" w:cs="Arial"/>
        </w:rPr>
        <w:fldChar w:fldCharType="begin" w:fldLock="1"/>
      </w:r>
      <w:r w:rsidRPr="00EA0DC7">
        <w:rPr>
          <w:rFonts w:eastAsia="SimSun" w:cs="Arial"/>
        </w:rPr>
        <w:instrText>ADDIN CSL_CITATION { "citationItems" : [ { "id" : "ITEM-1", "itemData" : { "DOI" : "10.1176/foc.4.2.278", "ISSN" : "1541-4094", "author" : [ { "dropping-particle" : "", "family" : "Sotsky", "given" : "Stuart M.", "non-dropping-particle" : "", "parse-names" : false, "suffix" : "" }, { "dropping-particle" : "", "family" : "Glass", "given" : "David R.", "non-dropping-particle" : "", "parse-names" : false, "suffix" : "" }, { "dropping-particle" : "", "family" : "Shea", "given" : "M. Tracie", "non-dropping-particle" : "", "parse-names" : false, "suffix" : "" }, { "dropping-particle" : "", "family" : "Pilkonis", "given" : "Paul a.", "non-dropping-particle" : "", "parse-names" : false, "suffix" : "" }, { "dropping-particle" : "", "family" : "Collins", "given" : "F.", "non-dropping-particle" : "", "parse-names" : false, "suffix" : "" }, { "dropping-particle" : "", "family" : "Elkin", "given" : "Irene", "non-dropping-particle" : "", "parse-names" : false, "suffix" : "" }, { "dropping-particle" : "", "family" : "Watkins", "given" : "John T.", "non-dropping-particle" : "", "parse-names" : false, "suffix" : "" }, { "dropping-particle" : "", "family" : "Imber", "given" : "Stanley D.", "non-dropping-particle" : "", "parse-names" : false, "suffix" : "" }, { "dropping-particle" : "", "family" : "Leber", "given" : "William R.", "non-dropping-particle" : "", "parse-names" : false, "suffix" : "" }, { "dropping-particle" : "", "family" : "Moyer", "given" : "Janet", "non-dropping-particle" : "", "parse-names" : false, "suffix" : "" }, { "dropping-particle" : "", "family" : "Oliveri", "given" : "Mary Ellen", "non-dropping-particle" : "", "parse-names" : false, "suffix" : "" } ], "container-title" : "American Journal of Psychiatry", "id" : "ITEM-1", "issued" : { "date-parts" : [ [ "1991" ] ] }, "page" : "997-1008", "title" : "Patient Predictors of Response to Psychotherapy and Pharmacotherapy: Findings in the NIMH Treatment of Depression Collaborative Research Program", "type" : "article-journal", "volume" : "148" }, "uris" : [ "http://www.mendeley.com/documents/?uuid=312fc5f6-a2df-4fcd-b1a2-f7f3e36eaba8" ] }, { "id" : "ITEM-2", "itemData" : { "abstract" : "The present study attempted to integrate key variables from 3 major domains of theory in depression (cognition, stress, and psychobiology) that are typically studied separately in analyses of course and response to cognitive therapy. Dysfunctional attitudes, negative life events, or sleep electroencephalogram were assessed in 53 outpatients before treatment with cognitive therapy. High levels of dysfunctional attitudes were found to be associated with poorer response to treatment but not for those patients who had experienced a severe negative life event. Examination of the length of time required to achieve remission revealed an effect for rapid eye movement (REM) latency as well as the interaction between REM latency and life events. These results are discussed in terms of the promise of integrative research in the study of depression and its treatment.", "author" : [ { "dropping-particle" : "", "family" : "Simons", "given" : "Anne D.", "non-dropping-particle" : "", "parse-names" : false, "suffix" : "" }, { "dropping-particle" : "", "family" : "Gordon", "given" : "Judith S.", "non-dropping-particle" : "", "parse-names" : false, "suffix" : "" }, { "dropping-particle" : "", "family" : "Monroe", "given" : "Scott M.", "non-dropping-particle" : "", "parse-names" : false, "suffix" : "" }, { "dropping-particle" : "", "family" : "Thase", "given" : "Michael E.", "non-dropping-particle" : "", "parse-names" : false, "suffix" : "" } ], "container-title" : "Journal of Consulting and Clinical Psychology", "id" : "ITEM-2", "issued" : { "date-parts" : [ [ "1995" ] ] }, "page" : "369-377", "title" : "Toward an integration of psychologic, social, and biologic factors in depression: Effects on outcome and course of cognitive therapy.", "type" : "article-journal", "volume" : "63" }, "uris" : [ "http://www.mendeley.com/documents/?uuid=3189864e-dedf-419c-9a18-ac524f9d6864" ] } ], "mendeley" : { "formattedCitation" : "(Simons, Gordon, Monroe, &amp; Thase, 1995; Sotsky et al., 1991)", "plainTextFormattedCitation" : "(Simons, Gordon, Monroe, &amp; Thase, 1995; Sotsky et al., 1991)", "previouslyFormattedCitation" : "(Simons, Gordon, Monroe, &amp; Thase, 1995; Sotsky et al., 1991)"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(Simons, Gordon, Monroe, &amp; Thase, 1995; Sotsky et al., 1991)</w:t>
      </w:r>
      <w:r w:rsidRPr="00EA0DC7">
        <w:rPr>
          <w:rFonts w:eastAsia="SimSun" w:cs="Arial"/>
        </w:rPr>
        <w:fldChar w:fldCharType="end"/>
      </w:r>
      <w:r w:rsidRPr="00EA0DC7">
        <w:rPr>
          <w:rFonts w:eastAsia="SimSun" w:cs="Arial"/>
        </w:rPr>
        <w:t xml:space="preserve">. A lack of motivation can negatively affect treatment outcome </w:t>
      </w:r>
      <w:r w:rsidRPr="00EA0DC7">
        <w:rPr>
          <w:rFonts w:eastAsia="SimSun" w:cs="Arial"/>
        </w:rPr>
        <w:fldChar w:fldCharType="begin" w:fldLock="1"/>
      </w:r>
      <w:r w:rsidRPr="00EA0DC7">
        <w:rPr>
          <w:rFonts w:eastAsia="SimSun" w:cs="Arial"/>
        </w:rPr>
        <w:instrText>ADDIN CSL_CITATION { "citationItems" : [ { "id" : "ITEM-1", "itemData" : { "DOI" : "10.1177/0145445500242006", "ISBN" : "0145-4455", "ISSN" : "0145-4455", "PMID" : "10804683", "abstract" : "Empirical studies are reviewed, the aim being to investigate characteristics of the therapeutic relationship in cognitive-behavior therapy (CBT) and to identify therapist or patient interpersonal behavior that affects treatment outcome. CBT is characterized by a more active and directive stance on the part of the therapists and higher levels of emotional support than are found in insight-oriented psychotherapies. Therapists express high levels of empathy and unconditional positive regard, similar to those expressed by insight-oriented psychotherapists. Two clusters of interpersonal behavior have been identified that are clearly associated with CBT outcome: (a) the Rogerian therapist variables--empathy, nonpossessive warmth, positive regard, and genuineness; and (b) therapeutic alliance. There is some evidence for the impact on outcome of three additional clusters of patient behavior: (a) the patients' perception of the therapist as being self-confident, skillful, and active; (b) the patients' openness to discuss their problems; and (c) the patients' pretreatment predisposition to change and to accept psychological treatment as a means of achieving this. It is further concluded that relationship factors in general have a consistent but moderate impact on CBT outcome.", "author" : [ { "dropping-particle" : "", "family" : "Keijsers", "given" : "G P", "non-dropping-particle" : "", "parse-names" : false, "suffix" : "" }, { "dropping-particle" : "", "family" : "Schaap", "given" : "C P", "non-dropping-particle" : "", "parse-names" : false, "suffix" : "" }, { "dropping-particle" : "", "family" : "Hoogduin", "given" : "C a", "non-dropping-particle" : "", "parse-names" : false, "suffix" : "" } ], "container-title" : "Behavior Modification", "id" : "ITEM-1", "issue" : "2", "issued" : { "date-parts" : [ [ "2000" ] ] }, "page" : "264-297", "title" : "The impact of interpersonal patient and therapist behavior on outcome in cognitive-behavior therapy. A review of empirical studies.", "type" : "article-journal", "volume" : "24" }, "uris" : [ "http://www.mendeley.com/documents/?uuid=94182a4c-659d-47e8-8f25-7112e8141793" ] } ], "mendeley" : { "formattedCitation" : "(Keijsers, Schaap, &amp; Hoogduin, 2000)", "plainTextFormattedCitation" : "(Keijsers, Schaap, &amp; Hoogduin, 2000)", "previouslyFormattedCitation" : "(Keijsers, Schaap, &amp; Hoogduin, 2000)"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(Keijsers, Schaap, &amp; Hoogduin, 2000)</w:t>
      </w:r>
      <w:r w:rsidRPr="00EA0DC7">
        <w:rPr>
          <w:rFonts w:eastAsia="SimSun" w:cs="Arial"/>
        </w:rPr>
        <w:fldChar w:fldCharType="end"/>
      </w:r>
      <w:r w:rsidRPr="00EA0DC7">
        <w:rPr>
          <w:rFonts w:eastAsia="SimSun" w:cs="Arial"/>
        </w:rPr>
        <w:t xml:space="preserve">, Furthermore, when patients do not believe that a therapy is credible, they are more prone to poor outcomes </w:t>
      </w:r>
      <w:r w:rsidRPr="00EA0DC7">
        <w:rPr>
          <w:rFonts w:eastAsia="SimSun" w:cs="Arial"/>
        </w:rPr>
        <w:fldChar w:fldCharType="begin" w:fldLock="1"/>
      </w:r>
      <w:r w:rsidRPr="00EA0DC7">
        <w:rPr>
          <w:rFonts w:eastAsia="SimSun" w:cs="Arial"/>
        </w:rPr>
        <w:instrText>ADDIN CSL_CITATION { "citationItems" : [ { "id" : "ITEM-1", "itemData" : { "DOI" : "10.1016/j.jad.2010.07.002", "ISSN" : "1573-2517", "PMID" : "20674982", "abstract" : "OBJECTIVES: This study examined patient predictors of response to interpersonal psychotherapy (IPT) and cognitive behaviour therapy (CBT). METHOD: Participants were 177 adults with a primary diagnosis of major depressive disorder randomised to 16 weekly sessions of either IPT or CBT. Pre and post treatment depressive symptomatology was assessed by an independent clinician with the Montgomery Asberg Depression Rating Scale. RESULTS: General predictors of response were perceived logic of therapy, recurrent depression and childhood reasons for depression (r\u00b2 =.21). Only one differential predictor of treatment response was identified. Increasing comorbid personality disorder symptoms was associated with decreases in response to IPT but not CBT. CONCLUSION: The results indicate that attention to specific pretreatment patient factors may enhance response to psychotherapy.", "author" : [ { "dropping-particle" : "", "family" : "Carter", "given" : "Janet D", "non-dropping-particle" : "", "parse-names" : false, "suffix" : "" }, { "dropping-particle" : "", "family" : "Luty", "given" : "Suzanne E", "non-dropping-particle" : "", "parse-names" : false, "suffix" : "" }, { "dropping-particle" : "", "family" : "McKenzie", "given" : "Janice M", "non-dropping-particle" : "", "parse-names" : false, "suffix" : "" }, { "dropping-particle" : "", "family" : "Mulder", "given" : "Roger T", "non-dropping-particle" : "", "parse-names" : false, "suffix" : "" }, { "dropping-particle" : "", "family" : "Frampton", "given" : "Christopher M", "non-dropping-particle" : "", "parse-names" : false, "suffix" : "" }, { "dropping-particle" : "", "family" : "Joyce", "given" : "Peter R", "non-dropping-particle" : "", "parse-names" : false, "suffix" : "" } ], "container-title" : "Journal of affective disorders", "id" : "ITEM-1", "issue" : "3", "issued" : { "date-parts" : [ [ "2011", "2" ] ] }, "page" : "252-261", "title" : "Patient predictors of response to cognitive behaviour therapy and interpersonal psychotherapy in a randomised clinical trial for depression.", "type" : "article-journal", "volume" : "128" }, "uris" : [ "http://www.mendeley.com/documents/?uuid=e74ee7de-e1f5-44f4-a2e2-8a4fa14305b1" ] } ], "mendeley" : { "formattedCitation" : "(Carter et al., 2011)", "plainTextFormattedCitation" : "(Carter et al., 2011)", "previouslyFormattedCitation" : "(Carter et al., 2011)"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(Carter et al., 2011)</w:t>
      </w:r>
      <w:r w:rsidRPr="00EA0DC7">
        <w:rPr>
          <w:rFonts w:eastAsia="SimSun" w:cs="Arial"/>
        </w:rPr>
        <w:fldChar w:fldCharType="end"/>
      </w:r>
      <w:r w:rsidRPr="00EA0DC7">
        <w:rPr>
          <w:rFonts w:eastAsia="SimSun" w:cs="Arial"/>
        </w:rPr>
        <w:t xml:space="preserve">. Finally, patients’ expectation of improvement is a predictor of a positive outcome </w:t>
      </w:r>
      <w:r w:rsidRPr="00EA0DC7">
        <w:rPr>
          <w:rFonts w:eastAsia="SimSun" w:cs="Arial"/>
        </w:rPr>
        <w:fldChar w:fldCharType="begin" w:fldLock="1"/>
      </w:r>
      <w:r w:rsidRPr="00EA0DC7">
        <w:rPr>
          <w:rFonts w:eastAsia="SimSun" w:cs="Arial"/>
        </w:rPr>
        <w:instrText>ADDIN CSL_CITATION { "citationItems" : [ { "id" : "ITEM-1", "itemData" : { "DOI" : "10.1176/foc.4.2.278", "ISSN" : "1541-4094", "author" : [ { "dropping-particle" : "", "family" : "Sotsky", "given" : "Stuart M.", "non-dropping-particle" : "", "parse-names" : false, "suffix" : "" }, { "dropping-particle" : "", "family" : "Glass", "given" : "David R.", "non-dropping-particle" : "", "parse-names" : false, "suffix" : "" }, { "dropping-particle" : "", "family" : "Shea", "given" : "M. Tracie", "non-dropping-particle" : "", "parse-names" : false, "suffix" : "" }, { "dropping-particle" : "", "family" : "Pilkonis", "given" : "Paul a.", "non-dropping-particle" : "", "parse-names" : false, "suffix" : "" }, { "dropping-particle" : "", "family" : "Collins", "given" : "F.", "non-dropping-particle" : "", "parse-names" : false, "suffix" : "" }, { "dropping-particle" : "", "family" : "Elkin", "given" : "Irene", "non-dropping-particle" : "", "parse-names" : false, "suffix" : "" }, { "dropping-particle" : "", "family" : "Watkins", "given" : "John T.", "non-dropping-particle" : "", "parse-names" : false, "suffix" : "" }, { "dropping-particle" : "", "family" : "Imber", "given" : "Stanley D.", "non-dropping-particle" : "", "parse-names" : false, "suffix" : "" }, { "dropping-particle" : "", "family" : "Leber", "given" : "William R.", "non-dropping-particle" : "", "parse-names" : false, "suffix" : "" }, { "dropping-particle" : "", "family" : "Moyer", "given" : "Janet", "non-dropping-particle" : "", "parse-names" : false, "suffix" : "" }, { "dropping-particle" : "", "family" : "Oliveri", "given" : "Mary Ellen", "non-dropping-particle" : "", "parse-names" : false, "suffix" : "" } ], "container-title" : "American Journal of Psychiatry", "id" : "ITEM-1", "issued" : { "date-parts" : [ [ "1991" ] ] }, "page" : "997-1008", "title" : "Patient Predictors of Response to Psychotherapy and Pharmacotherapy: Findings in the NIMH Treatment of Depression Collaborative Research Program", "type" : "article-journal", "volume" : "148" }, "uris" : [ "http://www.mendeley.com/documents/?uuid=312fc5f6-a2df-4fcd-b1a2-f7f3e36eaba8" ] } ], "mendeley" : { "formattedCitation" : "(Sotsky et al., 1991)", "plainTextFormattedCitation" : "(Sotsky et al., 1991)" }, "properties" : { "noteIndex" : 0 }, "schema" : "https://github.com/citation-style-language/schema/raw/master/csl-citation.json" }</w:instrText>
      </w:r>
      <w:r w:rsidRPr="00EA0DC7">
        <w:rPr>
          <w:rFonts w:eastAsia="SimSun" w:cs="Arial"/>
        </w:rPr>
        <w:fldChar w:fldCharType="separate"/>
      </w:r>
      <w:r w:rsidRPr="00EA0DC7">
        <w:rPr>
          <w:rFonts w:eastAsia="SimSun" w:cs="Arial"/>
          <w:noProof/>
        </w:rPr>
        <w:t>(Sotsky et al., 1991)</w:t>
      </w:r>
      <w:r w:rsidRPr="00EA0DC7">
        <w:rPr>
          <w:rFonts w:eastAsia="SimSun" w:cs="Arial"/>
        </w:rPr>
        <w:fldChar w:fldCharType="end"/>
      </w:r>
      <w:r w:rsidRPr="00EA0DC7">
        <w:rPr>
          <w:rFonts w:eastAsia="SimSun" w:cs="Arial"/>
        </w:rPr>
        <w:t xml:space="preserve">. </w:t>
      </w:r>
    </w:p>
    <w:p w14:paraId="4A8BEB1F" w14:textId="4B277163" w:rsidR="00EC47BB" w:rsidRPr="00EA0DC7" w:rsidRDefault="00EC47BB" w:rsidP="00EC47BB">
      <w:pPr>
        <w:outlineLvl w:val="2"/>
        <w:rPr>
          <w:rFonts w:eastAsia="SimSun" w:cs="Arial"/>
          <w:b/>
          <w:i/>
          <w:szCs w:val="24"/>
        </w:rPr>
      </w:pPr>
      <w:bookmarkStart w:id="47" w:name="_Toc508809026"/>
      <w:r w:rsidRPr="00EA0DC7">
        <w:rPr>
          <w:rFonts w:eastAsia="SimSun" w:cs="Arial"/>
          <w:b/>
          <w:i/>
          <w:szCs w:val="24"/>
        </w:rPr>
        <w:t>1.4.5 Therapist effects</w:t>
      </w:r>
      <w:bookmarkEnd w:id="47"/>
    </w:p>
    <w:p w14:paraId="74C7CE83" w14:textId="131E2D41" w:rsidR="00EC47BB" w:rsidRPr="00EA0DC7" w:rsidRDefault="00EC47BB" w:rsidP="00EC47BB">
      <w:pPr>
        <w:rPr>
          <w:rFonts w:eastAsia="SimSun" w:cs="Arial"/>
        </w:rPr>
      </w:pPr>
      <w:r w:rsidRPr="00EA0DC7">
        <w:rPr>
          <w:rFonts w:eastAsia="SimSun" w:cs="Arial"/>
        </w:rPr>
        <w:tab/>
        <w:t xml:space="preserve">Therapists themselves can </w:t>
      </w:r>
      <w:r w:rsidR="00D70E2E" w:rsidRPr="00EA0DC7">
        <w:rPr>
          <w:rFonts w:eastAsia="SimSun" w:cs="Arial"/>
        </w:rPr>
        <w:t>influence</w:t>
      </w:r>
      <w:r w:rsidRPr="00EA0DC7">
        <w:rPr>
          <w:rFonts w:eastAsia="SimSun" w:cs="Arial"/>
        </w:rPr>
        <w:t xml:space="preserve"> patient outcome, but this is often minimised in RCTs because they are controlled through, for example, the use of manuals and strict guidance (Crits-Christoph &amp; Mintz, 1991; Roth &amp; Fonagy, 2005). Saxon &amp; Barkham (2012) found that in standard clinical settings, around 6.6% of the variance in patient outcomes is due to the therapist, and this increases to 10% for more severe cases. In addition, recovery rates for individual therapists can vary from 23.5% to 95.6% (Saxon &amp; Barkham, 2012). </w:t>
      </w:r>
      <w:r w:rsidRPr="00EA0DC7">
        <w:rPr>
          <w:rFonts w:eastAsia="SimSun" w:cs="Arial"/>
        </w:rPr>
        <w:lastRenderedPageBreak/>
        <w:t xml:space="preserve">The reason for this variation can be due to a number of factors, such as competence (O’Malley et al., 1988), adherence (DeRubeis &amp; Feely, 1990), personality characteristics (Meyer, Farrell, Kemp, Blakey, &amp; Deacon, 2014, Green, Barkham, Kellett, &amp; Saxon, 2014), experience (Mason et al., 2016), and therapy allegiance (Shaw, 1999). </w:t>
      </w:r>
    </w:p>
    <w:p w14:paraId="304A7805" w14:textId="4756188A" w:rsidR="00EC47BB" w:rsidRPr="00EA0DC7" w:rsidRDefault="00EC47BB" w:rsidP="00EC47BB">
      <w:pPr>
        <w:ind w:firstLine="720"/>
        <w:rPr>
          <w:rFonts w:eastAsia="SimSun" w:cs="Arial"/>
        </w:rPr>
      </w:pPr>
      <w:r w:rsidRPr="00EA0DC7">
        <w:rPr>
          <w:rFonts w:eastAsia="SimSun" w:cs="Arial"/>
        </w:rPr>
        <w:t>There is some evidence that greater therapist competence is related to superior patient outcomes (e.g., O’Malley et al., 1988; Trepka, Rees, Shapiro, Hardy, &amp; Barkham, 2004). However, Barber, Sharpless, Klostermann, and McCarthy (2007) suggest that this relationship is much weaker than might be expected. The authors suggest that there are a few possible explanations for this. First, the range of therapeutic competence within trials is small (all therapists within trials are expected to be competent). Therefore, it is difficult to test for the relationship between competence and outcome. Second, therapist competence is closel</w:t>
      </w:r>
      <w:r w:rsidR="00D70E2E" w:rsidRPr="00EA0DC7">
        <w:rPr>
          <w:rFonts w:eastAsia="SimSun" w:cs="Arial"/>
        </w:rPr>
        <w:t xml:space="preserve">y linked to therapist adherence. </w:t>
      </w:r>
      <w:r w:rsidRPr="00EA0DC7">
        <w:rPr>
          <w:rFonts w:eastAsia="SimSun" w:cs="Arial"/>
        </w:rPr>
        <w:t>Barber et al. (2007) consider adherence to be the ability to demonstrate knowledge of ‘how’ to intervene, and competence to be demonstration of both ‘how’ and</w:t>
      </w:r>
      <w:r w:rsidR="00D70E2E" w:rsidRPr="00EA0DC7">
        <w:rPr>
          <w:rFonts w:eastAsia="SimSun" w:cs="Arial"/>
        </w:rPr>
        <w:t xml:space="preserve"> ‘when’ to intervene</w:t>
      </w:r>
      <w:r w:rsidRPr="00EA0DC7">
        <w:rPr>
          <w:rFonts w:eastAsia="SimSun" w:cs="Arial"/>
        </w:rPr>
        <w:t xml:space="preserve">. Therefore, competence measures are sometimes mistakenly measuring aspects of adherence as well. </w:t>
      </w:r>
    </w:p>
    <w:p w14:paraId="33EB182E" w14:textId="5F4A9B98" w:rsidR="00EC47BB" w:rsidRPr="00EA0DC7" w:rsidRDefault="00EC47BB" w:rsidP="00EC47BB">
      <w:pPr>
        <w:ind w:firstLine="720"/>
        <w:rPr>
          <w:rFonts w:eastAsia="SimSun" w:cs="Arial"/>
        </w:rPr>
      </w:pPr>
      <w:r w:rsidRPr="00EA0DC7">
        <w:rPr>
          <w:rFonts w:eastAsia="SimSun" w:cs="Arial"/>
        </w:rPr>
        <w:t>A lack of adherence to therapy protocols can be referred to as ‘therapist drift’ (Waller, 2009). Even when the patient is told that they are receiving a specific therapy, this does not necessarily happen. Stobie, Taylor, Quigley, Ewing,</w:t>
      </w:r>
      <w:r w:rsidR="00BD19E0" w:rsidRPr="00EA0DC7">
        <w:rPr>
          <w:rFonts w:eastAsia="SimSun" w:cs="Arial"/>
        </w:rPr>
        <w:t xml:space="preserve"> and</w:t>
      </w:r>
      <w:r w:rsidRPr="00EA0DC7">
        <w:rPr>
          <w:rFonts w:eastAsia="SimSun" w:cs="Arial"/>
        </w:rPr>
        <w:t xml:space="preserve"> Salkovskis (2007) found that only 40% of patients who were told they were receiving CBT or behaviour therapy (BT) were actually receiving a form of therapy that met basic CBT or BT criteria. Similarly, Waller, Stringer and Meyer (2012) found that in a sample of CBT clinicians, no single core CBT </w:t>
      </w:r>
      <w:r w:rsidRPr="00EA0DC7">
        <w:rPr>
          <w:rFonts w:eastAsia="SimSun" w:cs="Arial"/>
        </w:rPr>
        <w:lastRenderedPageBreak/>
        <w:t xml:space="preserve">technique was being regularly used by at least half of the group. This lack of adherence to protocols often leads to poorer patient outcomes (DeRubeis &amp; Feely, 1990). Therapist adherence interacts with other therapy variables, e.g. adherence positively predicts therapeutic alliance (Brauhardt et al., 2014; Loeb et al., 2005). Adherence also interacts with patient motivation in such a way that high adherence is actually detrimental for patients with low motivation (Huppert, Barlow, Gorman, Shear, &amp; Woods, 2006). </w:t>
      </w:r>
    </w:p>
    <w:p w14:paraId="5D0B77AC" w14:textId="4FE1D157" w:rsidR="00EC47BB" w:rsidRPr="00EA0DC7" w:rsidRDefault="00EC47BB" w:rsidP="00EC47BB">
      <w:pPr>
        <w:rPr>
          <w:rFonts w:eastAsia="SimSun" w:cs="Arial"/>
        </w:rPr>
      </w:pPr>
      <w:r w:rsidRPr="00EA0DC7">
        <w:rPr>
          <w:rFonts w:eastAsia="SimSun" w:cs="Arial"/>
        </w:rPr>
        <w:tab/>
        <w:t xml:space="preserve">Unfortunately, whether therapists stick to protocols and manuals seems to be </w:t>
      </w:r>
      <w:r w:rsidR="0055082E" w:rsidRPr="00EA0DC7">
        <w:rPr>
          <w:rFonts w:eastAsia="SimSun" w:cs="Arial"/>
        </w:rPr>
        <w:t xml:space="preserve">somewhat </w:t>
      </w:r>
      <w:r w:rsidRPr="00EA0DC7">
        <w:rPr>
          <w:rFonts w:eastAsia="SimSun" w:cs="Arial"/>
        </w:rPr>
        <w:t xml:space="preserve">attributable to their own characteristics, rather than the patients’ characteristics. Effective therapists, who consistently yielded a greater change in their patients, were more resilient, had more confidence in their skills, and had a more proactive approach to therapy than less effective therapists (Green et al., 2014). Waller et al. (2012) found that, based on which techniques they tend to </w:t>
      </w:r>
      <w:r w:rsidR="00220175">
        <w:rPr>
          <w:rFonts w:eastAsia="SimSun" w:cs="Arial"/>
        </w:rPr>
        <w:t>use</w:t>
      </w:r>
      <w:r w:rsidRPr="00EA0DC7">
        <w:rPr>
          <w:rFonts w:eastAsia="SimSun" w:cs="Arial"/>
        </w:rPr>
        <w:t xml:space="preserve"> during therapy, CBT clinicians working with eating disorders fall into one of three groups, and only one of these groups reported high manual use. This indicates that clinicians might stick to their own style of therapy, regardless of </w:t>
      </w:r>
      <w:r w:rsidR="0032699D" w:rsidRPr="00EA0DC7">
        <w:rPr>
          <w:rFonts w:eastAsia="SimSun" w:cs="Arial"/>
        </w:rPr>
        <w:t>whom</w:t>
      </w:r>
      <w:r w:rsidRPr="00EA0DC7">
        <w:rPr>
          <w:rFonts w:eastAsia="SimSun" w:cs="Arial"/>
        </w:rPr>
        <w:t xml:space="preserve"> they are treating, and this style might not even resemble the therapy that they say they are conducting. For example, Meyer et al. (2014) found that therapists are more likely to exclude anxious clients from exposure therapy if they themselves are anxious, despite the clear evidence base for the therapy (e.g., Lohr, Lilenfeld, &amp; Rosen, 2012). </w:t>
      </w:r>
    </w:p>
    <w:p w14:paraId="1BFAEEF5" w14:textId="77777777" w:rsidR="00EC47BB" w:rsidRPr="00EA0DC7" w:rsidRDefault="00EC47BB" w:rsidP="00EC47BB">
      <w:pPr>
        <w:rPr>
          <w:rFonts w:eastAsia="SimSun" w:cs="Arial"/>
        </w:rPr>
      </w:pPr>
      <w:r w:rsidRPr="00EA0DC7">
        <w:rPr>
          <w:rFonts w:eastAsia="SimSun" w:cs="Arial"/>
        </w:rPr>
        <w:tab/>
        <w:t xml:space="preserve">When clinicians are reluctant to adhere to manualised protocols, they often report that they value their clinical experience and that strict guidelines do not adequately reflect such experience (Stewart, Stirman, &amp; Chambless, 2012). However, evidence for therapist experience leading to superior </w:t>
      </w:r>
      <w:r w:rsidRPr="00EA0DC7">
        <w:rPr>
          <w:rFonts w:eastAsia="SimSun" w:cs="Arial"/>
        </w:rPr>
        <w:lastRenderedPageBreak/>
        <w:t xml:space="preserve">outcomes is mixed. Huppert et al. (2001) showed that overall experience conducting psychotherapy is related to positive outcomes, but experience relating to the specific therapy in the study (CBT) is not. More often, research indicates that level of experience or training actually has no impact on treatment outcome (Franklin, Abramowitz, Furr, Kalsy, &amp; Riggs, 2003; Okiishi et al., 2006), unless patient characteristics are again taken into account. When working with clients with severe anxiety, rather than mild or moderate anxiety, qualified therapists outperform trainees (Mason et al., 2016). In addition, experience can be beneficial when working with a patient who is clinically and demographically similar to a recently treated patient (Leon, Martinovich, Lutz, &amp; Lyons, 2005). </w:t>
      </w:r>
    </w:p>
    <w:p w14:paraId="04ADEEF2" w14:textId="4BA4B1ED" w:rsidR="00EC47BB" w:rsidRPr="00EA0DC7" w:rsidRDefault="00EC47BB" w:rsidP="00EC47BB">
      <w:pPr>
        <w:rPr>
          <w:rFonts w:eastAsia="SimSun" w:cs="Arial"/>
        </w:rPr>
      </w:pPr>
      <w:r w:rsidRPr="00EA0DC7">
        <w:rPr>
          <w:rFonts w:eastAsia="SimSun" w:cs="Arial"/>
        </w:rPr>
        <w:tab/>
        <w:t>In an attempt to eliminate therapist effects, research</w:t>
      </w:r>
      <w:r w:rsidR="00BD19E0" w:rsidRPr="00EA0DC7">
        <w:rPr>
          <w:rFonts w:eastAsia="SimSun" w:cs="Arial"/>
        </w:rPr>
        <w:t xml:space="preserve"> that</w:t>
      </w:r>
      <w:r w:rsidRPr="00EA0DC7">
        <w:rPr>
          <w:rFonts w:eastAsia="SimSun" w:cs="Arial"/>
        </w:rPr>
        <w:t xml:space="preserve"> compar</w:t>
      </w:r>
      <w:r w:rsidR="00BD19E0" w:rsidRPr="00EA0DC7">
        <w:rPr>
          <w:rFonts w:eastAsia="SimSun" w:cs="Arial"/>
        </w:rPr>
        <w:t>es</w:t>
      </w:r>
      <w:r w:rsidRPr="00EA0DC7">
        <w:rPr>
          <w:rFonts w:eastAsia="SimSun" w:cs="Arial"/>
        </w:rPr>
        <w:t xml:space="preserve"> outcomes of different psychotherapies often requires the same therapist to deliver all treatments. However, this method does not eliminate allegiance effects (Falkenström, Markowitz, Jonker, Philips, &amp; Holmqvist, 2013). Often therapists will have an allegiance to a specific therapy, believing it to be superior to others (McLeod, 2009). Therefore, they might be more competent and adhere more to the protocol when delivering that specific therapy. In turn, this adherence can lead to superior patient outcomes for the preferred therapy (Shaw, 1999). </w:t>
      </w:r>
    </w:p>
    <w:p w14:paraId="1FB46766" w14:textId="3B2D483A" w:rsidR="00EC47BB" w:rsidRPr="00EA0DC7" w:rsidRDefault="00EC47BB" w:rsidP="00EC47BB">
      <w:pPr>
        <w:rPr>
          <w:rFonts w:eastAsia="SimSun" w:cs="Arial"/>
        </w:rPr>
      </w:pPr>
      <w:r w:rsidRPr="00EA0DC7">
        <w:rPr>
          <w:rFonts w:eastAsia="SimSun" w:cs="Arial"/>
        </w:rPr>
        <w:tab/>
        <w:t xml:space="preserve">Using the same therapist to deliver all treatments also does not eliminate the impact of therapist responsiveness on patient outcome. Therapist responsiveness refers to the way in which a therapist’s behaviour is affected by emerging context, including client behaviours (Stiles, 2009). For example, Hardy, Stiles, Barkham, and Startup (1998) found that </w:t>
      </w:r>
      <w:r w:rsidR="00BD19E0" w:rsidRPr="00EA0DC7">
        <w:rPr>
          <w:rFonts w:eastAsia="SimSun" w:cs="Arial"/>
        </w:rPr>
        <w:t xml:space="preserve">CBT </w:t>
      </w:r>
      <w:r w:rsidRPr="00EA0DC7">
        <w:rPr>
          <w:rFonts w:eastAsia="SimSun" w:cs="Arial"/>
        </w:rPr>
        <w:lastRenderedPageBreak/>
        <w:t>therapists used more affective and relationship-oriented interventions with overinvolved</w:t>
      </w:r>
      <w:r w:rsidR="00BD19E0" w:rsidRPr="00EA0DC7">
        <w:rPr>
          <w:rFonts w:eastAsia="SimSun" w:cs="Arial"/>
        </w:rPr>
        <w:t xml:space="preserve"> than underinvolved</w:t>
      </w:r>
      <w:r w:rsidRPr="00EA0DC7">
        <w:rPr>
          <w:rFonts w:eastAsia="SimSun" w:cs="Arial"/>
        </w:rPr>
        <w:t xml:space="preserve"> patients. In contrast, with underinvolved patients</w:t>
      </w:r>
      <w:r w:rsidR="00BD19E0" w:rsidRPr="00EA0DC7">
        <w:rPr>
          <w:rFonts w:eastAsia="SimSun" w:cs="Arial"/>
        </w:rPr>
        <w:t>, psychodynamic-interpersonal</w:t>
      </w:r>
      <w:r w:rsidRPr="00EA0DC7">
        <w:rPr>
          <w:rFonts w:eastAsia="SimSun" w:cs="Arial"/>
        </w:rPr>
        <w:t xml:space="preserve"> therapists used more cognitive treatment methods</w:t>
      </w:r>
      <w:r w:rsidR="00BD19E0" w:rsidRPr="00EA0DC7">
        <w:rPr>
          <w:rFonts w:eastAsia="SimSun" w:cs="Arial"/>
        </w:rPr>
        <w:t xml:space="preserve"> than with overinvolved patients</w:t>
      </w:r>
      <w:r w:rsidRPr="00EA0DC7">
        <w:rPr>
          <w:rFonts w:eastAsia="SimSun" w:cs="Arial"/>
        </w:rPr>
        <w:t>.</w:t>
      </w:r>
    </w:p>
    <w:p w14:paraId="66EF7158" w14:textId="39CEE025" w:rsidR="00EC47BB" w:rsidRPr="00EA0DC7" w:rsidRDefault="00EC47BB" w:rsidP="00EC47BB">
      <w:pPr>
        <w:outlineLvl w:val="2"/>
        <w:rPr>
          <w:rFonts w:eastAsia="SimSun" w:cs="Arial"/>
          <w:b/>
          <w:i/>
          <w:szCs w:val="24"/>
        </w:rPr>
      </w:pPr>
      <w:bookmarkStart w:id="48" w:name="_Toc508809027"/>
      <w:r w:rsidRPr="00EA0DC7">
        <w:rPr>
          <w:rFonts w:eastAsia="SimSun" w:cs="Arial"/>
          <w:b/>
          <w:i/>
          <w:szCs w:val="24"/>
        </w:rPr>
        <w:t>1.4.6 Summary</w:t>
      </w:r>
      <w:bookmarkEnd w:id="48"/>
    </w:p>
    <w:p w14:paraId="0ADC2D24" w14:textId="3259C62B" w:rsidR="00EC47BB" w:rsidRPr="00EA0DC7" w:rsidRDefault="00EC47BB" w:rsidP="00EC47BB">
      <w:pPr>
        <w:rPr>
          <w:rFonts w:eastAsia="SimSun" w:cs="Arial"/>
        </w:rPr>
      </w:pPr>
      <w:r w:rsidRPr="00EA0DC7">
        <w:rPr>
          <w:rFonts w:eastAsia="SimSun" w:cs="Arial"/>
        </w:rPr>
        <w:tab/>
        <w:t>This review has briefly covered factors that can influence patient outcomes in psychotherapy. These include (but are not limited to) therapy format, therapeutic alliance, patient factors</w:t>
      </w:r>
      <w:r w:rsidR="00F039A0" w:rsidRPr="00EA0DC7">
        <w:rPr>
          <w:rFonts w:eastAsia="SimSun" w:cs="Arial"/>
        </w:rPr>
        <w:t>,</w:t>
      </w:r>
      <w:r w:rsidRPr="00EA0DC7">
        <w:rPr>
          <w:rFonts w:eastAsia="SimSun" w:cs="Arial"/>
        </w:rPr>
        <w:t xml:space="preserve"> and therapist factors. The influence of these factors is complex. They not only directly impact outcome, but can also interact with each other (e.g., Brauhardt et al., 2014). The effect of some of these factors upon outcome is reduced in RCTs when compared to clinical settings (Crits-Christoph &amp; Mintz, 1991; Seligman, 1995). Some of these factors (e.g., therapist adherence) might be reduced in RCTs due to stricter monitoring and supervision in such settings (Gibbons et al., 2013). </w:t>
      </w:r>
    </w:p>
    <w:p w14:paraId="3BBC6E55" w14:textId="77777777" w:rsidR="00EC47BB" w:rsidRPr="00EA0DC7" w:rsidRDefault="00EC47BB" w:rsidP="00EC47BB">
      <w:pPr>
        <w:rPr>
          <w:rFonts w:eastAsia="SimSun" w:cs="Arial"/>
        </w:rPr>
      </w:pPr>
      <w:r w:rsidRPr="00EA0DC7">
        <w:rPr>
          <w:rFonts w:eastAsia="SimSun" w:cs="Arial"/>
        </w:rPr>
        <w:tab/>
        <w:t xml:space="preserve">Unfortunately, there is very little empirical evidence for the impact of clinical supervision. Although there is a widely held assumption that supervision has a positive influence on therapy via therapist behaviour </w:t>
      </w:r>
      <w:r w:rsidRPr="00EA0DC7">
        <w:rPr>
          <w:rFonts w:eastAsia="SimSun" w:cs="Arial"/>
          <w:bCs/>
          <w:noProof/>
        </w:rPr>
        <w:t xml:space="preserve">(Lambert &amp; Ogles, 1997; Milne &amp; James, 2000; Wampold &amp; Holloway, </w:t>
      </w:r>
      <w:r w:rsidRPr="00EA0DC7">
        <w:rPr>
          <w:rFonts w:eastAsia="SimSun" w:cs="Arial"/>
          <w:bCs/>
          <w:noProof/>
          <w:szCs w:val="24"/>
        </w:rPr>
        <w:t>1997)</w:t>
      </w:r>
      <w:r w:rsidRPr="00EA0DC7">
        <w:rPr>
          <w:rFonts w:eastAsia="SimSun" w:cs="Arial"/>
        </w:rPr>
        <w:t>, this assumption might not necessarily be true. Therefore, the role of supervision will be considered now, before moving on to a full review of the literature on this element of psychological therapies – considering both models of supervision and the effectiveness of supervision.</w:t>
      </w:r>
    </w:p>
    <w:p w14:paraId="46E18BD2" w14:textId="61454DA7" w:rsidR="00EC47BB" w:rsidRPr="00EA0DC7" w:rsidRDefault="00EC47BB" w:rsidP="00B328B8">
      <w:pPr>
        <w:keepNext/>
        <w:outlineLvl w:val="1"/>
        <w:rPr>
          <w:rFonts w:eastAsia="SimSun" w:cs="Arial"/>
          <w:b/>
          <w:sz w:val="28"/>
          <w:szCs w:val="24"/>
        </w:rPr>
      </w:pPr>
      <w:bookmarkStart w:id="49" w:name="_Toc508809028"/>
      <w:bookmarkStart w:id="50" w:name="_Toc517453251"/>
      <w:bookmarkStart w:id="51" w:name="_Toc47039827"/>
      <w:r w:rsidRPr="00EA0DC7">
        <w:rPr>
          <w:rFonts w:eastAsia="SimSun" w:cs="Arial"/>
          <w:b/>
          <w:sz w:val="28"/>
          <w:szCs w:val="24"/>
        </w:rPr>
        <w:lastRenderedPageBreak/>
        <w:t>1.5 The importance of supervision of therapists</w:t>
      </w:r>
      <w:bookmarkEnd w:id="49"/>
      <w:bookmarkEnd w:id="50"/>
      <w:bookmarkEnd w:id="51"/>
    </w:p>
    <w:p w14:paraId="55BDC211" w14:textId="77777777" w:rsidR="00EC47BB" w:rsidRPr="00EA0DC7" w:rsidRDefault="00EC47BB" w:rsidP="00EC47BB">
      <w:pPr>
        <w:rPr>
          <w:rFonts w:eastAsia="SimSun" w:cs="Arial"/>
        </w:rPr>
      </w:pPr>
      <w:r w:rsidRPr="00EA0DC7">
        <w:rPr>
          <w:rFonts w:eastAsia="SimSun" w:cs="Arial"/>
        </w:rPr>
        <w:tab/>
        <w:t>Clinical supervision can be described as a forum for supervisees to review and reflect on their clinical practice with the intention of improvement (Carroll, 2007). Proctor (1988) suggests that supervision has three main functions – ‘formative’, ‘restorative’, and ‘normative’. The ‘formative’ nature of supervision refers to the development of skills or the educational aspect, the ‘restorative’ provides the supportive element of supervision, and the ‘normative’ refers to managerial roles and case management. Kadushin (1976) refers to the same aspects of supervision as ‘educational’, ‘supportive’, and ‘managerial’.</w:t>
      </w:r>
    </w:p>
    <w:p w14:paraId="6BCAEAA7" w14:textId="506F498E" w:rsidR="00EC47BB" w:rsidRPr="00EA0DC7" w:rsidRDefault="00EC47BB" w:rsidP="00EC47BB">
      <w:pPr>
        <w:rPr>
          <w:rFonts w:eastAsia="SimSun" w:cs="Arial"/>
          <w:szCs w:val="24"/>
        </w:rPr>
      </w:pPr>
      <w:r w:rsidRPr="00EA0DC7">
        <w:rPr>
          <w:rFonts w:eastAsia="SimSun" w:cs="Arial"/>
        </w:rPr>
        <w:tab/>
        <w:t xml:space="preserve">Supervision is used widely in both clinical and research settings (Roth, Pilling, &amp; Turner, 2010). </w:t>
      </w:r>
      <w:r w:rsidRPr="00EA0DC7">
        <w:rPr>
          <w:rFonts w:eastAsia="SimSun" w:cs="Arial"/>
          <w:szCs w:val="24"/>
        </w:rPr>
        <w:t xml:space="preserve">Although supervision in RCT settings has not been directly compared to supervision in clinical settings, RCT supervision seems to differ from supervision in clinical practice. RCT clinicians receive closer, more structured supervision </w:t>
      </w:r>
      <w:r w:rsidRPr="00EA0DC7">
        <w:rPr>
          <w:rFonts w:eastAsia="SimSun" w:cs="Arial"/>
          <w:noProof/>
          <w:szCs w:val="24"/>
        </w:rPr>
        <w:t>(Gibbons et al., 2013; Roth et al., 2010;</w:t>
      </w:r>
      <w:r w:rsidRPr="00EA0DC7">
        <w:rPr>
          <w:rFonts w:eastAsia="Times New Roman" w:cs="Times New Roman"/>
          <w:noProof/>
        </w:rPr>
        <w:t xml:space="preserve"> Tracey, Bludworth, &amp; Glidden-Tracey, 2012</w:t>
      </w:r>
      <w:r w:rsidRPr="00EA0DC7">
        <w:rPr>
          <w:rFonts w:eastAsia="SimSun" w:cs="Arial"/>
          <w:noProof/>
          <w:szCs w:val="24"/>
        </w:rPr>
        <w:t>)</w:t>
      </w:r>
      <w:r w:rsidR="0055082E" w:rsidRPr="00EA0DC7">
        <w:rPr>
          <w:rFonts w:eastAsia="SimSun" w:cs="Arial"/>
          <w:szCs w:val="24"/>
        </w:rPr>
        <w:t>.</w:t>
      </w:r>
      <w:r w:rsidRPr="00EA0DC7">
        <w:rPr>
          <w:rFonts w:eastAsia="SimSun" w:cs="Arial"/>
          <w:szCs w:val="24"/>
        </w:rPr>
        <w:t xml:space="preserve"> Roth et al. (2010) found that the majority of clinical trials required a minimum of weekly supervision, whereas professional bodies in clinical settings require a minimum of monthly supervision (e.g., British Association for Behavioural and Cognitive Psychotherapies [BABCP, 2012]; British Association for Counselling and Psychotherapy [BACP, 2016]). Therefore, it is possible that the quantity or quality of supervision contributes to differences in patient outcomes between RCTs and clinical settings.</w:t>
      </w:r>
    </w:p>
    <w:p w14:paraId="6298F8C2" w14:textId="77777777" w:rsidR="00EC47BB" w:rsidRPr="00EA0DC7" w:rsidRDefault="00EC47BB" w:rsidP="00EC47BB">
      <w:pPr>
        <w:ind w:firstLine="720"/>
        <w:rPr>
          <w:rFonts w:eastAsia="SimSun" w:cs="Arial"/>
        </w:rPr>
      </w:pPr>
      <w:r w:rsidRPr="00EA0DC7">
        <w:rPr>
          <w:rFonts w:eastAsia="SimSun" w:cs="Arial"/>
        </w:rPr>
        <w:lastRenderedPageBreak/>
        <w:t xml:space="preserve">There is a widely held assumption that supervision ensures positive patient outcomes </w:t>
      </w:r>
      <w:r w:rsidRPr="00EA0DC7">
        <w:rPr>
          <w:rFonts w:eastAsia="SimSun" w:cs="Arial"/>
          <w:bCs/>
          <w:noProof/>
        </w:rPr>
        <w:t xml:space="preserve">(Lambert &amp; Ogles, 1997; Milne &amp; James, 2000; Wampold &amp; Holloway, </w:t>
      </w:r>
      <w:r w:rsidRPr="00EA0DC7">
        <w:rPr>
          <w:rFonts w:eastAsia="SimSun" w:cs="Arial"/>
          <w:bCs/>
          <w:noProof/>
          <w:szCs w:val="24"/>
        </w:rPr>
        <w:t>1997)</w:t>
      </w:r>
      <w:r w:rsidRPr="00EA0DC7">
        <w:rPr>
          <w:rFonts w:eastAsia="SimSun" w:cs="Arial"/>
          <w:szCs w:val="24"/>
        </w:rPr>
        <w:t>.</w:t>
      </w:r>
      <w:r w:rsidRPr="00EA0DC7">
        <w:rPr>
          <w:rFonts w:eastAsia="SimSun" w:cs="Arial"/>
        </w:rPr>
        <w:t xml:space="preserve"> Within research protocols, supervision is often described as necessary to ensure therapist adherence, and many therapy organisations consider regular supervision to be a requirement for therapist accreditation (</w:t>
      </w:r>
      <w:r w:rsidRPr="00EA0DC7">
        <w:rPr>
          <w:rFonts w:eastAsia="SimSun" w:cs="Arial"/>
          <w:noProof/>
          <w:szCs w:val="24"/>
        </w:rPr>
        <w:t>e.g., BABCP, 2012; BACP, 2016</w:t>
      </w:r>
      <w:r w:rsidRPr="00EA0DC7">
        <w:rPr>
          <w:rFonts w:eastAsia="SimSun" w:cs="Arial"/>
        </w:rPr>
        <w:t xml:space="preserve">). Unfortunately, while there are many models describing the optimum way in which to conduct supervision to benefit both therapists and patients </w:t>
      </w:r>
      <w:r w:rsidRPr="00EA0DC7">
        <w:rPr>
          <w:rFonts w:eastAsia="SimSun" w:cs="Arial"/>
          <w:bCs/>
          <w:noProof/>
        </w:rPr>
        <w:t>(e.g., Bernard &amp; Goodyear, 2004; Hawkins &amp; Shohet, 1989; Mead, 1990; Stoltenberg &amp; Delworth, 1987)</w:t>
      </w:r>
      <w:r w:rsidRPr="00EA0DC7">
        <w:rPr>
          <w:rFonts w:eastAsia="SimSun" w:cs="Arial"/>
        </w:rPr>
        <w:t xml:space="preserve">, they are usually based on anecdotal evidence. There is actually very little empirical evidence to support or distinguish them (Watkins, 1998). Given this failure to use the evidence base, there is a need for a clear summary of the evidence as to the role of supervision in impacting on therapy delivery and outcomes. </w:t>
      </w:r>
    </w:p>
    <w:p w14:paraId="218C207E" w14:textId="446EFD44" w:rsidR="00EC47BB" w:rsidRPr="00EA0DC7" w:rsidRDefault="00EC47BB" w:rsidP="00EC47BB">
      <w:pPr>
        <w:outlineLvl w:val="1"/>
        <w:rPr>
          <w:rFonts w:eastAsia="SimSun" w:cs="Arial"/>
          <w:b/>
          <w:sz w:val="28"/>
          <w:szCs w:val="24"/>
        </w:rPr>
      </w:pPr>
      <w:bookmarkStart w:id="52" w:name="_Toc517453252"/>
      <w:bookmarkStart w:id="53" w:name="_Toc47039828"/>
      <w:r w:rsidRPr="00EA0DC7">
        <w:rPr>
          <w:rFonts w:eastAsia="SimSun" w:cs="Arial"/>
          <w:b/>
          <w:sz w:val="28"/>
          <w:szCs w:val="24"/>
        </w:rPr>
        <w:t>1.6 Thesis overview</w:t>
      </w:r>
      <w:bookmarkEnd w:id="52"/>
      <w:bookmarkEnd w:id="53"/>
    </w:p>
    <w:p w14:paraId="17C73879" w14:textId="77777777" w:rsidR="00EC47BB" w:rsidRPr="00EA0DC7" w:rsidRDefault="00EC47BB" w:rsidP="00EC47BB">
      <w:pPr>
        <w:ind w:firstLine="720"/>
        <w:rPr>
          <w:rFonts w:eastAsia="SimSun" w:cs="Arial"/>
        </w:rPr>
      </w:pPr>
      <w:r w:rsidRPr="00EA0DC7">
        <w:rPr>
          <w:rFonts w:eastAsia="SimSun" w:cs="Arial"/>
        </w:rPr>
        <w:t>In this thesis, I will be discussing the use of clinical supervision for therapists using cognitive behaviour therapy (CBT) to treat depression. More specifically, I will be exploring supervision models, evidence for the impact of supervision on both therapists and patients, and factors that can impact the content of supervision (the characteristics of patients, therapists, and the supervisors themselves). The following is a brief overview of the coming chapters.</w:t>
      </w:r>
    </w:p>
    <w:p w14:paraId="50CE445C" w14:textId="214B7618" w:rsidR="00EC47BB" w:rsidRPr="00EA0DC7" w:rsidRDefault="00EC47BB" w:rsidP="00B328B8">
      <w:pPr>
        <w:keepNext/>
        <w:outlineLvl w:val="2"/>
        <w:rPr>
          <w:rFonts w:eastAsia="SimSun" w:cs="Arial"/>
          <w:b/>
          <w:i/>
          <w:szCs w:val="24"/>
        </w:rPr>
      </w:pPr>
      <w:r w:rsidRPr="00EA0DC7">
        <w:rPr>
          <w:rFonts w:eastAsia="SimSun" w:cs="Arial"/>
          <w:b/>
          <w:i/>
          <w:szCs w:val="24"/>
        </w:rPr>
        <w:lastRenderedPageBreak/>
        <w:t>1.6.1 Chapter 2 – How do we know what makes for ‘best practice’ in clinical supervision for psychological therapists? A content analysis of supervisory models and approaches</w:t>
      </w:r>
    </w:p>
    <w:p w14:paraId="1421656D" w14:textId="5B4A29A6" w:rsidR="00EC47BB" w:rsidRPr="00EA0DC7" w:rsidRDefault="00EC47BB" w:rsidP="00EC47BB">
      <w:pPr>
        <w:ind w:firstLine="720"/>
        <w:rPr>
          <w:rFonts w:eastAsia="SimSun" w:cs="Arial"/>
        </w:rPr>
      </w:pPr>
      <w:r w:rsidRPr="00EA0DC7">
        <w:rPr>
          <w:rFonts w:eastAsia="SimSun" w:cs="Arial"/>
        </w:rPr>
        <w:t>Chapter 2 presents a content analysis, which explored the recommendations of</w:t>
      </w:r>
      <w:r w:rsidR="00D07DA4" w:rsidRPr="00EA0DC7">
        <w:rPr>
          <w:rFonts w:eastAsia="SimSun" w:cs="Arial"/>
        </w:rPr>
        <w:t xml:space="preserve"> published</w:t>
      </w:r>
      <w:r w:rsidRPr="00EA0DC7">
        <w:rPr>
          <w:rFonts w:eastAsia="SimSun" w:cs="Arial"/>
        </w:rPr>
        <w:t xml:space="preserve"> supervision models. As the majority of supervision models are not disorder</w:t>
      </w:r>
      <w:r w:rsidR="00D07DA4" w:rsidRPr="00EA0DC7">
        <w:rPr>
          <w:rFonts w:eastAsia="SimSun" w:cs="Arial"/>
        </w:rPr>
        <w:t>-</w:t>
      </w:r>
      <w:r w:rsidRPr="00EA0DC7">
        <w:rPr>
          <w:rFonts w:eastAsia="SimSun" w:cs="Arial"/>
        </w:rPr>
        <w:t xml:space="preserve"> or paradigm</w:t>
      </w:r>
      <w:r w:rsidR="00D07DA4" w:rsidRPr="00EA0DC7">
        <w:rPr>
          <w:rFonts w:eastAsia="SimSun" w:cs="Arial"/>
        </w:rPr>
        <w:t>-</w:t>
      </w:r>
      <w:r w:rsidRPr="00EA0DC7">
        <w:rPr>
          <w:rFonts w:eastAsia="SimSun" w:cs="Arial"/>
        </w:rPr>
        <w:t>specific, all forms of supervision model were included. The review identified which aspects of supervision are consistent across models and which are not. Models were found to focus more on formative aspects of supervision, rather than normative or restorative. Few models focused on the patient in therapy and instead directed their attention to the supervisee and supervisor. Finally, none of the models were clearly or adequately empirically based.</w:t>
      </w:r>
    </w:p>
    <w:p w14:paraId="603CBE91" w14:textId="6AE4C96F" w:rsidR="00EC47BB" w:rsidRPr="00EA0DC7" w:rsidRDefault="00EC47BB" w:rsidP="00EC47BB">
      <w:pPr>
        <w:outlineLvl w:val="2"/>
        <w:rPr>
          <w:rFonts w:eastAsia="SimSun" w:cs="Arial"/>
          <w:b/>
          <w:i/>
          <w:szCs w:val="24"/>
        </w:rPr>
      </w:pPr>
      <w:r w:rsidRPr="00EA0DC7">
        <w:rPr>
          <w:rFonts w:eastAsia="SimSun" w:cs="Arial"/>
          <w:b/>
          <w:i/>
          <w:szCs w:val="24"/>
        </w:rPr>
        <w:t xml:space="preserve">1.6.2 Chapter 3 – Does clinical supervision contribute to therapist and patient outcomes? A </w:t>
      </w:r>
      <w:r w:rsidR="0055082E" w:rsidRPr="00EA0DC7">
        <w:rPr>
          <w:rFonts w:eastAsia="SimSun" w:cs="Arial"/>
          <w:b/>
          <w:i/>
          <w:szCs w:val="24"/>
        </w:rPr>
        <w:t>meta-analysis</w:t>
      </w:r>
    </w:p>
    <w:p w14:paraId="76672ABA" w14:textId="55CA862B" w:rsidR="0055082E" w:rsidRPr="00EA0DC7" w:rsidRDefault="00EC47BB" w:rsidP="00B328B8">
      <w:pPr>
        <w:rPr>
          <w:rFonts w:eastAsia="SimSun" w:cs="Arial"/>
        </w:rPr>
      </w:pPr>
      <w:r w:rsidRPr="00EA0DC7">
        <w:rPr>
          <w:rFonts w:eastAsia="SimSun" w:cs="Arial"/>
          <w:i/>
        </w:rPr>
        <w:tab/>
      </w:r>
      <w:r w:rsidRPr="00EA0DC7">
        <w:rPr>
          <w:rFonts w:eastAsia="SimSun" w:cs="Arial"/>
        </w:rPr>
        <w:t xml:space="preserve">In order to examine the empirical evidence for clinical supervision, </w:t>
      </w:r>
      <w:r w:rsidR="0055082E" w:rsidRPr="00EA0DC7">
        <w:rPr>
          <w:rFonts w:eastAsia="SimSun" w:cs="Arial"/>
        </w:rPr>
        <w:t>two meta-analyses are</w:t>
      </w:r>
      <w:r w:rsidRPr="00EA0DC7">
        <w:rPr>
          <w:rFonts w:eastAsia="SimSun" w:cs="Arial"/>
        </w:rPr>
        <w:t xml:space="preserve"> presented in Chapter 3. </w:t>
      </w:r>
      <w:r w:rsidR="0055082E" w:rsidRPr="00EA0DC7">
        <w:rPr>
          <w:rFonts w:eastAsia="SimSun" w:cs="Arial"/>
        </w:rPr>
        <w:t xml:space="preserve">The aim of these meta-analyses was to investigate the effect of supervision on both supervisees and patients. </w:t>
      </w:r>
      <w:r w:rsidRPr="00EA0DC7">
        <w:rPr>
          <w:rFonts w:eastAsia="SimSun" w:cs="Arial"/>
        </w:rPr>
        <w:t xml:space="preserve">Due to the lack of empirical research in the area, studies of all disorders and therapeutic paradigms were included. </w:t>
      </w:r>
      <w:r w:rsidR="0055082E" w:rsidRPr="00EA0DC7">
        <w:rPr>
          <w:rFonts w:cs="Arial"/>
          <w:szCs w:val="24"/>
        </w:rPr>
        <w:t>Supervision was found to have a moderate, positive effect on supervisees</w:t>
      </w:r>
      <w:r w:rsidR="00CE6A44" w:rsidRPr="00EA0DC7">
        <w:rPr>
          <w:rFonts w:cs="Arial"/>
          <w:szCs w:val="24"/>
        </w:rPr>
        <w:t>,</w:t>
      </w:r>
      <w:r w:rsidR="0055082E" w:rsidRPr="00EA0DC7">
        <w:rPr>
          <w:rFonts w:cs="Arial"/>
          <w:szCs w:val="24"/>
        </w:rPr>
        <w:t xml:space="preserve"> but a non-significant effect on patients.</w:t>
      </w:r>
      <w:r w:rsidR="009B2A47" w:rsidRPr="00EA0DC7">
        <w:rPr>
          <w:rFonts w:cs="Arial"/>
          <w:szCs w:val="24"/>
        </w:rPr>
        <w:t xml:space="preserve"> Moderator analyses were limited due to the small number of studies. There was some evidence that controlled studies investigating supervisee effects had larger effect sizes</w:t>
      </w:r>
      <w:r w:rsidR="00CE6A44" w:rsidRPr="00EA0DC7">
        <w:rPr>
          <w:rFonts w:cs="Arial"/>
          <w:szCs w:val="24"/>
        </w:rPr>
        <w:t xml:space="preserve"> than non-controlled</w:t>
      </w:r>
      <w:r w:rsidR="00D07DA4" w:rsidRPr="00EA0DC7">
        <w:rPr>
          <w:rFonts w:cs="Arial"/>
          <w:szCs w:val="24"/>
        </w:rPr>
        <w:t xml:space="preserve"> studies</w:t>
      </w:r>
      <w:r w:rsidR="009B2A47" w:rsidRPr="00EA0DC7">
        <w:rPr>
          <w:rFonts w:cs="Arial"/>
          <w:szCs w:val="24"/>
        </w:rPr>
        <w:t xml:space="preserve">. Whether </w:t>
      </w:r>
      <w:r w:rsidR="004E76A9" w:rsidRPr="00EA0DC7">
        <w:rPr>
          <w:rFonts w:cs="Arial"/>
          <w:szCs w:val="24"/>
        </w:rPr>
        <w:lastRenderedPageBreak/>
        <w:t>supervisees were</w:t>
      </w:r>
      <w:r w:rsidR="009B2A47" w:rsidRPr="00EA0DC7">
        <w:rPr>
          <w:rFonts w:cs="Arial"/>
          <w:szCs w:val="24"/>
        </w:rPr>
        <w:t xml:space="preserve"> </w:t>
      </w:r>
      <w:r w:rsidR="00D07DA4" w:rsidRPr="00EA0DC7">
        <w:rPr>
          <w:rFonts w:cs="Arial"/>
          <w:szCs w:val="24"/>
        </w:rPr>
        <w:t>qualified</w:t>
      </w:r>
      <w:r w:rsidR="009B2A47" w:rsidRPr="00EA0DC7">
        <w:rPr>
          <w:rFonts w:cs="Arial"/>
          <w:szCs w:val="24"/>
        </w:rPr>
        <w:t xml:space="preserve"> and supervision frequency were also potential moderators of effect size.</w:t>
      </w:r>
    </w:p>
    <w:p w14:paraId="46907E3B" w14:textId="6A3C60D9" w:rsidR="00EC47BB" w:rsidRPr="00EA0DC7" w:rsidRDefault="00EC47BB" w:rsidP="00EC47BB">
      <w:pPr>
        <w:outlineLvl w:val="2"/>
        <w:rPr>
          <w:rFonts w:eastAsia="SimSun" w:cs="Arial"/>
          <w:b/>
          <w:i/>
          <w:szCs w:val="24"/>
        </w:rPr>
      </w:pPr>
      <w:r w:rsidRPr="00EA0DC7">
        <w:rPr>
          <w:rFonts w:eastAsia="SimSun" w:cs="Arial"/>
          <w:b/>
          <w:i/>
          <w:szCs w:val="24"/>
        </w:rPr>
        <w:t xml:space="preserve">1.6.3 Chapter 4 – Supervisor practice when guiding therapists working with depression: The impact of supervisor and patient characteristics </w:t>
      </w:r>
    </w:p>
    <w:p w14:paraId="30478223" w14:textId="77777777" w:rsidR="00EC47BB" w:rsidRPr="00EA0DC7" w:rsidRDefault="00EC47BB" w:rsidP="00EC47BB">
      <w:pPr>
        <w:widowControl w:val="0"/>
        <w:rPr>
          <w:rFonts w:eastAsia="SimSun" w:cs="Arial"/>
        </w:rPr>
      </w:pPr>
      <w:r w:rsidRPr="00EA0DC7">
        <w:rPr>
          <w:rFonts w:eastAsia="SimSun" w:cs="Arial"/>
        </w:rPr>
        <w:tab/>
        <w:t>Chapter 4 presents an empirical study exploring how supervisors’ own characteristics and those of patients can influence the focus of supervision sessions. Participants were clinical supervisors who supervised CBT therapists working with patients with depression. Supervisors were asked to indicate their supervision focus for three different patient cases, which varied in clinical complexity. Participants’ intolerance of uncertainty and their self-esteem were also assessed. Supervisors tended to focus their supervisees on the use of evidence-based therapeutic techniques for both straightforward and complex cases. However, their approach was less evidence-based for diffuse cases. Three supervisory types emerged, and which group the supervisor fell into was related to their personal characteristics. Findings indicate that supervisors are influenced by factors outside of supervision.</w:t>
      </w:r>
    </w:p>
    <w:p w14:paraId="42585759" w14:textId="4B91A241" w:rsidR="00EC47BB" w:rsidRPr="00EA0DC7" w:rsidRDefault="00EC47BB" w:rsidP="00EC47BB">
      <w:pPr>
        <w:outlineLvl w:val="2"/>
        <w:rPr>
          <w:rFonts w:eastAsia="SimSun" w:cs="Arial"/>
          <w:b/>
          <w:i/>
          <w:szCs w:val="24"/>
        </w:rPr>
      </w:pPr>
      <w:r w:rsidRPr="00EA0DC7">
        <w:rPr>
          <w:rFonts w:eastAsia="SimSun" w:cs="Arial"/>
          <w:b/>
          <w:i/>
          <w:szCs w:val="24"/>
        </w:rPr>
        <w:t>1.6.4 Chapter 5 – Supervision for depression: An experimental study of the role of therapist gender and anxiety</w:t>
      </w:r>
    </w:p>
    <w:p w14:paraId="521BDAFB" w14:textId="77777777" w:rsidR="00EC47BB" w:rsidRPr="00EA0DC7" w:rsidRDefault="00EC47BB" w:rsidP="00EC47BB">
      <w:pPr>
        <w:widowControl w:val="0"/>
        <w:spacing w:after="0"/>
        <w:rPr>
          <w:rFonts w:eastAsia="SimSun" w:cs="Arial"/>
        </w:rPr>
      </w:pPr>
      <w:r w:rsidRPr="00EA0DC7">
        <w:rPr>
          <w:rFonts w:eastAsia="SimSun" w:cs="Arial"/>
        </w:rPr>
        <w:tab/>
        <w:t xml:space="preserve">Chapter 5 reports a second empirical study. This study explored how supervisee and supervisor characteristics impacted the focus of supervision sessions. Similar to the study reported in Chapter 4, supervisors indicated their supervision focus for three supervision cases. While the patient complexity remained the same, supervisee anxiety and gender varied across vignettes. Supervisors focused calm female supervisees more on therapeutic techniques </w:t>
      </w:r>
      <w:r w:rsidRPr="00EA0DC7">
        <w:rPr>
          <w:rFonts w:eastAsia="SimSun" w:cs="Arial"/>
        </w:rPr>
        <w:lastRenderedPageBreak/>
        <w:t>than state anxious female supervisees. Males were supervised in the same way, regardless of their anxiety. Both male and female supervisors had this pattern of focus. Findings indicate that supervision is influenced by supervisors' own biases towards their supervisees. The anxiety of the supervisors themselves also impacted their recommendations for supervision.</w:t>
      </w:r>
    </w:p>
    <w:p w14:paraId="11ACAD5F" w14:textId="061D9EF2" w:rsidR="00EC47BB" w:rsidRPr="00EA0DC7" w:rsidRDefault="00EC47BB" w:rsidP="00105AF6">
      <w:pPr>
        <w:spacing w:before="240"/>
        <w:outlineLvl w:val="2"/>
        <w:rPr>
          <w:rFonts w:eastAsia="SimSun" w:cs="Arial"/>
          <w:b/>
          <w:i/>
          <w:szCs w:val="24"/>
        </w:rPr>
      </w:pPr>
      <w:r w:rsidRPr="00EA0DC7">
        <w:rPr>
          <w:rFonts w:eastAsia="SimSun" w:cs="Arial"/>
          <w:b/>
          <w:i/>
          <w:szCs w:val="24"/>
        </w:rPr>
        <w:t>1.6.5 Chapter 6</w:t>
      </w:r>
      <w:r w:rsidR="00CE6A44" w:rsidRPr="00EA0DC7">
        <w:rPr>
          <w:rStyle w:val="Heading3Char"/>
        </w:rPr>
        <w:t xml:space="preserve"> – The role of supervision for depression: Dealing with non-adherence from patients and therapists</w:t>
      </w:r>
    </w:p>
    <w:p w14:paraId="0CCA95D2" w14:textId="267A4518" w:rsidR="00216CB4" w:rsidRPr="00EA0DC7" w:rsidRDefault="00EC47BB" w:rsidP="00EC47BB">
      <w:pPr>
        <w:widowControl w:val="0"/>
        <w:spacing w:after="0"/>
        <w:rPr>
          <w:rFonts w:eastAsia="SimSun" w:cs="Arial"/>
        </w:rPr>
      </w:pPr>
      <w:r w:rsidRPr="00EA0DC7">
        <w:rPr>
          <w:rFonts w:eastAsia="SimSun" w:cs="Arial"/>
        </w:rPr>
        <w:tab/>
        <w:t xml:space="preserve">Chapter 6 presents </w:t>
      </w:r>
      <w:r w:rsidR="00CE6A44" w:rsidRPr="00EA0DC7">
        <w:rPr>
          <w:rFonts w:eastAsia="SimSun" w:cs="Arial"/>
        </w:rPr>
        <w:t>three mini-</w:t>
      </w:r>
      <w:r w:rsidR="005731FC" w:rsidRPr="00EA0DC7">
        <w:rPr>
          <w:rFonts w:eastAsia="SimSun" w:cs="Arial"/>
        </w:rPr>
        <w:t xml:space="preserve">studies </w:t>
      </w:r>
      <w:r w:rsidRPr="00EA0DC7">
        <w:rPr>
          <w:rFonts w:eastAsia="SimSun" w:cs="Arial"/>
        </w:rPr>
        <w:t xml:space="preserve">investigating the effect of non-adherence </w:t>
      </w:r>
      <w:r w:rsidR="007C2230" w:rsidRPr="00EA0DC7">
        <w:rPr>
          <w:rFonts w:eastAsia="SimSun" w:cs="Arial"/>
        </w:rPr>
        <w:t xml:space="preserve">to behavioural activation </w:t>
      </w:r>
      <w:r w:rsidRPr="00EA0DC7">
        <w:rPr>
          <w:rFonts w:eastAsia="SimSun" w:cs="Arial"/>
        </w:rPr>
        <w:t>on the focus of supervision sessions.</w:t>
      </w:r>
      <w:r w:rsidR="005731FC" w:rsidRPr="00EA0DC7">
        <w:rPr>
          <w:rFonts w:eastAsia="SimSun" w:cs="Arial"/>
        </w:rPr>
        <w:t xml:space="preserve"> All three studies used the same paradigm as in the previous two chapters. Study 3a explored the impact of </w:t>
      </w:r>
      <w:r w:rsidR="007C2230" w:rsidRPr="00EA0DC7">
        <w:rPr>
          <w:rFonts w:eastAsia="SimSun" w:cs="Arial"/>
        </w:rPr>
        <w:t xml:space="preserve">a </w:t>
      </w:r>
      <w:r w:rsidR="00CE6A44" w:rsidRPr="00EA0DC7">
        <w:rPr>
          <w:rFonts w:eastAsia="SimSun" w:cs="Arial"/>
        </w:rPr>
        <w:t xml:space="preserve">lack of supervisee adherence on </w:t>
      </w:r>
      <w:r w:rsidR="007C2230" w:rsidRPr="00EA0DC7">
        <w:rPr>
          <w:rFonts w:eastAsia="SimSun" w:cs="Arial"/>
        </w:rPr>
        <w:t>supervisor recommendations.</w:t>
      </w:r>
      <w:r w:rsidR="00CE6A44" w:rsidRPr="00EA0DC7">
        <w:rPr>
          <w:rFonts w:eastAsia="SimSun" w:cs="Arial"/>
        </w:rPr>
        <w:t xml:space="preserve"> The supervisees in the vignettes varied in anxiety and gender.</w:t>
      </w:r>
      <w:r w:rsidR="007C2230" w:rsidRPr="00EA0DC7">
        <w:rPr>
          <w:rFonts w:eastAsia="SimSun" w:cs="Arial"/>
        </w:rPr>
        <w:t xml:space="preserve"> All male supervisees were treated in the same way, regardless of their anxiety. There appeared to be a specific effect relating to trait anxious females. Supervisors were less likely to encourage a return to behavioural activation for this group.</w:t>
      </w:r>
      <w:r w:rsidR="00216CB4" w:rsidRPr="00EA0DC7">
        <w:rPr>
          <w:rFonts w:eastAsia="SimSun" w:cs="Arial"/>
        </w:rPr>
        <w:t xml:space="preserve"> </w:t>
      </w:r>
    </w:p>
    <w:p w14:paraId="6CEE4194" w14:textId="1B6E7846" w:rsidR="00216CB4" w:rsidRPr="00EA0DC7" w:rsidRDefault="007C2230" w:rsidP="00216CB4">
      <w:pPr>
        <w:widowControl w:val="0"/>
        <w:spacing w:after="0"/>
        <w:ind w:firstLine="720"/>
        <w:rPr>
          <w:rFonts w:eastAsia="SimSun" w:cs="Arial"/>
        </w:rPr>
      </w:pPr>
      <w:r w:rsidRPr="00EA0DC7">
        <w:rPr>
          <w:rFonts w:eastAsia="SimSun" w:cs="Arial"/>
        </w:rPr>
        <w:t>The vignettes in Study 3b again described a supervisee who was not adhering to behavioural activation. This time the supervisee varied in experience level and the patient varied in complexity. In this study</w:t>
      </w:r>
      <w:r w:rsidR="00CE6A44" w:rsidRPr="00EA0DC7">
        <w:rPr>
          <w:rFonts w:eastAsia="SimSun" w:cs="Arial"/>
        </w:rPr>
        <w:t>,</w:t>
      </w:r>
      <w:r w:rsidRPr="00EA0DC7">
        <w:rPr>
          <w:rFonts w:eastAsia="SimSun" w:cs="Arial"/>
        </w:rPr>
        <w:t xml:space="preserve"> the supervisors’ recommendations did not vary with the </w:t>
      </w:r>
      <w:r w:rsidR="00216CB4" w:rsidRPr="00EA0DC7">
        <w:rPr>
          <w:rFonts w:eastAsia="SimSun" w:cs="Arial"/>
        </w:rPr>
        <w:t>characteristics</w:t>
      </w:r>
      <w:r w:rsidRPr="00EA0DC7">
        <w:rPr>
          <w:rFonts w:eastAsia="SimSun" w:cs="Arial"/>
        </w:rPr>
        <w:t xml:space="preserve"> of the supervisee or patient.</w:t>
      </w:r>
      <w:r w:rsidR="00216CB4" w:rsidRPr="00EA0DC7">
        <w:rPr>
          <w:rFonts w:eastAsia="SimSun" w:cs="Arial"/>
        </w:rPr>
        <w:t xml:space="preserve"> </w:t>
      </w:r>
    </w:p>
    <w:p w14:paraId="105A93DE" w14:textId="3251FDB9" w:rsidR="00216CB4" w:rsidRPr="00EA0DC7" w:rsidRDefault="007C2230" w:rsidP="00216CB4">
      <w:pPr>
        <w:widowControl w:val="0"/>
        <w:spacing w:after="0"/>
        <w:ind w:firstLine="720"/>
        <w:rPr>
          <w:rFonts w:eastAsia="SimSun" w:cs="Arial"/>
        </w:rPr>
      </w:pPr>
      <w:r w:rsidRPr="00EA0DC7">
        <w:rPr>
          <w:rFonts w:eastAsia="SimSun" w:cs="Arial"/>
        </w:rPr>
        <w:t xml:space="preserve">Study 3c had vignettes varying in supervisee gender and anxiety (as </w:t>
      </w:r>
      <w:r w:rsidR="00216CB4" w:rsidRPr="00EA0DC7">
        <w:rPr>
          <w:rFonts w:eastAsia="SimSun" w:cs="Arial"/>
        </w:rPr>
        <w:t>in Study 3a)</w:t>
      </w:r>
      <w:r w:rsidRPr="00EA0DC7">
        <w:rPr>
          <w:rFonts w:eastAsia="SimSun" w:cs="Arial"/>
        </w:rPr>
        <w:t xml:space="preserve"> </w:t>
      </w:r>
      <w:r w:rsidR="00CE6A44" w:rsidRPr="00EA0DC7">
        <w:rPr>
          <w:rFonts w:eastAsia="SimSun" w:cs="Arial"/>
        </w:rPr>
        <w:t>however;</w:t>
      </w:r>
      <w:r w:rsidRPr="00EA0DC7">
        <w:rPr>
          <w:rFonts w:eastAsia="SimSun" w:cs="Arial"/>
        </w:rPr>
        <w:t xml:space="preserve"> </w:t>
      </w:r>
      <w:r w:rsidR="00216CB4" w:rsidRPr="00EA0DC7">
        <w:rPr>
          <w:rFonts w:eastAsia="SimSun" w:cs="Arial"/>
        </w:rPr>
        <w:t xml:space="preserve">this study investigated the impact of patient non-adherence. All male supervisees were given the same guidance, but calm </w:t>
      </w:r>
      <w:r w:rsidR="00216CB4" w:rsidRPr="00EA0DC7">
        <w:rPr>
          <w:rFonts w:eastAsia="SimSun" w:cs="Arial"/>
        </w:rPr>
        <w:lastRenderedPageBreak/>
        <w:t xml:space="preserve">female supervisees were guided towards behavioural activation more than trait anxious female </w:t>
      </w:r>
      <w:r w:rsidR="00105AF6" w:rsidRPr="00EA0DC7">
        <w:rPr>
          <w:rFonts w:eastAsia="SimSun" w:cs="Arial"/>
        </w:rPr>
        <w:t>supervisees were</w:t>
      </w:r>
      <w:r w:rsidR="00216CB4" w:rsidRPr="00EA0DC7">
        <w:rPr>
          <w:rFonts w:eastAsia="SimSun" w:cs="Arial"/>
        </w:rPr>
        <w:t xml:space="preserve">. </w:t>
      </w:r>
    </w:p>
    <w:p w14:paraId="0435A7F2" w14:textId="77777777" w:rsidR="00FB04B0" w:rsidRPr="00EA0DC7" w:rsidRDefault="00216CB4" w:rsidP="00FB04B0">
      <w:pPr>
        <w:widowControl w:val="0"/>
        <w:spacing w:after="0"/>
        <w:ind w:firstLine="720"/>
      </w:pPr>
      <w:r w:rsidRPr="00EA0DC7">
        <w:rPr>
          <w:rFonts w:eastAsia="SimSun" w:cs="Arial"/>
        </w:rPr>
        <w:t>Across the three mini-studies, supervisors tended to focus more on alliance and case management work than on technique work. However, the majority of supervisors lack</w:t>
      </w:r>
      <w:r w:rsidR="00CE6A44" w:rsidRPr="00EA0DC7">
        <w:rPr>
          <w:rFonts w:eastAsia="SimSun" w:cs="Arial"/>
        </w:rPr>
        <w:t>ed</w:t>
      </w:r>
      <w:r w:rsidRPr="00EA0DC7">
        <w:rPr>
          <w:rFonts w:eastAsia="SimSun" w:cs="Arial"/>
        </w:rPr>
        <w:t xml:space="preserve"> much focus in </w:t>
      </w:r>
      <w:r w:rsidRPr="00EA0DC7">
        <w:t>supervision. Mos</w:t>
      </w:r>
      <w:r w:rsidR="00CE6A44" w:rsidRPr="00EA0DC7">
        <w:t>t supervisors fe</w:t>
      </w:r>
      <w:r w:rsidRPr="00EA0DC7">
        <w:t>ll into natural groupings with very low focus on</w:t>
      </w:r>
      <w:r w:rsidR="00AC1A54" w:rsidRPr="00EA0DC7">
        <w:t xml:space="preserve"> any aspect </w:t>
      </w:r>
      <w:r w:rsidRPr="00EA0DC7">
        <w:t>of supervision.</w:t>
      </w:r>
    </w:p>
    <w:p w14:paraId="649CAE3E" w14:textId="1414FCDF" w:rsidR="00EC47BB" w:rsidRPr="00EA0DC7" w:rsidRDefault="00EC47BB" w:rsidP="00FB04B0">
      <w:pPr>
        <w:pStyle w:val="Heading3"/>
        <w:spacing w:before="240"/>
      </w:pPr>
      <w:r w:rsidRPr="00EA0DC7">
        <w:t>1.6.6 Chapter 7 – General discussion</w:t>
      </w:r>
    </w:p>
    <w:p w14:paraId="6499A379" w14:textId="01D9FB4C" w:rsidR="00B93088" w:rsidRPr="00EA0DC7" w:rsidRDefault="00216CB4" w:rsidP="00105AF6">
      <w:pPr>
        <w:rPr>
          <w:rFonts w:cs="Arial"/>
          <w:b/>
          <w:sz w:val="32"/>
          <w:szCs w:val="32"/>
        </w:rPr>
      </w:pPr>
      <w:r w:rsidRPr="00EA0DC7">
        <w:tab/>
        <w:t>In Chapter 7, findings from across the thesis are synthesised. These findings are discussed within the context of the empirical supervision literature, the supervision models literature, and wider psychology theory. Recommendations are made for clinical and service improvement, including increased monitoring of supervision</w:t>
      </w:r>
      <w:r w:rsidR="00B47931" w:rsidRPr="00EA0DC7">
        <w:t>,</w:t>
      </w:r>
      <w:r w:rsidRPr="00EA0DC7">
        <w:t xml:space="preserve"> and </w:t>
      </w:r>
      <w:r w:rsidR="00B47931" w:rsidRPr="00EA0DC7">
        <w:t xml:space="preserve">training and protocols highlighting potential supervisor biases. A number of research implications are outlined and ideas for future research are proposed. Suggestions for future research include, similar investigations for other therapies and disorders, and the use of observational and actual clinical data in future research paradigms. </w:t>
      </w:r>
      <w:r w:rsidR="00B93088" w:rsidRPr="00EA0DC7">
        <w:br w:type="page"/>
      </w:r>
    </w:p>
    <w:p w14:paraId="2A603D5C" w14:textId="5291C9A6" w:rsidR="0026064C" w:rsidRPr="00EA0DC7" w:rsidRDefault="0026064C" w:rsidP="003447C9">
      <w:pPr>
        <w:pStyle w:val="Heading1"/>
        <w:ind w:left="0"/>
      </w:pPr>
      <w:bookmarkStart w:id="54" w:name="_Toc47039829"/>
      <w:bookmarkStart w:id="55" w:name="_Toc508812076"/>
      <w:bookmarkStart w:id="56" w:name="_Ref447646231"/>
      <w:r w:rsidRPr="00EA0DC7">
        <w:lastRenderedPageBreak/>
        <w:t>– How do we know what makes for ‘best practice’ in clinical supervision for psychological therapists? A content analysis of supervisory models and approaches</w:t>
      </w:r>
      <w:bookmarkEnd w:id="54"/>
    </w:p>
    <w:p w14:paraId="491EA945" w14:textId="77777777" w:rsidR="0026064C" w:rsidRPr="00EA0DC7" w:rsidRDefault="0026064C" w:rsidP="0026064C">
      <w:pPr>
        <w:rPr>
          <w:rFonts w:eastAsia="Times New Roman" w:cs="Times New Roman"/>
        </w:rPr>
      </w:pPr>
    </w:p>
    <w:p w14:paraId="38509468" w14:textId="78A8F391" w:rsidR="0026064C" w:rsidRDefault="0026064C" w:rsidP="0026064C">
      <w:pPr>
        <w:rPr>
          <w:rFonts w:eastAsia="Times New Roman" w:cs="Times New Roman"/>
        </w:rPr>
      </w:pPr>
      <w:r w:rsidRPr="00EA0DC7">
        <w:rPr>
          <w:rFonts w:eastAsia="Times New Roman" w:cs="Times New Roman"/>
        </w:rPr>
        <w:t xml:space="preserve">This chapter is adapted from Simpson-Southward, C., Waller, G., &amp; Hardy, G. E. (2017). How do we know what makes for “best practice” in clinical supervision for psychological therapists? A content analysis of supervisory models and approaches. </w:t>
      </w:r>
      <w:r w:rsidRPr="00EA0DC7">
        <w:rPr>
          <w:rFonts w:eastAsia="Times New Roman" w:cs="Times New Roman"/>
          <w:i/>
        </w:rPr>
        <w:t xml:space="preserve">Clinical Psychology and Psychotherapy, 24, </w:t>
      </w:r>
      <w:r w:rsidRPr="00EA0DC7">
        <w:rPr>
          <w:rFonts w:eastAsia="Times New Roman" w:cs="Times New Roman"/>
        </w:rPr>
        <w:t>1228–1245.</w:t>
      </w:r>
    </w:p>
    <w:p w14:paraId="0990D876" w14:textId="77777777" w:rsidR="00341F9C" w:rsidRDefault="00341F9C" w:rsidP="00341F9C">
      <w:pPr>
        <w:rPr>
          <w:b/>
        </w:rPr>
      </w:pPr>
    </w:p>
    <w:p w14:paraId="0494F8AA" w14:textId="1AD9F64A" w:rsidR="0088671F" w:rsidRPr="00AB3804" w:rsidRDefault="0088671F" w:rsidP="00341F9C">
      <w:pPr>
        <w:rPr>
          <w:b/>
        </w:rPr>
      </w:pPr>
      <w:commentRangeStart w:id="57"/>
      <w:r w:rsidRPr="00AB3804">
        <w:rPr>
          <w:b/>
        </w:rPr>
        <w:t>Abstract</w:t>
      </w:r>
      <w:r w:rsidR="00341F9C">
        <w:rPr>
          <w:b/>
        </w:rPr>
        <w:t xml:space="preserve">. </w:t>
      </w:r>
      <w:commentRangeEnd w:id="57"/>
      <w:r w:rsidR="00C864F7">
        <w:rPr>
          <w:rStyle w:val="CommentReference"/>
          <w:rFonts w:eastAsiaTheme="minorHAnsi"/>
          <w:lang w:eastAsia="en-US"/>
        </w:rPr>
        <w:commentReference w:id="57"/>
      </w:r>
      <w:r w:rsidRPr="0088671F">
        <w:rPr>
          <w:rFonts w:eastAsia="Times New Roman" w:cs="Times New Roman"/>
        </w:rPr>
        <w:t xml:space="preserve">Clinical supervision for psychotherapies is widely used in clinical and research contexts. Supervision is often assumed to ensure therapy adherence and positive client outcomes, but there is little empirical research to support this contention. Regardless, there are numerous supervision models, but it is not known how consistent their recommendations are. This review aimed to identify which aspects of supervision are consistent across models, and which are not. A content analysis of 52 models revealed 71 supervisory elements. Models focus more on supervisee learning and/or development (88.46%), but less on emotional aspects of work (61.54%) or managerial/ethical responsibilities (57.69%). Most models focused on the supervisee (94.23%) and supervisor (80.77%), rather than the client (48.08%) or monitoring client outcomes (13.46%). Finally, none of the models were </w:t>
      </w:r>
      <w:r w:rsidRPr="0088671F">
        <w:rPr>
          <w:rFonts w:eastAsia="Times New Roman" w:cs="Times New Roman"/>
        </w:rPr>
        <w:lastRenderedPageBreak/>
        <w:t>clearly or adequately empirically based. While we might expect clinical supervision to contribute to positive client outcomes, the existing models have limited client focus and are inconsistent. Therefore, it is not currently recommended that one should assume that the use of such models will ensure consistent clinician practice or positive therapeutic outcomes.</w:t>
      </w:r>
    </w:p>
    <w:p w14:paraId="065A398B" w14:textId="77777777" w:rsidR="0026064C" w:rsidRPr="00EA0DC7" w:rsidRDefault="0026064C" w:rsidP="0026064C">
      <w:pPr>
        <w:rPr>
          <w:rFonts w:eastAsia="Times New Roman" w:cs="Times New Roman"/>
        </w:rPr>
      </w:pPr>
    </w:p>
    <w:p w14:paraId="4E5E4237" w14:textId="77777777" w:rsidR="0026064C" w:rsidRPr="00EA0DC7" w:rsidRDefault="0026064C" w:rsidP="001027B1">
      <w:pPr>
        <w:outlineLvl w:val="1"/>
        <w:rPr>
          <w:rFonts w:eastAsia="SimSun" w:cs="Arial"/>
          <w:b/>
          <w:sz w:val="28"/>
          <w:szCs w:val="24"/>
        </w:rPr>
      </w:pPr>
      <w:bookmarkStart w:id="58" w:name="_Toc517453254"/>
      <w:bookmarkStart w:id="59" w:name="_Toc47039830"/>
      <w:r w:rsidRPr="00EA0DC7">
        <w:rPr>
          <w:rFonts w:eastAsia="SimSun" w:cs="Arial"/>
          <w:b/>
          <w:sz w:val="28"/>
          <w:szCs w:val="24"/>
        </w:rPr>
        <w:t>2.1 Background and aims</w:t>
      </w:r>
      <w:bookmarkEnd w:id="58"/>
      <w:bookmarkEnd w:id="59"/>
    </w:p>
    <w:p w14:paraId="111F2514" w14:textId="77777777" w:rsidR="0026064C" w:rsidRPr="00EA0DC7" w:rsidRDefault="0026064C" w:rsidP="0026064C">
      <w:pPr>
        <w:ind w:firstLine="720"/>
        <w:rPr>
          <w:rFonts w:eastAsia="Times New Roman" w:cs="Times New Roman"/>
        </w:rPr>
      </w:pPr>
      <w:r w:rsidRPr="00EA0DC7">
        <w:rPr>
          <w:rFonts w:eastAsia="Times New Roman" w:cs="Times New Roman"/>
        </w:rPr>
        <w:t>The majority of the literature on clinical supervision of psychological therapists is in the form of theoretical models or approaches to supervision. Often these models are diverse and suggest many different ways to conduct supervision. In order to create a coherent picture of the supervision model literature, the current chapter presents a content analysis of the literature. Although this thesis is focused on treatments for depression, most psychotherapy supervision models are not disorder or paradigm specific. Therefore, this review considered all forms of supervision model in psychotherapy, as they all have potential to be used within depression treatments.</w:t>
      </w:r>
    </w:p>
    <w:p w14:paraId="72DE35B9" w14:textId="53BC27B4" w:rsidR="0026064C" w:rsidRPr="00EA0DC7" w:rsidRDefault="0026064C" w:rsidP="0026064C">
      <w:pPr>
        <w:rPr>
          <w:rFonts w:eastAsia="Times New Roman" w:cs="Times New Roman"/>
        </w:rPr>
      </w:pPr>
      <w:r w:rsidRPr="00EA0DC7">
        <w:rPr>
          <w:rFonts w:eastAsia="Times New Roman" w:cs="Times New Roman"/>
        </w:rPr>
        <w:tab/>
        <w:t xml:space="preserve">Supervision is conducted in a number of different settings and takes a variety of different forms (Kilminster &amp; Jolly, 2000), but it usually involves a relationship between senior and junior members of a profession, which is intended to enhance personal functioning and has aspects of evaluation and monitoring </w:t>
      </w:r>
      <w:r w:rsidRPr="00EA0DC7">
        <w:rPr>
          <w:rFonts w:eastAsia="Times New Roman" w:cs="Times New Roman"/>
          <w:noProof/>
        </w:rPr>
        <w:t>(Bernard &amp; Goodyear, 2004)</w:t>
      </w:r>
      <w:r w:rsidRPr="00EA0DC7">
        <w:rPr>
          <w:rFonts w:eastAsia="Times New Roman" w:cs="Times New Roman"/>
        </w:rPr>
        <w:t xml:space="preserve">. </w:t>
      </w:r>
      <w:r w:rsidR="0061557C" w:rsidRPr="00EA0DC7">
        <w:rPr>
          <w:rFonts w:eastAsia="Times New Roman" w:cs="Times New Roman"/>
        </w:rPr>
        <w:t>Three core functions of supervision</w:t>
      </w:r>
      <w:r w:rsidRPr="00EA0DC7">
        <w:rPr>
          <w:rFonts w:eastAsia="Times New Roman" w:cs="Times New Roman"/>
        </w:rPr>
        <w:t xml:space="preserve"> appear </w:t>
      </w:r>
      <w:r w:rsidR="0061557C" w:rsidRPr="00EA0DC7">
        <w:rPr>
          <w:rFonts w:eastAsia="Times New Roman" w:cs="Times New Roman"/>
        </w:rPr>
        <w:t>repeatedly</w:t>
      </w:r>
      <w:r w:rsidRPr="00EA0DC7">
        <w:rPr>
          <w:rFonts w:eastAsia="Times New Roman" w:cs="Times New Roman"/>
        </w:rPr>
        <w:t xml:space="preserve"> throughout the literature. </w:t>
      </w:r>
      <w:r w:rsidRPr="00EA0DC7">
        <w:rPr>
          <w:rFonts w:eastAsia="Times New Roman" w:cs="Times New Roman"/>
          <w:noProof/>
        </w:rPr>
        <w:t>Proctor (1988)</w:t>
      </w:r>
      <w:r w:rsidRPr="00EA0DC7">
        <w:rPr>
          <w:rFonts w:eastAsia="Times New Roman" w:cs="Times New Roman"/>
        </w:rPr>
        <w:t xml:space="preserve"> describes them as ‘normative’ (managerial and ethical responsibilities), ‘formative’ (education </w:t>
      </w:r>
      <w:r w:rsidRPr="00EA0DC7">
        <w:rPr>
          <w:rFonts w:eastAsia="Times New Roman" w:cs="Times New Roman"/>
        </w:rPr>
        <w:lastRenderedPageBreak/>
        <w:t xml:space="preserve">and development of the supervisee), and ‘restorative’ (emotional aspects of work) functions. </w:t>
      </w:r>
      <w:r w:rsidRPr="00EA0DC7">
        <w:rPr>
          <w:rFonts w:eastAsia="Times New Roman" w:cs="Times New Roman"/>
          <w:noProof/>
        </w:rPr>
        <w:t>Kadushin (1976)</w:t>
      </w:r>
      <w:r w:rsidRPr="00EA0DC7">
        <w:rPr>
          <w:rFonts w:eastAsia="Times New Roman" w:cs="Times New Roman"/>
        </w:rPr>
        <w:t xml:space="preserve"> labels the same functions as ‘managerial,’ ‘educational,’ and ‘supportive’.</w:t>
      </w:r>
    </w:p>
    <w:p w14:paraId="51BFE2A8" w14:textId="77777777" w:rsidR="0026064C" w:rsidRPr="00EA0DC7" w:rsidRDefault="0026064C" w:rsidP="0026064C">
      <w:pPr>
        <w:ind w:firstLine="720"/>
        <w:rPr>
          <w:rFonts w:eastAsia="Times New Roman" w:cs="Times New Roman"/>
        </w:rPr>
      </w:pPr>
      <w:r w:rsidRPr="00EA0DC7">
        <w:rPr>
          <w:rFonts w:eastAsia="Times New Roman" w:cs="Times New Roman"/>
        </w:rPr>
        <w:t xml:space="preserve">Supervision is widely used in both clinical and research settings </w:t>
      </w:r>
      <w:r w:rsidRPr="00EA0DC7">
        <w:rPr>
          <w:rFonts w:eastAsia="Times New Roman" w:cs="Times New Roman"/>
          <w:noProof/>
        </w:rPr>
        <w:t>(O’Donovan, Halford, &amp; Walters, 2011</w:t>
      </w:r>
      <w:r w:rsidRPr="00EA0DC7">
        <w:rPr>
          <w:rFonts w:eastAsia="Times New Roman" w:cs="Arial"/>
          <w:noProof/>
          <w:szCs w:val="24"/>
        </w:rPr>
        <w:t xml:space="preserve">; </w:t>
      </w:r>
      <w:r w:rsidRPr="00EA0DC7">
        <w:rPr>
          <w:rFonts w:eastAsia="Times New Roman" w:cs="Times New Roman"/>
          <w:noProof/>
        </w:rPr>
        <w:t>Roth et al., 2010)</w:t>
      </w:r>
      <w:r w:rsidRPr="00EA0DC7">
        <w:rPr>
          <w:rFonts w:eastAsia="Times New Roman" w:cs="Times New Roman"/>
        </w:rPr>
        <w:t xml:space="preserve">. Many professional bodies require therapists to have supervision both during training and after </w:t>
      </w:r>
      <w:r w:rsidRPr="00EA0DC7">
        <w:rPr>
          <w:rFonts w:eastAsia="Times New Roman" w:cs="Times New Roman"/>
          <w:noProof/>
        </w:rPr>
        <w:t>(Lambert &amp; Ogles, 1997; Roth &amp; Pilling, 2007)</w:t>
      </w:r>
      <w:r w:rsidRPr="00EA0DC7">
        <w:rPr>
          <w:rFonts w:eastAsia="Times New Roman" w:cs="Times New Roman"/>
        </w:rPr>
        <w:t xml:space="preserve">, and receiving therapist accreditation is often reliant on regular supervision </w:t>
      </w:r>
      <w:r w:rsidRPr="00EA0DC7">
        <w:rPr>
          <w:rFonts w:eastAsia="Times New Roman" w:cs="Times New Roman"/>
          <w:noProof/>
        </w:rPr>
        <w:t>(Milne, 1998; O’Donovan et al., 2011)</w:t>
      </w:r>
      <w:r w:rsidRPr="00EA0DC7">
        <w:rPr>
          <w:rFonts w:eastAsia="Times New Roman" w:cs="Times New Roman"/>
        </w:rPr>
        <w:t xml:space="preserve">. There has been a concomitant rise in training and accreditation for supervision itself </w:t>
      </w:r>
      <w:r w:rsidRPr="00EA0DC7">
        <w:rPr>
          <w:rFonts w:eastAsia="Times New Roman" w:cs="Times New Roman"/>
          <w:noProof/>
        </w:rPr>
        <w:t>(Peake, Nussbaum, &amp; Tindell, 2002)</w:t>
      </w:r>
      <w:r w:rsidRPr="00EA0DC7">
        <w:rPr>
          <w:rFonts w:eastAsia="Times New Roman" w:cs="Times New Roman"/>
        </w:rPr>
        <w:t xml:space="preserve">. Reasons for the recommendation of supervision are multiple, including the belief that supervision will ensure therapist adherence and promote high-quality healthcare, resulting in positive patient outcomes </w:t>
      </w:r>
      <w:r w:rsidRPr="00EA0DC7">
        <w:rPr>
          <w:rFonts w:eastAsia="Times New Roman" w:cs="Times New Roman"/>
          <w:noProof/>
        </w:rPr>
        <w:t>(Ellis &amp; Ladany, 1997; Milne &amp; James, 2000)</w:t>
      </w:r>
      <w:r w:rsidRPr="00EA0DC7">
        <w:rPr>
          <w:rFonts w:eastAsia="Times New Roman" w:cs="Times New Roman"/>
        </w:rPr>
        <w:t>.</w:t>
      </w:r>
    </w:p>
    <w:p w14:paraId="496728F6" w14:textId="77777777" w:rsidR="0026064C" w:rsidRPr="00EA0DC7" w:rsidRDefault="0026064C" w:rsidP="0026064C">
      <w:pPr>
        <w:rPr>
          <w:rFonts w:eastAsia="Times New Roman" w:cs="Times New Roman"/>
        </w:rPr>
      </w:pPr>
      <w:r w:rsidRPr="00EA0DC7">
        <w:rPr>
          <w:rFonts w:eastAsia="Times New Roman" w:cs="Times New Roman"/>
        </w:rPr>
        <w:tab/>
        <w:t xml:space="preserve">While such assumptions are widely held, they largely remain assumptions at present. There is limited research into the impact of clinical supervision </w:t>
      </w:r>
      <w:r w:rsidRPr="00EA0DC7">
        <w:rPr>
          <w:rFonts w:eastAsia="Times New Roman" w:cs="Times New Roman"/>
          <w:noProof/>
        </w:rPr>
        <w:t>(O’Donovan et al., 2011)</w:t>
      </w:r>
      <w:r w:rsidRPr="00EA0DC7">
        <w:rPr>
          <w:rFonts w:eastAsia="Times New Roman" w:cs="Times New Roman"/>
        </w:rPr>
        <w:t xml:space="preserve">, particularly on patient outcomes </w:t>
      </w:r>
      <w:r w:rsidRPr="00EA0DC7">
        <w:rPr>
          <w:rFonts w:eastAsia="Times New Roman" w:cs="Times New Roman"/>
          <w:noProof/>
        </w:rPr>
        <w:t>(Watkins, 2011)</w:t>
      </w:r>
      <w:r w:rsidRPr="00EA0DC7">
        <w:rPr>
          <w:rFonts w:eastAsia="Times New Roman" w:cs="Times New Roman"/>
        </w:rPr>
        <w:t xml:space="preserve">. Where there is research, results are inconsistent. Supervision can increase therapist adherence </w:t>
      </w:r>
      <w:r w:rsidRPr="00EA0DC7">
        <w:rPr>
          <w:rFonts w:eastAsia="Times New Roman" w:cs="Times New Roman"/>
          <w:noProof/>
        </w:rPr>
        <w:t>(Schoenwald, Sheidow, &amp; Chapman, 2009)</w:t>
      </w:r>
      <w:r w:rsidRPr="00EA0DC7">
        <w:rPr>
          <w:rFonts w:eastAsia="Times New Roman" w:cs="Times New Roman"/>
        </w:rPr>
        <w:t xml:space="preserve"> and perceived therapeutic effectiveness </w:t>
      </w:r>
      <w:r w:rsidRPr="00EA0DC7">
        <w:rPr>
          <w:rFonts w:eastAsia="Times New Roman" w:cs="Times New Roman"/>
          <w:noProof/>
        </w:rPr>
        <w:t>(Livni, Crowe, &amp; Gonsalvez, 2012)</w:t>
      </w:r>
      <w:r w:rsidRPr="00EA0DC7">
        <w:rPr>
          <w:rFonts w:eastAsia="Times New Roman" w:cs="Times New Roman"/>
        </w:rPr>
        <w:t xml:space="preserve">, but how these findings translate to patient outcome data is less clear. </w:t>
      </w:r>
      <w:r w:rsidRPr="00EA0DC7">
        <w:rPr>
          <w:rFonts w:eastAsia="Times New Roman" w:cs="Times New Roman"/>
          <w:noProof/>
        </w:rPr>
        <w:t>Callahan, Almstrom, Swift, Borja, &amp; Heath (2009)</w:t>
      </w:r>
      <w:r w:rsidRPr="00EA0DC7">
        <w:rPr>
          <w:rFonts w:eastAsia="Times New Roman" w:cs="Times New Roman"/>
        </w:rPr>
        <w:t xml:space="preserve"> demonstrate that supervisors might account for around 16% of the variance in patient outcome, while other researchers looking at patient outcomes have found that supervision can increase therapeutic alliance, reduce symptoms, and increase </w:t>
      </w:r>
      <w:r w:rsidRPr="00EA0DC7">
        <w:rPr>
          <w:rFonts w:eastAsia="Times New Roman" w:cs="Times New Roman"/>
        </w:rPr>
        <w:lastRenderedPageBreak/>
        <w:t xml:space="preserve">retention rates </w:t>
      </w:r>
      <w:r w:rsidRPr="00EA0DC7">
        <w:rPr>
          <w:rFonts w:eastAsia="Times New Roman" w:cs="Times New Roman"/>
          <w:noProof/>
        </w:rPr>
        <w:t>(Bambling, King, Raue, Schweitzer, &amp; Lambert, 2006; Bradshaw, Butterworth, &amp; Mairs, 2007)</w:t>
      </w:r>
      <w:r w:rsidRPr="00EA0DC7">
        <w:rPr>
          <w:rFonts w:eastAsia="Times New Roman" w:cs="Times New Roman"/>
        </w:rPr>
        <w:t xml:space="preserve">. However, some research indicates no impact on patient outcome </w:t>
      </w:r>
      <w:r w:rsidRPr="00EA0DC7">
        <w:rPr>
          <w:rFonts w:eastAsia="Times New Roman" w:cs="Times New Roman"/>
          <w:noProof/>
        </w:rPr>
        <w:t>(White &amp; Winstanley, 2010)</w:t>
      </w:r>
      <w:r w:rsidRPr="00EA0DC7">
        <w:rPr>
          <w:rFonts w:eastAsia="Times New Roman" w:cs="Times New Roman"/>
        </w:rPr>
        <w:t xml:space="preserve">. </w:t>
      </w:r>
    </w:p>
    <w:p w14:paraId="159B4EB8" w14:textId="205AEB0F" w:rsidR="0026064C" w:rsidRPr="00EA0DC7" w:rsidRDefault="0026064C" w:rsidP="0026064C">
      <w:pPr>
        <w:rPr>
          <w:rFonts w:eastAsia="Times New Roman" w:cs="Times New Roman"/>
        </w:rPr>
      </w:pPr>
      <w:r w:rsidRPr="00EA0DC7">
        <w:rPr>
          <w:rFonts w:eastAsia="Times New Roman" w:cs="Times New Roman"/>
        </w:rPr>
        <w:tab/>
        <w:t xml:space="preserve">Although there is some indication that supervision can have a positive effect </w:t>
      </w:r>
      <w:r w:rsidRPr="00EA0DC7">
        <w:rPr>
          <w:rFonts w:eastAsia="Times New Roman" w:cs="Times New Roman"/>
          <w:noProof/>
        </w:rPr>
        <w:t>(Bambling et al., 2006; Bradshaw et al., 2007)</w:t>
      </w:r>
      <w:r w:rsidRPr="00EA0DC7">
        <w:rPr>
          <w:rFonts w:eastAsia="Times New Roman" w:cs="Times New Roman"/>
        </w:rPr>
        <w:t xml:space="preserve">, universal guidelines on best practices in supervision are lacking </w:t>
      </w:r>
      <w:r w:rsidRPr="00EA0DC7">
        <w:rPr>
          <w:rFonts w:eastAsia="Times New Roman" w:cs="Times New Roman"/>
          <w:noProof/>
        </w:rPr>
        <w:t>(Roth &amp; Pilling, 2007)</w:t>
      </w:r>
      <w:r w:rsidRPr="00EA0DC7">
        <w:rPr>
          <w:rFonts w:eastAsia="Times New Roman" w:cs="Times New Roman"/>
        </w:rPr>
        <w:t xml:space="preserve">. This lack of clear guidance might be responsible for some of the inconsistent results in supervision research, as outlined above. Some training and governing bodies identify their own guidelines for supervision </w:t>
      </w:r>
      <w:commentRangeStart w:id="60"/>
      <w:r w:rsidRPr="00EA0DC7">
        <w:rPr>
          <w:rFonts w:eastAsia="Times New Roman" w:cs="Times New Roman"/>
        </w:rPr>
        <w:t>(e.g.,</w:t>
      </w:r>
      <w:r w:rsidR="000A1F88">
        <w:rPr>
          <w:rFonts w:eastAsia="Times New Roman" w:cs="Times New Roman"/>
        </w:rPr>
        <w:t xml:space="preserve"> The National Board for Certified Councelors, the American Association of State Counselor Boards;</w:t>
      </w:r>
      <w:r w:rsidRPr="00EA0DC7">
        <w:rPr>
          <w:rFonts w:eastAsia="Times New Roman" w:cs="Times New Roman"/>
        </w:rPr>
        <w:t xml:space="preserve"> </w:t>
      </w:r>
      <w:r w:rsidRPr="00EA0DC7">
        <w:rPr>
          <w:rFonts w:eastAsia="Times New Roman" w:cs="Times New Roman"/>
          <w:noProof/>
        </w:rPr>
        <w:t>Borders, 2014)</w:t>
      </w:r>
      <w:commentRangeEnd w:id="60"/>
      <w:r w:rsidR="00BA47BB">
        <w:rPr>
          <w:rStyle w:val="CommentReference"/>
          <w:rFonts w:eastAsiaTheme="minorHAnsi"/>
          <w:lang w:eastAsia="en-US"/>
        </w:rPr>
        <w:commentReference w:id="60"/>
      </w:r>
      <w:r w:rsidRPr="00EA0DC7">
        <w:rPr>
          <w:rFonts w:eastAsia="Times New Roman" w:cs="Times New Roman"/>
        </w:rPr>
        <w:t xml:space="preserve">, but there is no ‘gold standard’ supervision manual, as there are for individual therapies. Instead, there are a number of models or approaches to clinical supervision. While these models are widely discussed </w:t>
      </w:r>
      <w:r w:rsidRPr="00EA0DC7">
        <w:rPr>
          <w:rFonts w:eastAsia="Times New Roman" w:cs="Times New Roman"/>
          <w:noProof/>
        </w:rPr>
        <w:t>(Carroll, 1996; Hawkins &amp; Shohet, 1993; Scaife, 2001)</w:t>
      </w:r>
      <w:r w:rsidRPr="00EA0DC7">
        <w:rPr>
          <w:rFonts w:eastAsia="Times New Roman" w:cs="Times New Roman"/>
        </w:rPr>
        <w:t>, the full content of models has not been assessed or compared. Therefore, it is not clear whether a consistent message is being communicated about how we should be conducting supervision.</w:t>
      </w:r>
    </w:p>
    <w:p w14:paraId="0227AB29" w14:textId="77777777" w:rsidR="0026064C" w:rsidRPr="00EA0DC7" w:rsidRDefault="0026064C" w:rsidP="0026064C">
      <w:pPr>
        <w:ind w:firstLine="720"/>
        <w:rPr>
          <w:rFonts w:eastAsia="Times New Roman" w:cs="Times New Roman"/>
        </w:rPr>
      </w:pPr>
      <w:r w:rsidRPr="00EA0DC7">
        <w:rPr>
          <w:rFonts w:eastAsia="Times New Roman" w:cs="Times New Roman"/>
        </w:rPr>
        <w:t xml:space="preserve">Consequently, there is a need for a systematic analysis of the supervision model literature, to determine the consistencies and differences across models. This review is the first to examine the content of the many supervision models that exist for psychotherapies, to determine whether supervisors are receiving consistent messages regarding how best to deliver supervision. In short, if the content is not reliable across models, then the validity of supervisory models (or some of them) has to be questionable, and </w:t>
      </w:r>
      <w:r w:rsidRPr="00EA0DC7">
        <w:rPr>
          <w:rFonts w:eastAsia="Times New Roman" w:cs="Times New Roman"/>
        </w:rPr>
        <w:lastRenderedPageBreak/>
        <w:t xml:space="preserve">it is not clear which should be treated as suitable for enhancing clinical practice. </w:t>
      </w:r>
    </w:p>
    <w:p w14:paraId="46DDEDDB" w14:textId="33B335CA" w:rsidR="0026064C" w:rsidRPr="00EA0DC7" w:rsidRDefault="0026064C" w:rsidP="0026064C">
      <w:pPr>
        <w:ind w:firstLine="720"/>
        <w:rPr>
          <w:rFonts w:eastAsia="Times New Roman" w:cs="Times New Roman"/>
        </w:rPr>
      </w:pPr>
      <w:r w:rsidRPr="00EA0DC7">
        <w:rPr>
          <w:rFonts w:eastAsia="Times New Roman" w:cs="Times New Roman"/>
        </w:rPr>
        <w:t xml:space="preserve">It is likely that there will be some variability across models for understandable reasons. For example, over time, models might increase in amount of content, reflecting growth in research findings in the area </w:t>
      </w:r>
      <w:r w:rsidRPr="00EA0DC7">
        <w:rPr>
          <w:rFonts w:eastAsia="Times New Roman" w:cs="Times New Roman"/>
          <w:noProof/>
        </w:rPr>
        <w:t>(Ellis &amp; Ladany, 1997)</w:t>
      </w:r>
      <w:r w:rsidRPr="00EA0DC7">
        <w:rPr>
          <w:rFonts w:eastAsia="Times New Roman" w:cs="Times New Roman"/>
        </w:rPr>
        <w:t>. However, it can be hypothesised that some broad content should remain consistent across models. For example, given that the core functions of supervision (normative, formative, and restorative</w:t>
      </w:r>
      <w:r w:rsidR="00D07DA4" w:rsidRPr="00EA0DC7">
        <w:rPr>
          <w:rFonts w:eastAsia="Times New Roman" w:cs="Times New Roman"/>
        </w:rPr>
        <w:t xml:space="preserve"> </w:t>
      </w:r>
      <w:r w:rsidR="004E76A9" w:rsidRPr="00EA0DC7">
        <w:rPr>
          <w:rFonts w:eastAsia="Times New Roman" w:cs="Times New Roman"/>
        </w:rPr>
        <w:t>– Proctor</w:t>
      </w:r>
      <w:r w:rsidRPr="00EA0DC7">
        <w:rPr>
          <w:rFonts w:eastAsia="Times New Roman" w:cs="Times New Roman"/>
          <w:noProof/>
        </w:rPr>
        <w:t>, 1988)</w:t>
      </w:r>
      <w:r w:rsidRPr="00EA0DC7">
        <w:rPr>
          <w:rFonts w:eastAsia="Times New Roman" w:cs="Times New Roman"/>
        </w:rPr>
        <w:t xml:space="preserve"> are widely accepted </w:t>
      </w:r>
      <w:r w:rsidRPr="00EA0DC7">
        <w:rPr>
          <w:rFonts w:eastAsia="Times New Roman" w:cs="Times New Roman"/>
          <w:noProof/>
        </w:rPr>
        <w:t>(Spence, Wilson, Kavanagh, Strong, &amp; Worrall, 2001)</w:t>
      </w:r>
      <w:r w:rsidRPr="00EA0DC7">
        <w:rPr>
          <w:rFonts w:eastAsia="Times New Roman" w:cs="Times New Roman"/>
        </w:rPr>
        <w:t xml:space="preserve"> aspects of each of these should be found in all models. There is also general agreement that supervision is a tool for the improvement of supervisees </w:t>
      </w:r>
      <w:r w:rsidRPr="00EA0DC7">
        <w:rPr>
          <w:rFonts w:eastAsia="Times New Roman" w:cs="Times New Roman"/>
          <w:noProof/>
        </w:rPr>
        <w:t>(Bernard &amp; Goodyear, 2004; Carroll, 2007)</w:t>
      </w:r>
      <w:r w:rsidRPr="00EA0DC7">
        <w:rPr>
          <w:rFonts w:eastAsia="Times New Roman" w:cs="Times New Roman"/>
        </w:rPr>
        <w:t xml:space="preserve">. Therefore, it is anticipated that models will recommend some form of evaluation process. Although supervision events usually only require the presence of a supervisor and supervisee, supervision is actually triadic in nature as it also involves patients </w:t>
      </w:r>
      <w:r w:rsidRPr="00EA0DC7">
        <w:rPr>
          <w:rFonts w:eastAsia="Times New Roman" w:cs="Times New Roman"/>
          <w:noProof/>
        </w:rPr>
        <w:t>(Tracey et al., 2012)</w:t>
      </w:r>
      <w:r w:rsidRPr="00EA0DC7">
        <w:rPr>
          <w:rFonts w:eastAsia="Times New Roman" w:cs="Times New Roman"/>
        </w:rPr>
        <w:t xml:space="preserve">. Accordingly, one might expect that models should discuss all three parties involved in the process – the supervisor, supervisee, and patient. Finally, evidence-based practice is essential for ensuring safety and progress in the clinical profession </w:t>
      </w:r>
      <w:r w:rsidRPr="00EA0DC7">
        <w:rPr>
          <w:rFonts w:eastAsia="Times New Roman" w:cs="Times New Roman"/>
          <w:noProof/>
        </w:rPr>
        <w:t>(Watkins, 2011)</w:t>
      </w:r>
      <w:r w:rsidRPr="00EA0DC7">
        <w:rPr>
          <w:rFonts w:eastAsia="Times New Roman" w:cs="Times New Roman"/>
        </w:rPr>
        <w:t xml:space="preserve">, so models might be expected to be based on empirical evidence. </w:t>
      </w:r>
    </w:p>
    <w:p w14:paraId="4AFAB99C" w14:textId="77777777" w:rsidR="0026064C" w:rsidRPr="00EA0DC7" w:rsidRDefault="0026064C" w:rsidP="0026064C">
      <w:pPr>
        <w:ind w:firstLine="720"/>
        <w:rPr>
          <w:rFonts w:eastAsia="Times New Roman" w:cs="Times New Roman"/>
        </w:rPr>
      </w:pPr>
      <w:r w:rsidRPr="00EA0DC7">
        <w:rPr>
          <w:rFonts w:eastAsia="Times New Roman" w:cs="Times New Roman"/>
        </w:rPr>
        <w:t xml:space="preserve">This review aims to investigate similarities and differences across models of clinical supervision, and therefore determine whether they have core features, indicating reliability. Content analysis will be used, as it is an appropriate method to extract patterns of similarity and difference from such data. The hypotheses of the study are as follows. First, the broad content of </w:t>
      </w:r>
      <w:r w:rsidRPr="00EA0DC7">
        <w:rPr>
          <w:rFonts w:eastAsia="Times New Roman" w:cs="Times New Roman"/>
        </w:rPr>
        <w:lastRenderedPageBreak/>
        <w:t>models will be similar, including: discussion of the three core factors in supervision; the three parties in supervision; and the use of evaluation to ensure progress. Second, the amount of content in newer models is predicted to differ from older models. Newer models might have more (and more diverse) content than older models. Alternatively, as models are refined, content might decrease. Finally, it is hypothesised that the content of these models will be based on empirical evidence.</w:t>
      </w:r>
    </w:p>
    <w:p w14:paraId="0FAF785B" w14:textId="77777777" w:rsidR="0026064C" w:rsidRPr="00EA0DC7" w:rsidRDefault="0026064C" w:rsidP="0026064C">
      <w:pPr>
        <w:outlineLvl w:val="1"/>
        <w:rPr>
          <w:rFonts w:eastAsia="SimSun" w:cs="Arial"/>
          <w:b/>
          <w:sz w:val="28"/>
          <w:szCs w:val="24"/>
        </w:rPr>
      </w:pPr>
      <w:bookmarkStart w:id="61" w:name="_Toc508812077"/>
      <w:bookmarkStart w:id="62" w:name="_Toc517453255"/>
      <w:bookmarkStart w:id="63" w:name="_Toc47039831"/>
      <w:r w:rsidRPr="00EA0DC7">
        <w:rPr>
          <w:rFonts w:eastAsia="SimSun" w:cs="Arial"/>
          <w:b/>
          <w:sz w:val="28"/>
          <w:szCs w:val="24"/>
        </w:rPr>
        <w:t>2.2 Method</w:t>
      </w:r>
      <w:bookmarkEnd w:id="61"/>
      <w:bookmarkEnd w:id="62"/>
      <w:bookmarkEnd w:id="63"/>
    </w:p>
    <w:p w14:paraId="59A8F700" w14:textId="77777777" w:rsidR="0026064C" w:rsidRPr="00EA0DC7" w:rsidRDefault="0026064C" w:rsidP="0026064C">
      <w:pPr>
        <w:outlineLvl w:val="2"/>
        <w:rPr>
          <w:rFonts w:eastAsia="SimSun" w:cs="Arial"/>
          <w:b/>
          <w:i/>
          <w:szCs w:val="24"/>
        </w:rPr>
      </w:pPr>
      <w:bookmarkStart w:id="64" w:name="_Toc508812078"/>
      <w:r w:rsidRPr="00EA0DC7">
        <w:rPr>
          <w:rFonts w:eastAsia="SimSun" w:cs="Arial"/>
          <w:b/>
          <w:i/>
          <w:szCs w:val="24"/>
        </w:rPr>
        <w:t>2.2.1 Selection of supervision models for analysis</w:t>
      </w:r>
      <w:bookmarkEnd w:id="64"/>
    </w:p>
    <w:p w14:paraId="4218A0D4" w14:textId="77777777" w:rsidR="0026064C" w:rsidRPr="00EA0DC7" w:rsidRDefault="0026064C" w:rsidP="0026064C">
      <w:pPr>
        <w:spacing w:after="0"/>
        <w:rPr>
          <w:rFonts w:eastAsia="Times New Roman" w:cs="Arial"/>
          <w:szCs w:val="24"/>
        </w:rPr>
      </w:pPr>
      <w:r w:rsidRPr="00EA0DC7">
        <w:rPr>
          <w:rFonts w:eastAsia="Times New Roman" w:cs="Arial"/>
          <w:szCs w:val="24"/>
        </w:rPr>
        <w:t>Texts were included if they met the following selection criteria:</w:t>
      </w:r>
    </w:p>
    <w:p w14:paraId="45DEB916" w14:textId="77777777" w:rsidR="0026064C" w:rsidRPr="00EA0DC7" w:rsidRDefault="0026064C" w:rsidP="0026064C">
      <w:pPr>
        <w:numPr>
          <w:ilvl w:val="0"/>
          <w:numId w:val="4"/>
        </w:numPr>
        <w:spacing w:after="0"/>
        <w:contextualSpacing/>
        <w:rPr>
          <w:rFonts w:eastAsia="Calibri" w:cs="Arial"/>
          <w:szCs w:val="24"/>
        </w:rPr>
      </w:pPr>
      <w:r w:rsidRPr="00EA0DC7">
        <w:rPr>
          <w:rFonts w:eastAsia="Calibri" w:cs="Arial"/>
          <w:szCs w:val="24"/>
        </w:rPr>
        <w:t>They were models or approaches to supervision describing what happens within the context of clinical supervision</w:t>
      </w:r>
    </w:p>
    <w:p w14:paraId="0C6F5331" w14:textId="77777777" w:rsidR="0026064C" w:rsidRPr="00EA0DC7" w:rsidRDefault="0026064C" w:rsidP="0026064C">
      <w:pPr>
        <w:numPr>
          <w:ilvl w:val="0"/>
          <w:numId w:val="4"/>
        </w:numPr>
        <w:spacing w:after="0"/>
        <w:contextualSpacing/>
        <w:rPr>
          <w:rFonts w:eastAsia="Calibri" w:cs="Arial"/>
          <w:szCs w:val="24"/>
        </w:rPr>
      </w:pPr>
      <w:r w:rsidRPr="00EA0DC7">
        <w:rPr>
          <w:rFonts w:eastAsia="Calibri" w:cs="Arial"/>
          <w:szCs w:val="24"/>
        </w:rPr>
        <w:t>The main focus of the model/approach was one-to-one supervision (rather than group supervision or self-supervision)</w:t>
      </w:r>
    </w:p>
    <w:p w14:paraId="25D73C3E" w14:textId="77777777" w:rsidR="0026064C" w:rsidRPr="00EA0DC7" w:rsidRDefault="0026064C" w:rsidP="0026064C">
      <w:pPr>
        <w:numPr>
          <w:ilvl w:val="0"/>
          <w:numId w:val="4"/>
        </w:numPr>
        <w:spacing w:after="0"/>
        <w:contextualSpacing/>
        <w:rPr>
          <w:rFonts w:eastAsia="Calibri" w:cs="Arial"/>
          <w:szCs w:val="24"/>
        </w:rPr>
      </w:pPr>
      <w:r w:rsidRPr="00EA0DC7">
        <w:rPr>
          <w:rFonts w:eastAsia="Calibri" w:cs="Arial"/>
          <w:szCs w:val="24"/>
        </w:rPr>
        <w:t>The supervision described was of therapists working with any model of psychotherapy</w:t>
      </w:r>
    </w:p>
    <w:p w14:paraId="4D2EEE44" w14:textId="77777777" w:rsidR="0026064C" w:rsidRPr="00EA0DC7" w:rsidRDefault="0026064C" w:rsidP="0026064C">
      <w:pPr>
        <w:numPr>
          <w:ilvl w:val="0"/>
          <w:numId w:val="4"/>
        </w:numPr>
        <w:spacing w:after="0"/>
        <w:contextualSpacing/>
        <w:rPr>
          <w:rFonts w:eastAsia="Calibri" w:cs="Arial"/>
          <w:szCs w:val="24"/>
        </w:rPr>
      </w:pPr>
      <w:r w:rsidRPr="00EA0DC7">
        <w:rPr>
          <w:rFonts w:eastAsia="Calibri" w:cs="Arial"/>
          <w:szCs w:val="24"/>
        </w:rPr>
        <w:t>The text was in the English language.</w:t>
      </w:r>
    </w:p>
    <w:p w14:paraId="1C777515" w14:textId="77777777" w:rsidR="0026064C" w:rsidRPr="00EA0DC7" w:rsidRDefault="0026064C" w:rsidP="0026064C">
      <w:pPr>
        <w:spacing w:after="0"/>
        <w:rPr>
          <w:rFonts w:eastAsia="Times New Roman" w:cs="Arial"/>
          <w:szCs w:val="24"/>
        </w:rPr>
      </w:pPr>
      <w:r w:rsidRPr="00EA0DC7">
        <w:rPr>
          <w:rFonts w:eastAsia="Times New Roman" w:cs="Arial"/>
          <w:szCs w:val="24"/>
        </w:rPr>
        <w:t>Texts were excluded if:</w:t>
      </w:r>
    </w:p>
    <w:p w14:paraId="2DD359F5" w14:textId="77777777" w:rsidR="0026064C" w:rsidRPr="00EA0DC7" w:rsidRDefault="0026064C" w:rsidP="00656F0F">
      <w:pPr>
        <w:widowControl w:val="0"/>
        <w:numPr>
          <w:ilvl w:val="0"/>
          <w:numId w:val="5"/>
        </w:numPr>
        <w:spacing w:after="0"/>
        <w:ind w:left="714" w:hanging="357"/>
        <w:contextualSpacing/>
        <w:rPr>
          <w:rFonts w:eastAsia="Calibri" w:cs="Arial"/>
          <w:szCs w:val="24"/>
        </w:rPr>
      </w:pPr>
      <w:r w:rsidRPr="00EA0DC7">
        <w:rPr>
          <w:rFonts w:eastAsia="Calibri" w:cs="Arial"/>
          <w:szCs w:val="24"/>
        </w:rPr>
        <w:t>They described training or education of therapists, rather than supervision itself</w:t>
      </w:r>
    </w:p>
    <w:p w14:paraId="202ECFBE" w14:textId="77777777" w:rsidR="0026064C" w:rsidRPr="00EA0DC7" w:rsidRDefault="0026064C" w:rsidP="0026064C">
      <w:pPr>
        <w:numPr>
          <w:ilvl w:val="0"/>
          <w:numId w:val="5"/>
        </w:numPr>
        <w:spacing w:after="0"/>
        <w:contextualSpacing/>
        <w:rPr>
          <w:rFonts w:eastAsia="Calibri" w:cs="Arial"/>
          <w:szCs w:val="24"/>
        </w:rPr>
      </w:pPr>
      <w:r w:rsidRPr="00EA0DC7">
        <w:rPr>
          <w:rFonts w:eastAsia="Calibri" w:cs="Arial"/>
          <w:szCs w:val="24"/>
        </w:rPr>
        <w:t>The model/approach was for working with supervisees who did not have real patients, only simulated therapy</w:t>
      </w:r>
    </w:p>
    <w:p w14:paraId="3EE4674B" w14:textId="77777777" w:rsidR="0026064C" w:rsidRPr="00EA0DC7" w:rsidRDefault="0026064C" w:rsidP="0026064C">
      <w:pPr>
        <w:numPr>
          <w:ilvl w:val="0"/>
          <w:numId w:val="5"/>
        </w:numPr>
        <w:spacing w:after="0"/>
        <w:contextualSpacing/>
        <w:rPr>
          <w:rFonts w:eastAsia="Calibri" w:cs="Arial"/>
          <w:szCs w:val="24"/>
        </w:rPr>
      </w:pPr>
      <w:r w:rsidRPr="00EA0DC7">
        <w:rPr>
          <w:rFonts w:eastAsia="Calibri" w:cs="Arial"/>
          <w:szCs w:val="24"/>
        </w:rPr>
        <w:t>They focused on one particular method that is used in supervision, rather than the process of supervision as a whole.</w:t>
      </w:r>
    </w:p>
    <w:p w14:paraId="5B5B75B8" w14:textId="279F77EA" w:rsidR="0026064C" w:rsidRPr="00EA0DC7" w:rsidRDefault="0026064C" w:rsidP="0026064C">
      <w:pPr>
        <w:spacing w:after="0"/>
        <w:rPr>
          <w:rFonts w:eastAsia="Times New Roman" w:cs="Arial"/>
          <w:szCs w:val="24"/>
        </w:rPr>
      </w:pPr>
      <w:r w:rsidRPr="00EA0DC7">
        <w:rPr>
          <w:rFonts w:eastAsia="Times New Roman" w:cs="Arial"/>
          <w:szCs w:val="24"/>
        </w:rPr>
        <w:lastRenderedPageBreak/>
        <w:t xml:space="preserve">To ensure consistency, the earliest version available of each model was used. Where the original version was not available, a later version by the same author was used (this is highlighted in Table </w:t>
      </w:r>
      <w:r w:rsidR="003941AA" w:rsidRPr="00EA0DC7">
        <w:rPr>
          <w:rFonts w:eastAsia="Times New Roman" w:cs="Arial"/>
          <w:szCs w:val="24"/>
        </w:rPr>
        <w:t>2.</w:t>
      </w:r>
      <w:r w:rsidRPr="00EA0DC7">
        <w:rPr>
          <w:rFonts w:eastAsia="Times New Roman" w:cs="Arial"/>
          <w:szCs w:val="24"/>
        </w:rPr>
        <w:t>1).</w:t>
      </w:r>
    </w:p>
    <w:p w14:paraId="5EC00D00" w14:textId="77777777" w:rsidR="0026064C" w:rsidRPr="00EA0DC7" w:rsidRDefault="0026064C" w:rsidP="0026064C">
      <w:pPr>
        <w:outlineLvl w:val="2"/>
        <w:rPr>
          <w:rFonts w:eastAsia="SimSun" w:cs="Arial"/>
          <w:b/>
          <w:i/>
          <w:szCs w:val="24"/>
        </w:rPr>
      </w:pPr>
      <w:bookmarkStart w:id="65" w:name="_Toc508812079"/>
      <w:r w:rsidRPr="00EA0DC7">
        <w:rPr>
          <w:rFonts w:eastAsia="SimSun" w:cs="Arial"/>
          <w:b/>
          <w:i/>
          <w:szCs w:val="24"/>
        </w:rPr>
        <w:t>2.2.2 Search strategy</w:t>
      </w:r>
      <w:bookmarkEnd w:id="65"/>
    </w:p>
    <w:p w14:paraId="08BFAE31" w14:textId="77777777" w:rsidR="0026064C" w:rsidRPr="00EA0DC7" w:rsidRDefault="0026064C" w:rsidP="0026064C">
      <w:pPr>
        <w:spacing w:after="0"/>
        <w:rPr>
          <w:rFonts w:eastAsia="Times New Roman" w:cs="Arial"/>
          <w:szCs w:val="24"/>
        </w:rPr>
      </w:pPr>
      <w:r w:rsidRPr="00EA0DC7">
        <w:rPr>
          <w:rFonts w:ascii="Times" w:eastAsia="Times New Roman" w:hAnsi="Times" w:cs="Times New Roman"/>
          <w:szCs w:val="24"/>
        </w:rPr>
        <w:tab/>
      </w:r>
      <w:r w:rsidRPr="00EA0DC7">
        <w:rPr>
          <w:rFonts w:eastAsia="Times New Roman" w:cs="Arial"/>
          <w:szCs w:val="24"/>
        </w:rPr>
        <w:t>The majority of models or approaches to clinical supervision are published in books, rather than journals. Therefore, to avoid missing key models/approaches, the literature was searched using a three-stage approach:</w:t>
      </w:r>
    </w:p>
    <w:p w14:paraId="3C8A4493" w14:textId="77777777" w:rsidR="0026064C" w:rsidRPr="00EA0DC7" w:rsidRDefault="0026064C" w:rsidP="0026064C">
      <w:pPr>
        <w:numPr>
          <w:ilvl w:val="0"/>
          <w:numId w:val="6"/>
        </w:numPr>
        <w:spacing w:after="0"/>
        <w:contextualSpacing/>
        <w:rPr>
          <w:rFonts w:eastAsia="Calibri" w:cs="Arial"/>
          <w:szCs w:val="24"/>
        </w:rPr>
      </w:pPr>
      <w:r w:rsidRPr="00EA0DC7">
        <w:rPr>
          <w:rFonts w:eastAsia="Calibri" w:cs="Arial"/>
          <w:szCs w:val="24"/>
        </w:rPr>
        <w:t xml:space="preserve">The search started with an existing library of clinical supervision texts that are used in training on a course for clinical supervision, aimed at qualified clinical psychologists. If earlier editions were available, they were obtained and used rather than the later versions. This start point identified 29 models. </w:t>
      </w:r>
    </w:p>
    <w:p w14:paraId="1F758CC7" w14:textId="77777777" w:rsidR="0026064C" w:rsidRPr="00EA0DC7" w:rsidRDefault="0026064C" w:rsidP="0026064C">
      <w:pPr>
        <w:numPr>
          <w:ilvl w:val="0"/>
          <w:numId w:val="6"/>
        </w:numPr>
        <w:spacing w:after="0"/>
        <w:contextualSpacing/>
        <w:rPr>
          <w:rFonts w:eastAsia="Calibri" w:cs="Arial"/>
          <w:szCs w:val="24"/>
        </w:rPr>
      </w:pPr>
      <w:r w:rsidRPr="00EA0DC7">
        <w:rPr>
          <w:rFonts w:eastAsia="Calibri" w:cs="Arial"/>
          <w:szCs w:val="24"/>
        </w:rPr>
        <w:t xml:space="preserve">Models were also found through database searches in PubMed, Web of Science, and PsychINFO using the terms ‘supervision,’ ‘psychotherapy,’ and ‘outcome’. This identified three models. </w:t>
      </w:r>
    </w:p>
    <w:p w14:paraId="7BA66BCE" w14:textId="77777777" w:rsidR="0026064C" w:rsidRPr="00EA0DC7" w:rsidRDefault="0026064C" w:rsidP="0026064C">
      <w:pPr>
        <w:numPr>
          <w:ilvl w:val="0"/>
          <w:numId w:val="6"/>
        </w:numPr>
        <w:spacing w:after="0"/>
        <w:contextualSpacing/>
        <w:rPr>
          <w:rFonts w:eastAsia="Calibri" w:cs="Arial"/>
          <w:szCs w:val="24"/>
        </w:rPr>
      </w:pPr>
      <w:r w:rsidRPr="00EA0DC7">
        <w:rPr>
          <w:rFonts w:eastAsia="Calibri" w:cs="Arial"/>
          <w:szCs w:val="24"/>
        </w:rPr>
        <w:t>Finally, all of the texts identified to this point were scrutinised for any further models. This stage yielded a further 20 models.</w:t>
      </w:r>
    </w:p>
    <w:p w14:paraId="3A82C2E9" w14:textId="06FFC5DE" w:rsidR="0026064C" w:rsidRPr="00EA0DC7" w:rsidRDefault="0026064C" w:rsidP="0026064C">
      <w:pPr>
        <w:spacing w:after="0"/>
        <w:ind w:firstLine="720"/>
        <w:rPr>
          <w:rFonts w:eastAsia="Times New Roman" w:cs="Arial"/>
          <w:szCs w:val="24"/>
        </w:rPr>
      </w:pPr>
      <w:r w:rsidRPr="00EA0DC7">
        <w:rPr>
          <w:rFonts w:eastAsia="Times New Roman" w:cs="Arial"/>
          <w:szCs w:val="24"/>
        </w:rPr>
        <w:t>The decision to stop at 52 models was based on saturation of the data, and is explained below. All models used are listed below</w:t>
      </w:r>
      <w:r w:rsidR="004A6EE8" w:rsidRPr="00EA0DC7">
        <w:rPr>
          <w:rFonts w:eastAsia="Times New Roman" w:cs="Arial"/>
          <w:szCs w:val="24"/>
        </w:rPr>
        <w:t>.</w:t>
      </w:r>
      <w:r w:rsidRPr="00EA0DC7">
        <w:rPr>
          <w:rFonts w:eastAsia="Times New Roman" w:cs="Arial"/>
          <w:szCs w:val="24"/>
        </w:rPr>
        <w:t xml:space="preserve"> </w:t>
      </w:r>
    </w:p>
    <w:p w14:paraId="457C2EE6" w14:textId="69872E77" w:rsidR="0026064C" w:rsidRPr="00EA0DC7" w:rsidRDefault="0026064C" w:rsidP="0026064C">
      <w:pPr>
        <w:spacing w:after="0"/>
        <w:rPr>
          <w:rFonts w:eastAsia="Times New Roman" w:cs="Arial"/>
          <w:szCs w:val="24"/>
        </w:rPr>
      </w:pPr>
      <w:r w:rsidRPr="00EA0DC7">
        <w:rPr>
          <w:rFonts w:eastAsia="Times New Roman" w:cs="Arial"/>
          <w:szCs w:val="24"/>
        </w:rPr>
        <w:tab/>
        <w:t xml:space="preserve">A second search was conducted to investigate whether the models had been tested after they were developed. Models (where available) were located on the Web of Science database. Using the ‘times cited’ tab, all literature </w:t>
      </w:r>
      <w:r w:rsidR="00D07DA4" w:rsidRPr="00EA0DC7">
        <w:rPr>
          <w:rFonts w:eastAsia="Times New Roman" w:cs="Arial"/>
          <w:szCs w:val="24"/>
        </w:rPr>
        <w:t>that</w:t>
      </w:r>
      <w:r w:rsidRPr="00EA0DC7">
        <w:rPr>
          <w:rFonts w:eastAsia="Times New Roman" w:cs="Arial"/>
          <w:szCs w:val="24"/>
        </w:rPr>
        <w:t xml:space="preserve"> cited each model was scrutinised for an empirical test of the model.</w:t>
      </w:r>
    </w:p>
    <w:p w14:paraId="4820079E" w14:textId="77777777" w:rsidR="0026064C" w:rsidRPr="00EA0DC7" w:rsidRDefault="0026064C" w:rsidP="00FB04B0">
      <w:pPr>
        <w:spacing w:before="240"/>
        <w:outlineLvl w:val="2"/>
        <w:rPr>
          <w:rFonts w:eastAsia="SimSun" w:cs="Arial"/>
          <w:b/>
          <w:i/>
          <w:szCs w:val="24"/>
        </w:rPr>
      </w:pPr>
      <w:bookmarkStart w:id="66" w:name="_Toc508812080"/>
      <w:r w:rsidRPr="00EA0DC7">
        <w:rPr>
          <w:rFonts w:eastAsia="SimSun" w:cs="Arial"/>
          <w:b/>
          <w:i/>
          <w:szCs w:val="24"/>
        </w:rPr>
        <w:lastRenderedPageBreak/>
        <w:t>2.2.3 Procedure</w:t>
      </w:r>
      <w:bookmarkEnd w:id="66"/>
    </w:p>
    <w:p w14:paraId="0FD11EFB" w14:textId="103791C9" w:rsidR="0026064C" w:rsidRPr="00EA0DC7" w:rsidRDefault="0026064C" w:rsidP="0026064C">
      <w:pPr>
        <w:spacing w:after="0"/>
        <w:rPr>
          <w:rFonts w:eastAsia="Times New Roman" w:cs="Arial"/>
          <w:iCs/>
          <w:szCs w:val="24"/>
        </w:rPr>
      </w:pPr>
      <w:r w:rsidRPr="00EA0DC7">
        <w:rPr>
          <w:rFonts w:ascii="Times" w:eastAsia="Times New Roman" w:hAnsi="Times" w:cs="Times New Roman"/>
          <w:i/>
          <w:szCs w:val="24"/>
        </w:rPr>
        <w:tab/>
      </w:r>
      <w:r w:rsidRPr="00EA0DC7">
        <w:rPr>
          <w:rFonts w:eastAsia="Times New Roman" w:cs="Arial"/>
          <w:iCs/>
          <w:szCs w:val="24"/>
        </w:rPr>
        <w:t xml:space="preserve">A content analysis was carried out for each model identified, using the approach outlined in </w:t>
      </w:r>
      <w:r w:rsidRPr="00EA0DC7">
        <w:rPr>
          <w:rFonts w:eastAsia="Times New Roman" w:cs="Arial"/>
          <w:iCs/>
          <w:noProof/>
          <w:szCs w:val="24"/>
        </w:rPr>
        <w:t>Neuendorf (2002)</w:t>
      </w:r>
      <w:r w:rsidRPr="00EA0DC7">
        <w:rPr>
          <w:rFonts w:eastAsia="Times New Roman" w:cs="Arial"/>
          <w:iCs/>
          <w:szCs w:val="24"/>
        </w:rPr>
        <w:t>. Models were tabulated along with their content variables. Definitions and examples of all con</w:t>
      </w:r>
      <w:r w:rsidR="00004961" w:rsidRPr="00EA0DC7">
        <w:rPr>
          <w:rFonts w:eastAsia="Times New Roman" w:cs="Arial"/>
          <w:iCs/>
          <w:szCs w:val="24"/>
        </w:rPr>
        <w:t>tent variables are outlined in A</w:t>
      </w:r>
      <w:r w:rsidRPr="00EA0DC7">
        <w:rPr>
          <w:rFonts w:eastAsia="Times New Roman" w:cs="Arial"/>
          <w:iCs/>
          <w:szCs w:val="24"/>
        </w:rPr>
        <w:t xml:space="preserve">ppendix </w:t>
      </w:r>
      <w:r w:rsidR="0049544F" w:rsidRPr="00EA0DC7">
        <w:rPr>
          <w:rFonts w:eastAsia="Times New Roman" w:cs="Arial"/>
          <w:iCs/>
          <w:szCs w:val="24"/>
        </w:rPr>
        <w:t>2</w:t>
      </w:r>
      <w:r w:rsidRPr="00EA0DC7">
        <w:rPr>
          <w:rFonts w:eastAsia="Times New Roman" w:cs="Arial"/>
          <w:iCs/>
          <w:szCs w:val="24"/>
        </w:rPr>
        <w:t xml:space="preserve">A. While the great majority of elements were derived from the content analysis itself, a small set of the </w:t>
      </w:r>
      <w:r w:rsidRPr="00EA0DC7">
        <w:rPr>
          <w:rFonts w:eastAsia="Times New Roman" w:cs="Arial"/>
          <w:szCs w:val="24"/>
        </w:rPr>
        <w:t xml:space="preserve">variables were identified prior to reading the supervision models, in keeping with the hypotheses above. These were: whether the model was based on an empirical study; whether they cited empirical evidence; and three core aspects of supervision. These core aspects have been highlighted in previous literature – supervisee learning and/or development; emotional effects of work; and managerial and/or ethical responsibilities (formative, restorative, and normative - Proctor, 1988; or educational, supportive, and managerial - Kadushin, 1976). The remaining elements emerged from the content analysis. Each time a new supervision element came up in a model, the variable was added to the table. </w:t>
      </w:r>
    </w:p>
    <w:p w14:paraId="649E29D8" w14:textId="0BAE9A78" w:rsidR="0026064C" w:rsidRPr="00EA0DC7" w:rsidRDefault="0026064C" w:rsidP="0026064C">
      <w:pPr>
        <w:spacing w:after="0"/>
        <w:rPr>
          <w:rFonts w:eastAsia="Times New Roman" w:cs="Arial"/>
          <w:szCs w:val="24"/>
        </w:rPr>
      </w:pPr>
      <w:r w:rsidRPr="00EA0DC7">
        <w:rPr>
          <w:rFonts w:eastAsia="Times New Roman" w:cs="Arial"/>
          <w:szCs w:val="24"/>
        </w:rPr>
        <w:tab/>
        <w:t xml:space="preserve">The search for new models stopped when it was clear saturation was achieved. The number of new variables in each new model declined quickly - 80.30% of the total number of elements had been identified by model </w:t>
      </w:r>
      <w:r w:rsidR="0061557C" w:rsidRPr="00EA0DC7">
        <w:rPr>
          <w:rFonts w:eastAsia="Times New Roman" w:cs="Arial"/>
          <w:szCs w:val="24"/>
        </w:rPr>
        <w:t>10</w:t>
      </w:r>
      <w:r w:rsidRPr="00EA0DC7">
        <w:rPr>
          <w:rFonts w:eastAsia="Times New Roman" w:cs="Arial"/>
          <w:szCs w:val="24"/>
        </w:rPr>
        <w:t xml:space="preserve"> and 95.45% by model 36. The last new variable was identified in model number 43. It was not clear that saturation had been reached until around model 49 as previously up to six models in a row had been analysed without the appearance of any new variables. At this </w:t>
      </w:r>
      <w:r w:rsidR="00004961" w:rsidRPr="00EA0DC7">
        <w:rPr>
          <w:rFonts w:eastAsia="Times New Roman" w:cs="Arial"/>
          <w:szCs w:val="24"/>
        </w:rPr>
        <w:t>point,</w:t>
      </w:r>
      <w:r w:rsidRPr="00EA0DC7">
        <w:rPr>
          <w:rFonts w:eastAsia="Times New Roman" w:cs="Arial"/>
          <w:szCs w:val="24"/>
        </w:rPr>
        <w:t xml:space="preserve"> a decision was made to include any models that had already </w:t>
      </w:r>
      <w:r w:rsidR="00004961" w:rsidRPr="00EA0DC7">
        <w:rPr>
          <w:rFonts w:eastAsia="Times New Roman" w:cs="Arial"/>
          <w:szCs w:val="24"/>
        </w:rPr>
        <w:t xml:space="preserve">been </w:t>
      </w:r>
      <w:r w:rsidRPr="00EA0DC7">
        <w:rPr>
          <w:rFonts w:eastAsia="Times New Roman" w:cs="Arial"/>
          <w:szCs w:val="24"/>
        </w:rPr>
        <w:t>identified, but not to include any new models that only app</w:t>
      </w:r>
      <w:r w:rsidR="00004961" w:rsidRPr="00EA0DC7">
        <w:rPr>
          <w:rFonts w:eastAsia="Times New Roman" w:cs="Arial"/>
          <w:szCs w:val="24"/>
        </w:rPr>
        <w:t>eared in these final few texts.</w:t>
      </w:r>
      <w:r w:rsidRPr="00EA0DC7">
        <w:rPr>
          <w:rFonts w:eastAsia="Times New Roman" w:cs="Arial"/>
          <w:szCs w:val="24"/>
        </w:rPr>
        <w:t xml:space="preserve"> This lead to a final nine models being analysed after model 43, none of which produced new variables.</w:t>
      </w:r>
    </w:p>
    <w:p w14:paraId="22B8392F" w14:textId="7889C228" w:rsidR="0026064C" w:rsidRPr="00EA0DC7" w:rsidRDefault="0026064C" w:rsidP="0026064C">
      <w:pPr>
        <w:spacing w:after="0"/>
        <w:rPr>
          <w:rFonts w:eastAsia="Times New Roman" w:cs="Arial"/>
          <w:szCs w:val="24"/>
        </w:rPr>
      </w:pPr>
      <w:r w:rsidRPr="00EA0DC7">
        <w:rPr>
          <w:rFonts w:eastAsia="Times New Roman" w:cs="Arial"/>
          <w:szCs w:val="24"/>
        </w:rPr>
        <w:lastRenderedPageBreak/>
        <w:tab/>
      </w:r>
      <w:r w:rsidR="004A6EE8" w:rsidRPr="00EA0DC7">
        <w:rPr>
          <w:rFonts w:eastAsia="Times New Roman" w:cs="Arial"/>
          <w:szCs w:val="24"/>
        </w:rPr>
        <w:t>Finally, a</w:t>
      </w:r>
      <w:r w:rsidRPr="00EA0DC7">
        <w:rPr>
          <w:rFonts w:eastAsia="Times New Roman" w:cs="Arial"/>
          <w:szCs w:val="24"/>
        </w:rPr>
        <w:t xml:space="preserve"> search for empirical testi</w:t>
      </w:r>
      <w:r w:rsidR="004A6EE8" w:rsidRPr="00EA0DC7">
        <w:rPr>
          <w:rFonts w:eastAsia="Times New Roman" w:cs="Arial"/>
          <w:szCs w:val="24"/>
        </w:rPr>
        <w:t xml:space="preserve">ng of the identified models was </w:t>
      </w:r>
      <w:r w:rsidRPr="00EA0DC7">
        <w:rPr>
          <w:rFonts w:eastAsia="Times New Roman" w:cs="Arial"/>
          <w:szCs w:val="24"/>
        </w:rPr>
        <w:t>conducted using the search strategy described above.</w:t>
      </w:r>
    </w:p>
    <w:p w14:paraId="10768144" w14:textId="77777777" w:rsidR="0026064C" w:rsidRPr="00EA0DC7" w:rsidRDefault="0026064C" w:rsidP="00FB04B0">
      <w:pPr>
        <w:spacing w:before="240"/>
        <w:outlineLvl w:val="2"/>
        <w:rPr>
          <w:rFonts w:eastAsia="SimSun" w:cs="Arial"/>
          <w:b/>
          <w:i/>
          <w:szCs w:val="24"/>
        </w:rPr>
      </w:pPr>
      <w:bookmarkStart w:id="67" w:name="_Toc508812081"/>
      <w:r w:rsidRPr="00EA0DC7">
        <w:rPr>
          <w:rFonts w:eastAsia="SimSun" w:cs="Arial"/>
          <w:b/>
          <w:i/>
          <w:szCs w:val="24"/>
        </w:rPr>
        <w:t>2.2.4 Inter-rater agreement on coding for content analysis</w:t>
      </w:r>
      <w:bookmarkEnd w:id="67"/>
    </w:p>
    <w:p w14:paraId="2D49C23B" w14:textId="06D56806" w:rsidR="0026064C" w:rsidRPr="00EA0DC7" w:rsidRDefault="0026064C" w:rsidP="0026064C">
      <w:pPr>
        <w:spacing w:after="0"/>
        <w:rPr>
          <w:rFonts w:eastAsia="Times New Roman" w:cs="Arial"/>
          <w:iCs/>
          <w:szCs w:val="24"/>
        </w:rPr>
      </w:pPr>
      <w:r w:rsidRPr="00EA0DC7">
        <w:rPr>
          <w:rFonts w:ascii="Times" w:eastAsia="Times New Roman" w:hAnsi="Times" w:cs="Times New Roman"/>
          <w:i/>
          <w:szCs w:val="24"/>
        </w:rPr>
        <w:tab/>
      </w:r>
      <w:r w:rsidRPr="00EA0DC7">
        <w:rPr>
          <w:rFonts w:eastAsia="Times New Roman" w:cs="Arial"/>
          <w:iCs/>
          <w:szCs w:val="24"/>
        </w:rPr>
        <w:t>A subsample of the data were analysed by a second rater, to determine agreement with the original rater’s conclusions.</w:t>
      </w:r>
      <w:r w:rsidR="000A1F88">
        <w:rPr>
          <w:rFonts w:eastAsia="Times New Roman" w:cs="Arial"/>
          <w:iCs/>
          <w:szCs w:val="24"/>
        </w:rPr>
        <w:t xml:space="preserve"> </w:t>
      </w:r>
      <w:commentRangeStart w:id="68"/>
      <w:r w:rsidR="000A1F88">
        <w:rPr>
          <w:rFonts w:eastAsia="Times New Roman" w:cs="Arial"/>
          <w:iCs/>
          <w:szCs w:val="24"/>
        </w:rPr>
        <w:t xml:space="preserve">The second rater </w:t>
      </w:r>
      <w:r w:rsidR="000A4331">
        <w:rPr>
          <w:rFonts w:eastAsia="Times New Roman" w:cs="Arial"/>
          <w:iCs/>
          <w:szCs w:val="24"/>
        </w:rPr>
        <w:t xml:space="preserve">(CH) </w:t>
      </w:r>
      <w:r w:rsidR="000A1F88">
        <w:rPr>
          <w:rFonts w:eastAsia="Times New Roman" w:cs="Arial"/>
          <w:iCs/>
          <w:szCs w:val="24"/>
        </w:rPr>
        <w:t xml:space="preserve">was a </w:t>
      </w:r>
      <w:r w:rsidR="00697B21">
        <w:rPr>
          <w:rFonts w:eastAsia="Times New Roman" w:cs="Arial"/>
          <w:iCs/>
          <w:szCs w:val="24"/>
        </w:rPr>
        <w:t xml:space="preserve">Psychology </w:t>
      </w:r>
      <w:r w:rsidR="000A1F88">
        <w:rPr>
          <w:rFonts w:eastAsia="Times New Roman" w:cs="Arial"/>
          <w:iCs/>
          <w:szCs w:val="24"/>
        </w:rPr>
        <w:t>PhD student at the University of Sheffield.</w:t>
      </w:r>
      <w:commentRangeEnd w:id="68"/>
      <w:r w:rsidR="00BA47BB">
        <w:rPr>
          <w:rStyle w:val="CommentReference"/>
          <w:rFonts w:eastAsiaTheme="minorHAnsi"/>
          <w:lang w:eastAsia="en-US"/>
        </w:rPr>
        <w:commentReference w:id="68"/>
      </w:r>
      <w:r w:rsidRPr="00EA0DC7">
        <w:rPr>
          <w:rFonts w:eastAsia="Times New Roman" w:cs="Arial"/>
          <w:iCs/>
          <w:szCs w:val="24"/>
        </w:rPr>
        <w:t xml:space="preserve"> Subsamples of between 10% and 20% are commonly recommended for reliability checks in content analysis research </w:t>
      </w:r>
      <w:r w:rsidRPr="00EA0DC7">
        <w:rPr>
          <w:rFonts w:eastAsia="Times New Roman" w:cs="Arial"/>
          <w:iCs/>
          <w:noProof/>
          <w:szCs w:val="24"/>
        </w:rPr>
        <w:t>(Neuendorf, 2002)</w:t>
      </w:r>
      <w:r w:rsidRPr="00EA0DC7">
        <w:rPr>
          <w:rFonts w:eastAsia="Times New Roman" w:cs="Arial"/>
          <w:iCs/>
          <w:szCs w:val="24"/>
        </w:rPr>
        <w:t xml:space="preserve">. Due to the small overall sample of models in our analysis, 20% was used to maximise validity of the coding. Therefore, ten models were randomly selected for the subsample. Overall percentage agreement was high (87.3%), giving a Cohen’s kappa of 0.695, which indicates ‘substantial’ agreement between coders. In addition, Krippendorff’s alpha was 0.695, which is above the </w:t>
      </w:r>
      <w:r w:rsidR="00D07DA4" w:rsidRPr="00EA0DC7">
        <w:rPr>
          <w:rFonts w:eastAsia="Times New Roman" w:cs="Arial"/>
          <w:iCs/>
          <w:szCs w:val="24"/>
        </w:rPr>
        <w:t>‘</w:t>
      </w:r>
      <w:r w:rsidRPr="00EA0DC7">
        <w:rPr>
          <w:rFonts w:eastAsia="Times New Roman" w:cs="Arial"/>
          <w:iCs/>
          <w:szCs w:val="24"/>
        </w:rPr>
        <w:t>acceptable</w:t>
      </w:r>
      <w:r w:rsidR="00D07DA4" w:rsidRPr="00EA0DC7">
        <w:rPr>
          <w:rFonts w:eastAsia="Times New Roman" w:cs="Arial"/>
          <w:iCs/>
          <w:szCs w:val="24"/>
        </w:rPr>
        <w:t>’</w:t>
      </w:r>
      <w:r w:rsidRPr="00EA0DC7">
        <w:rPr>
          <w:rFonts w:eastAsia="Times New Roman" w:cs="Arial"/>
          <w:iCs/>
          <w:szCs w:val="24"/>
        </w:rPr>
        <w:t xml:space="preserve"> level.</w:t>
      </w:r>
    </w:p>
    <w:p w14:paraId="01AD1194" w14:textId="77777777" w:rsidR="0026064C" w:rsidRPr="00EA0DC7" w:rsidRDefault="0026064C" w:rsidP="00FB04B0">
      <w:pPr>
        <w:spacing w:before="240"/>
        <w:outlineLvl w:val="2"/>
        <w:rPr>
          <w:rFonts w:eastAsia="SimSun" w:cs="Arial"/>
          <w:b/>
          <w:i/>
          <w:szCs w:val="24"/>
        </w:rPr>
      </w:pPr>
      <w:bookmarkStart w:id="69" w:name="_Toc508812082"/>
      <w:r w:rsidRPr="00EA0DC7">
        <w:rPr>
          <w:rFonts w:eastAsia="SimSun" w:cs="Arial"/>
          <w:b/>
          <w:i/>
          <w:szCs w:val="24"/>
        </w:rPr>
        <w:t>2.2.5 Data analysis strategy</w:t>
      </w:r>
      <w:bookmarkEnd w:id="69"/>
    </w:p>
    <w:p w14:paraId="6787FA75" w14:textId="688C4149" w:rsidR="0026064C" w:rsidRPr="00EA0DC7" w:rsidRDefault="0026064C" w:rsidP="0026064C">
      <w:pPr>
        <w:rPr>
          <w:rFonts w:eastAsia="Times New Roman" w:cs="Arial"/>
          <w:szCs w:val="24"/>
        </w:rPr>
      </w:pPr>
      <w:r w:rsidRPr="00EA0DC7">
        <w:rPr>
          <w:rFonts w:ascii="Times" w:eastAsia="Times New Roman" w:hAnsi="Times" w:cs="Times New Roman"/>
          <w:szCs w:val="24"/>
        </w:rPr>
        <w:tab/>
      </w:r>
      <w:r w:rsidRPr="00EA0DC7">
        <w:rPr>
          <w:rFonts w:eastAsia="Times New Roman" w:cs="Arial"/>
          <w:szCs w:val="24"/>
        </w:rPr>
        <w:t>Init</w:t>
      </w:r>
      <w:r w:rsidR="00004961" w:rsidRPr="00EA0DC7">
        <w:rPr>
          <w:rFonts w:eastAsia="Times New Roman" w:cs="Arial"/>
          <w:szCs w:val="24"/>
        </w:rPr>
        <w:t xml:space="preserve">ially, the content analysis was </w:t>
      </w:r>
      <w:r w:rsidRPr="00EA0DC7">
        <w:rPr>
          <w:rFonts w:eastAsia="Times New Roman" w:cs="Arial"/>
          <w:szCs w:val="24"/>
        </w:rPr>
        <w:t xml:space="preserve">conducted. This included consideration of whether models addressed: the three core factors of supervision (supervisee learning and/ or development; emotional effects of work; and managerial and/or ethical responsibilities); focus on the three key people in supervision (supervisor, supervisee, and client); and the more general content elements of what models recommend should form the basis and substance of supervision. Correlational analysis was used to determine temporal patterns in the development of models (i.e., do models get more or less detailed over time; are there temporal trends in models’ foci). Finally, two-step cluster analysis </w:t>
      </w:r>
      <w:commentRangeStart w:id="70"/>
      <w:r w:rsidRPr="00EA0DC7">
        <w:rPr>
          <w:rFonts w:eastAsia="Times New Roman" w:cs="Arial"/>
          <w:szCs w:val="24"/>
        </w:rPr>
        <w:t>was</w:t>
      </w:r>
      <w:r w:rsidR="002E261B">
        <w:rPr>
          <w:rFonts w:eastAsia="Times New Roman" w:cs="Arial"/>
          <w:szCs w:val="24"/>
        </w:rPr>
        <w:t xml:space="preserve"> carried out in SPSS </w:t>
      </w:r>
      <w:commentRangeEnd w:id="70"/>
      <w:r w:rsidR="00BA47BB">
        <w:rPr>
          <w:rStyle w:val="CommentReference"/>
          <w:rFonts w:eastAsiaTheme="minorHAnsi"/>
          <w:lang w:eastAsia="en-US"/>
        </w:rPr>
        <w:commentReference w:id="70"/>
      </w:r>
      <w:r w:rsidRPr="00EA0DC7">
        <w:rPr>
          <w:rFonts w:eastAsia="Times New Roman" w:cs="Arial"/>
          <w:szCs w:val="24"/>
        </w:rPr>
        <w:t xml:space="preserve">to determine whether the content </w:t>
      </w:r>
      <w:r w:rsidRPr="00EA0DC7">
        <w:rPr>
          <w:rFonts w:eastAsia="Times New Roman" w:cs="Arial"/>
          <w:szCs w:val="24"/>
        </w:rPr>
        <w:lastRenderedPageBreak/>
        <w:t xml:space="preserve">of models formed distinct clusters or ‘types’ of model. The interaction of those </w:t>
      </w:r>
      <w:r w:rsidRPr="00EA0DC7">
        <w:rPr>
          <w:rFonts w:eastAsia="Times New Roman" w:cs="Times New Roman"/>
        </w:rPr>
        <w:t>clusters was examined using chi-squared analysis</w:t>
      </w:r>
      <w:r w:rsidRPr="00EA0DC7">
        <w:rPr>
          <w:rFonts w:eastAsia="Times New Roman" w:cs="Arial"/>
          <w:szCs w:val="24"/>
        </w:rPr>
        <w:t>.</w:t>
      </w:r>
    </w:p>
    <w:p w14:paraId="66A05456" w14:textId="77777777" w:rsidR="0026064C" w:rsidRPr="00EA0DC7" w:rsidRDefault="0026064C" w:rsidP="0026064C">
      <w:pPr>
        <w:outlineLvl w:val="1"/>
        <w:rPr>
          <w:rFonts w:eastAsia="SimSun" w:cs="Arial"/>
          <w:b/>
          <w:sz w:val="28"/>
          <w:szCs w:val="24"/>
        </w:rPr>
      </w:pPr>
      <w:bookmarkStart w:id="71" w:name="_Toc508812083"/>
      <w:bookmarkStart w:id="72" w:name="_Toc517453256"/>
      <w:bookmarkStart w:id="73" w:name="_Toc47039832"/>
      <w:r w:rsidRPr="00EA0DC7">
        <w:rPr>
          <w:rFonts w:eastAsia="SimSun" w:cs="Arial"/>
          <w:b/>
          <w:sz w:val="28"/>
          <w:szCs w:val="24"/>
        </w:rPr>
        <w:t>2.3 Results</w:t>
      </w:r>
      <w:bookmarkEnd w:id="71"/>
      <w:bookmarkEnd w:id="72"/>
      <w:bookmarkEnd w:id="73"/>
    </w:p>
    <w:p w14:paraId="2FD0656C" w14:textId="26BFCF2A" w:rsidR="0026064C" w:rsidRPr="00EA0DC7" w:rsidRDefault="0026064C" w:rsidP="0026064C">
      <w:pPr>
        <w:rPr>
          <w:rFonts w:eastAsia="Times New Roman" w:cs="Times New Roman"/>
          <w:b/>
        </w:rPr>
      </w:pPr>
      <w:r w:rsidRPr="00EA0DC7">
        <w:rPr>
          <w:rFonts w:ascii="Times" w:eastAsia="Times New Roman" w:hAnsi="Times" w:cs="Times New Roman"/>
        </w:rPr>
        <w:tab/>
      </w:r>
      <w:r w:rsidRPr="00EA0DC7">
        <w:rPr>
          <w:rFonts w:eastAsia="Times New Roman" w:cs="Times New Roman"/>
        </w:rPr>
        <w:t>The first section of the Results considers the broad content and elements of the identified superv</w:t>
      </w:r>
      <w:r w:rsidR="0061557C" w:rsidRPr="00EA0DC7">
        <w:rPr>
          <w:rFonts w:eastAsia="Times New Roman" w:cs="Times New Roman"/>
        </w:rPr>
        <w:t xml:space="preserve">ision models, and whether this content was </w:t>
      </w:r>
      <w:r w:rsidRPr="00EA0DC7">
        <w:rPr>
          <w:rFonts w:eastAsia="Times New Roman" w:cs="Times New Roman"/>
        </w:rPr>
        <w:t>similar across models (Hypothesis 1). Differences in models over time are then evaluated (Hypothesis 2) and evidence for each model outlined (Hypothesis 3). Finally, possible clustering of the elements and models are investigated.</w:t>
      </w:r>
    </w:p>
    <w:p w14:paraId="68CFB593" w14:textId="77777777" w:rsidR="0026064C" w:rsidRPr="00EA0DC7" w:rsidRDefault="0026064C" w:rsidP="0026064C">
      <w:pPr>
        <w:outlineLvl w:val="2"/>
        <w:rPr>
          <w:rFonts w:eastAsia="SimSun" w:cs="Arial"/>
          <w:b/>
          <w:i/>
          <w:szCs w:val="24"/>
        </w:rPr>
      </w:pPr>
      <w:bookmarkStart w:id="74" w:name="_Toc508812084"/>
      <w:r w:rsidRPr="00EA0DC7">
        <w:rPr>
          <w:rFonts w:eastAsia="SimSun" w:cs="Arial"/>
          <w:b/>
          <w:i/>
          <w:szCs w:val="24"/>
        </w:rPr>
        <w:t>2.3.1 Content of models</w:t>
      </w:r>
      <w:bookmarkEnd w:id="74"/>
    </w:p>
    <w:p w14:paraId="57F9DB5A" w14:textId="2FDCDCCD" w:rsidR="0026064C" w:rsidRPr="00EA0DC7" w:rsidRDefault="0026064C" w:rsidP="00656F0F">
      <w:pPr>
        <w:spacing w:after="0"/>
        <w:ind w:firstLine="720"/>
        <w:rPr>
          <w:rFonts w:eastAsia="Times New Roman" w:cs="Arial"/>
        </w:rPr>
      </w:pPr>
      <w:r w:rsidRPr="00EA0DC7">
        <w:rPr>
          <w:rFonts w:eastAsia="Times New Roman" w:cs="Arial"/>
          <w:szCs w:val="24"/>
        </w:rPr>
        <w:t xml:space="preserve">A brief description of each of the 52 models is outlined in Table 2.1, along with the number of elements identified in each model and coverage of the three main factors of supervision. The number of elements (not including the </w:t>
      </w:r>
      <w:r w:rsidR="00004961" w:rsidRPr="00EA0DC7">
        <w:rPr>
          <w:rFonts w:eastAsia="Times New Roman" w:cs="Arial"/>
          <w:szCs w:val="24"/>
        </w:rPr>
        <w:t>higher-level</w:t>
      </w:r>
      <w:r w:rsidRPr="00EA0DC7">
        <w:rPr>
          <w:rFonts w:eastAsia="Times New Roman" w:cs="Arial"/>
          <w:szCs w:val="24"/>
        </w:rPr>
        <w:t xml:space="preserve"> factors – the main three and those relating </w:t>
      </w:r>
      <w:r w:rsidR="00220175">
        <w:rPr>
          <w:rFonts w:eastAsia="Times New Roman" w:cs="Arial"/>
          <w:szCs w:val="24"/>
        </w:rPr>
        <w:t xml:space="preserve">to </w:t>
      </w:r>
      <w:r w:rsidRPr="00EA0DC7">
        <w:rPr>
          <w:rFonts w:eastAsia="Times New Roman" w:cs="Arial"/>
          <w:szCs w:val="24"/>
        </w:rPr>
        <w:t>the evidence base) identified in each model ranges from six to 34 (</w:t>
      </w:r>
      <w:r w:rsidRPr="00EA0DC7">
        <w:rPr>
          <w:rFonts w:eastAsia="Times New Roman" w:cs="Arial"/>
          <w:i/>
          <w:szCs w:val="24"/>
        </w:rPr>
        <w:t xml:space="preserve">M </w:t>
      </w:r>
      <w:r w:rsidRPr="00EA0DC7">
        <w:rPr>
          <w:rFonts w:eastAsia="Times New Roman" w:cs="Arial"/>
          <w:szCs w:val="24"/>
        </w:rPr>
        <w:t xml:space="preserve">= 17.81, </w:t>
      </w:r>
      <w:r w:rsidRPr="00EA0DC7">
        <w:rPr>
          <w:rFonts w:eastAsia="Times New Roman" w:cs="Arial"/>
          <w:i/>
          <w:szCs w:val="24"/>
        </w:rPr>
        <w:t>SD</w:t>
      </w:r>
      <w:r w:rsidRPr="00EA0DC7">
        <w:rPr>
          <w:rFonts w:eastAsia="Times New Roman" w:cs="Arial"/>
          <w:szCs w:val="24"/>
        </w:rPr>
        <w:t xml:space="preserve"> = 6.80).  Sixty-six separate elements were identified in total (rising to 71 when including </w:t>
      </w:r>
      <w:r w:rsidR="00004961" w:rsidRPr="00EA0DC7">
        <w:rPr>
          <w:rFonts w:eastAsia="Times New Roman" w:cs="Arial"/>
          <w:szCs w:val="24"/>
        </w:rPr>
        <w:t>higher-level</w:t>
      </w:r>
      <w:r w:rsidRPr="00EA0DC7">
        <w:rPr>
          <w:rFonts w:eastAsia="Times New Roman" w:cs="Arial"/>
          <w:szCs w:val="24"/>
        </w:rPr>
        <w:t xml:space="preserve"> factors). Considering the three core elements of therapy, as outlined above, most models focus on supervisee learning and/or development (88.46%). However, there is a lesser focus on the emotional effects of work (61.54%) or on managerial and ethical responsibilities (57.69%). Only 38.41% of models focused on all three core elements.</w:t>
      </w:r>
      <w:r w:rsidRPr="00EA0DC7">
        <w:rPr>
          <w:rFonts w:eastAsia="Times New Roman" w:cs="Arial"/>
        </w:rPr>
        <w:br w:type="page"/>
      </w:r>
    </w:p>
    <w:p w14:paraId="2760E9CF" w14:textId="77777777" w:rsidR="0026064C" w:rsidRPr="00EA0DC7" w:rsidRDefault="0026064C" w:rsidP="0026064C">
      <w:pPr>
        <w:spacing w:line="240" w:lineRule="auto"/>
        <w:rPr>
          <w:rFonts w:eastAsia="Times New Roman" w:cs="Arial"/>
        </w:rPr>
        <w:sectPr w:rsidR="0026064C" w:rsidRPr="00EA0DC7" w:rsidSect="00651CA1">
          <w:pgSz w:w="11906" w:h="16838"/>
          <w:pgMar w:top="1440" w:right="1440" w:bottom="1440" w:left="2268" w:header="709" w:footer="709" w:gutter="0"/>
          <w:cols w:space="708"/>
          <w:docGrid w:linePitch="360"/>
        </w:sectPr>
      </w:pPr>
    </w:p>
    <w:p w14:paraId="4BF66312" w14:textId="35E4BB6E" w:rsidR="0026064C" w:rsidRPr="00EA0DC7" w:rsidRDefault="003941AA" w:rsidP="003941AA">
      <w:pPr>
        <w:pStyle w:val="Captions"/>
        <w:rPr>
          <w:rFonts w:ascii="Times New Roman" w:eastAsia="Times New Roman" w:hAnsi="Times New Roman" w:cs="Times New Roman"/>
        </w:rPr>
      </w:pPr>
      <w:bookmarkStart w:id="75" w:name="_Toc47039917"/>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008A7246"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Basic information about models including coverage of core factors and number of identified elements (* indicates models that were not the original text).</w:t>
      </w:r>
      <w:bookmarkEnd w:id="75"/>
    </w:p>
    <w:tbl>
      <w:tblPr>
        <w:tblW w:w="13981" w:type="dxa"/>
        <w:tblInd w:w="93" w:type="dxa"/>
        <w:tblLook w:val="04A0" w:firstRow="1" w:lastRow="0" w:firstColumn="1" w:lastColumn="0" w:noHBand="0" w:noVBand="1"/>
      </w:tblPr>
      <w:tblGrid>
        <w:gridCol w:w="739"/>
        <w:gridCol w:w="2351"/>
        <w:gridCol w:w="1887"/>
        <w:gridCol w:w="3969"/>
        <w:gridCol w:w="597"/>
        <w:gridCol w:w="853"/>
        <w:gridCol w:w="1261"/>
        <w:gridCol w:w="1183"/>
        <w:gridCol w:w="1417"/>
      </w:tblGrid>
      <w:tr w:rsidR="0026064C" w:rsidRPr="00EA0DC7" w14:paraId="2FC3F663" w14:textId="77777777" w:rsidTr="004979A5">
        <w:trPr>
          <w:trHeight w:val="1245"/>
        </w:trPr>
        <w:tc>
          <w:tcPr>
            <w:tcW w:w="739" w:type="dxa"/>
            <w:tcBorders>
              <w:top w:val="single" w:sz="4" w:space="0" w:color="auto"/>
              <w:left w:val="nil"/>
              <w:bottom w:val="single" w:sz="4" w:space="0" w:color="auto"/>
              <w:right w:val="nil"/>
            </w:tcBorders>
            <w:shd w:val="clear" w:color="auto" w:fill="auto"/>
            <w:noWrap/>
            <w:vAlign w:val="center"/>
            <w:hideMark/>
          </w:tcPr>
          <w:p w14:paraId="46437E35"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Year</w:t>
            </w:r>
          </w:p>
        </w:tc>
        <w:tc>
          <w:tcPr>
            <w:tcW w:w="2351" w:type="dxa"/>
            <w:tcBorders>
              <w:top w:val="single" w:sz="4" w:space="0" w:color="auto"/>
              <w:left w:val="nil"/>
              <w:bottom w:val="single" w:sz="4" w:space="0" w:color="auto"/>
              <w:right w:val="nil"/>
            </w:tcBorders>
            <w:shd w:val="clear" w:color="auto" w:fill="auto"/>
            <w:noWrap/>
            <w:vAlign w:val="center"/>
            <w:hideMark/>
          </w:tcPr>
          <w:p w14:paraId="264D9AD6"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noWrap/>
            <w:vAlign w:val="center"/>
            <w:hideMark/>
          </w:tcPr>
          <w:p w14:paraId="0A39C695"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noWrap/>
            <w:vAlign w:val="center"/>
            <w:hideMark/>
          </w:tcPr>
          <w:p w14:paraId="6583F680"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gridSpan w:val="2"/>
            <w:tcBorders>
              <w:top w:val="single" w:sz="4" w:space="0" w:color="auto"/>
              <w:left w:val="nil"/>
              <w:bottom w:val="single" w:sz="4" w:space="0" w:color="auto"/>
              <w:right w:val="nil"/>
            </w:tcBorders>
            <w:shd w:val="clear" w:color="auto" w:fill="auto"/>
            <w:noWrap/>
            <w:vAlign w:val="center"/>
            <w:hideMark/>
          </w:tcPr>
          <w:p w14:paraId="12948B6E"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hideMark/>
          </w:tcPr>
          <w:p w14:paraId="43F6E210" w14:textId="1E1DA580"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Manage</w:t>
            </w:r>
            <w:r w:rsidR="001E34B3" w:rsidRPr="00EA0DC7">
              <w:rPr>
                <w:rFonts w:eastAsia="Times New Roman" w:cs="Arial"/>
                <w:b/>
                <w:sz w:val="20"/>
                <w:szCs w:val="20"/>
              </w:rPr>
              <w:t>rial and/ or ethical responsib-</w:t>
            </w: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vAlign w:val="center"/>
            <w:hideMark/>
          </w:tcPr>
          <w:p w14:paraId="714B47AB"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hideMark/>
          </w:tcPr>
          <w:p w14:paraId="70094C60" w14:textId="77777777" w:rsidR="0026064C" w:rsidRPr="00EA0DC7" w:rsidRDefault="0026064C" w:rsidP="001E34B3">
            <w:pPr>
              <w:spacing w:before="240" w:after="0" w:line="240" w:lineRule="auto"/>
              <w:rPr>
                <w:rFonts w:eastAsia="Times New Roman" w:cs="Arial"/>
                <w:b/>
                <w:bCs/>
                <w:sz w:val="20"/>
                <w:szCs w:val="20"/>
              </w:rPr>
            </w:pPr>
          </w:p>
        </w:tc>
      </w:tr>
      <w:tr w:rsidR="0026064C" w:rsidRPr="00EA0DC7" w14:paraId="02F75C4B" w14:textId="77777777" w:rsidTr="004979A5">
        <w:trPr>
          <w:trHeight w:val="1521"/>
        </w:trPr>
        <w:tc>
          <w:tcPr>
            <w:tcW w:w="739" w:type="dxa"/>
            <w:tcBorders>
              <w:top w:val="single" w:sz="4" w:space="0" w:color="auto"/>
              <w:left w:val="nil"/>
              <w:bottom w:val="single" w:sz="8" w:space="0" w:color="000000"/>
              <w:right w:val="nil"/>
            </w:tcBorders>
            <w:shd w:val="clear" w:color="auto" w:fill="auto"/>
            <w:noWrap/>
            <w:vAlign w:val="center"/>
            <w:hideMark/>
          </w:tcPr>
          <w:p w14:paraId="0BD00305" w14:textId="77777777" w:rsidR="0026064C" w:rsidRPr="00EA0DC7" w:rsidRDefault="0026064C" w:rsidP="004979A5">
            <w:pPr>
              <w:spacing w:after="0" w:line="240" w:lineRule="auto"/>
              <w:jc w:val="center"/>
              <w:rPr>
                <w:rFonts w:eastAsia="Times New Roman" w:cs="Arial"/>
                <w:sz w:val="20"/>
                <w:szCs w:val="20"/>
              </w:rPr>
            </w:pPr>
            <w:r w:rsidRPr="00EA0DC7">
              <w:rPr>
                <w:rFonts w:eastAsia="Times New Roman" w:cs="Arial"/>
                <w:sz w:val="20"/>
                <w:szCs w:val="20"/>
              </w:rPr>
              <w:t> </w:t>
            </w:r>
          </w:p>
        </w:tc>
        <w:tc>
          <w:tcPr>
            <w:tcW w:w="2351" w:type="dxa"/>
            <w:tcBorders>
              <w:top w:val="single" w:sz="4" w:space="0" w:color="auto"/>
              <w:left w:val="nil"/>
              <w:bottom w:val="single" w:sz="8" w:space="0" w:color="000000"/>
              <w:right w:val="nil"/>
            </w:tcBorders>
            <w:shd w:val="clear" w:color="auto" w:fill="auto"/>
            <w:vAlign w:val="center"/>
            <w:hideMark/>
          </w:tcPr>
          <w:p w14:paraId="46107C21" w14:textId="77777777" w:rsidR="0026064C" w:rsidRPr="00EA0DC7" w:rsidRDefault="0026064C" w:rsidP="004979A5">
            <w:pPr>
              <w:spacing w:after="0" w:line="240" w:lineRule="auto"/>
              <w:rPr>
                <w:rFonts w:eastAsia="Times New Roman" w:cs="Arial"/>
                <w:sz w:val="20"/>
                <w:szCs w:val="20"/>
              </w:rPr>
            </w:pPr>
          </w:p>
        </w:tc>
        <w:tc>
          <w:tcPr>
            <w:tcW w:w="1887" w:type="dxa"/>
            <w:tcBorders>
              <w:top w:val="single" w:sz="4" w:space="0" w:color="auto"/>
              <w:left w:val="nil"/>
              <w:bottom w:val="single" w:sz="8" w:space="0" w:color="000000"/>
              <w:right w:val="nil"/>
            </w:tcBorders>
            <w:shd w:val="clear" w:color="auto" w:fill="auto"/>
            <w:noWrap/>
            <w:vAlign w:val="center"/>
            <w:hideMark/>
          </w:tcPr>
          <w:p w14:paraId="0176E95D" w14:textId="77777777" w:rsidR="0026064C" w:rsidRPr="00EA0DC7" w:rsidRDefault="0026064C" w:rsidP="004979A5">
            <w:pPr>
              <w:spacing w:after="0" w:line="240" w:lineRule="auto"/>
              <w:rPr>
                <w:rFonts w:eastAsia="Times New Roman" w:cs="Arial"/>
                <w:sz w:val="20"/>
                <w:szCs w:val="20"/>
              </w:rPr>
            </w:pPr>
          </w:p>
        </w:tc>
        <w:tc>
          <w:tcPr>
            <w:tcW w:w="3969" w:type="dxa"/>
            <w:tcBorders>
              <w:top w:val="single" w:sz="4" w:space="0" w:color="auto"/>
              <w:left w:val="nil"/>
              <w:bottom w:val="single" w:sz="8" w:space="0" w:color="000000"/>
              <w:right w:val="nil"/>
            </w:tcBorders>
            <w:shd w:val="clear" w:color="auto" w:fill="auto"/>
            <w:vAlign w:val="center"/>
            <w:hideMark/>
          </w:tcPr>
          <w:p w14:paraId="49E3536D" w14:textId="77777777" w:rsidR="0026064C" w:rsidRPr="00EA0DC7" w:rsidRDefault="0026064C" w:rsidP="004979A5">
            <w:pPr>
              <w:spacing w:after="0" w:line="240" w:lineRule="auto"/>
              <w:rPr>
                <w:rFonts w:eastAsia="Times New Roman" w:cs="Arial"/>
                <w:sz w:val="20"/>
                <w:szCs w:val="20"/>
              </w:rPr>
            </w:pPr>
          </w:p>
        </w:tc>
        <w:tc>
          <w:tcPr>
            <w:tcW w:w="1362" w:type="dxa"/>
            <w:gridSpan w:val="2"/>
            <w:tcBorders>
              <w:top w:val="single" w:sz="4" w:space="0" w:color="auto"/>
              <w:left w:val="nil"/>
              <w:bottom w:val="single" w:sz="4" w:space="0" w:color="auto"/>
              <w:right w:val="nil"/>
            </w:tcBorders>
            <w:shd w:val="clear" w:color="auto" w:fill="auto"/>
            <w:noWrap/>
            <w:vAlign w:val="center"/>
            <w:hideMark/>
          </w:tcPr>
          <w:p w14:paraId="310450BF" w14:textId="77777777" w:rsidR="0026064C" w:rsidRPr="00EA0DC7" w:rsidRDefault="0026064C" w:rsidP="004979A5">
            <w:pPr>
              <w:spacing w:after="0" w:line="240" w:lineRule="auto"/>
              <w:jc w:val="center"/>
              <w:rPr>
                <w:rFonts w:eastAsia="Times New Roman" w:cs="Arial"/>
                <w:sz w:val="20"/>
                <w:szCs w:val="20"/>
              </w:rPr>
            </w:pPr>
            <w:r w:rsidRPr="00EA0DC7">
              <w:rPr>
                <w:rFonts w:eastAsia="Times New Roman" w:cs="Arial"/>
                <w:sz w:val="20"/>
                <w:szCs w:val="20"/>
              </w:rPr>
              <w:t>46</w:t>
            </w:r>
          </w:p>
          <w:p w14:paraId="0D9A6DA8" w14:textId="77777777" w:rsidR="0026064C" w:rsidRPr="00EA0DC7" w:rsidRDefault="0026064C" w:rsidP="004979A5">
            <w:pPr>
              <w:spacing w:after="0" w:line="240" w:lineRule="auto"/>
              <w:jc w:val="center"/>
              <w:rPr>
                <w:rFonts w:eastAsia="Times New Roman" w:cs="Arial"/>
                <w:sz w:val="20"/>
                <w:szCs w:val="20"/>
              </w:rPr>
            </w:pPr>
            <w:r w:rsidRPr="00EA0DC7">
              <w:rPr>
                <w:rFonts w:eastAsia="Times New Roman" w:cs="Arial"/>
                <w:sz w:val="20"/>
                <w:szCs w:val="20"/>
              </w:rPr>
              <w:t>(88.46%)</w:t>
            </w:r>
          </w:p>
        </w:tc>
        <w:tc>
          <w:tcPr>
            <w:tcW w:w="1206" w:type="dxa"/>
            <w:tcBorders>
              <w:top w:val="single" w:sz="4" w:space="0" w:color="auto"/>
              <w:left w:val="nil"/>
              <w:bottom w:val="single" w:sz="8" w:space="0" w:color="000000"/>
              <w:right w:val="nil"/>
            </w:tcBorders>
            <w:shd w:val="clear" w:color="auto" w:fill="auto"/>
            <w:noWrap/>
            <w:vAlign w:val="center"/>
            <w:hideMark/>
          </w:tcPr>
          <w:p w14:paraId="786D7755" w14:textId="77777777" w:rsidR="0026064C" w:rsidRPr="00EA0DC7" w:rsidRDefault="0026064C" w:rsidP="004979A5">
            <w:pPr>
              <w:spacing w:after="0" w:line="240" w:lineRule="auto"/>
              <w:jc w:val="center"/>
              <w:rPr>
                <w:rFonts w:eastAsia="Times New Roman" w:cs="Arial"/>
                <w:sz w:val="20"/>
                <w:szCs w:val="20"/>
              </w:rPr>
            </w:pPr>
            <w:r w:rsidRPr="00EA0DC7">
              <w:rPr>
                <w:rFonts w:eastAsia="Times New Roman" w:cs="Arial"/>
                <w:sz w:val="20"/>
                <w:szCs w:val="20"/>
              </w:rPr>
              <w:t>30 (57.69%)</w:t>
            </w:r>
          </w:p>
        </w:tc>
        <w:tc>
          <w:tcPr>
            <w:tcW w:w="1106" w:type="dxa"/>
            <w:tcBorders>
              <w:top w:val="single" w:sz="4" w:space="0" w:color="auto"/>
              <w:left w:val="nil"/>
              <w:bottom w:val="single" w:sz="8" w:space="0" w:color="000000"/>
              <w:right w:val="nil"/>
            </w:tcBorders>
            <w:shd w:val="clear" w:color="auto" w:fill="auto"/>
            <w:noWrap/>
            <w:vAlign w:val="center"/>
            <w:hideMark/>
          </w:tcPr>
          <w:p w14:paraId="1A87E5A7" w14:textId="77777777" w:rsidR="0026064C" w:rsidRPr="00EA0DC7" w:rsidRDefault="0026064C" w:rsidP="004979A5">
            <w:pPr>
              <w:spacing w:after="0" w:line="240" w:lineRule="auto"/>
              <w:jc w:val="center"/>
              <w:rPr>
                <w:rFonts w:eastAsia="Times New Roman" w:cs="Arial"/>
                <w:sz w:val="20"/>
                <w:szCs w:val="20"/>
              </w:rPr>
            </w:pPr>
            <w:r w:rsidRPr="00EA0DC7">
              <w:rPr>
                <w:rFonts w:eastAsia="Times New Roman" w:cs="Arial"/>
                <w:sz w:val="20"/>
                <w:szCs w:val="20"/>
              </w:rPr>
              <w:t>32 (61.54%)</w:t>
            </w:r>
          </w:p>
        </w:tc>
        <w:tc>
          <w:tcPr>
            <w:tcW w:w="1361" w:type="dxa"/>
            <w:tcBorders>
              <w:top w:val="single" w:sz="4" w:space="0" w:color="auto"/>
              <w:left w:val="nil"/>
              <w:bottom w:val="single" w:sz="8" w:space="0" w:color="000000"/>
              <w:right w:val="nil"/>
              <w:tr2bl w:val="single" w:sz="4" w:space="0" w:color="auto"/>
            </w:tcBorders>
            <w:shd w:val="clear" w:color="auto" w:fill="auto"/>
            <w:vAlign w:val="bottom"/>
            <w:hideMark/>
          </w:tcPr>
          <w:p w14:paraId="6A81EF30" w14:textId="3FC7A3A6" w:rsidR="0026064C" w:rsidRPr="00EA0DC7" w:rsidRDefault="00004961" w:rsidP="001E34B3">
            <w:pPr>
              <w:spacing w:before="240" w:after="0" w:line="240" w:lineRule="auto"/>
              <w:ind w:right="500"/>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r w:rsidR="0026064C" w:rsidRPr="00EA0DC7">
              <w:rPr>
                <w:rFonts w:eastAsia="Times New Roman" w:cs="Arial"/>
                <w:sz w:val="20"/>
                <w:szCs w:val="20"/>
              </w:rPr>
              <w:t xml:space="preserve">                  </w:t>
            </w:r>
            <w:r w:rsidR="0026064C" w:rsidRPr="00EA0DC7">
              <w:rPr>
                <w:rFonts w:eastAsia="Times New Roman" w:cs="Arial"/>
                <w:b/>
                <w:sz w:val="20"/>
                <w:szCs w:val="20"/>
              </w:rPr>
              <w:t>models</w:t>
            </w:r>
          </w:p>
          <w:p w14:paraId="15C1F522" w14:textId="77777777" w:rsidR="0026064C" w:rsidRPr="00EA0DC7" w:rsidRDefault="0026064C" w:rsidP="004979A5">
            <w:pPr>
              <w:spacing w:after="0" w:line="240" w:lineRule="auto"/>
              <w:ind w:right="400"/>
              <w:rPr>
                <w:rFonts w:eastAsia="Times New Roman" w:cs="Arial"/>
                <w:b/>
                <w:sz w:val="20"/>
                <w:szCs w:val="20"/>
              </w:rPr>
            </w:pPr>
            <w:r w:rsidRPr="00EA0DC7">
              <w:rPr>
                <w:rFonts w:eastAsia="Times New Roman" w:cs="Arial"/>
                <w:b/>
                <w:sz w:val="20"/>
                <w:szCs w:val="20"/>
              </w:rPr>
              <w:t>with</w:t>
            </w:r>
          </w:p>
          <w:p w14:paraId="4CE5D405" w14:textId="77777777" w:rsidR="0026064C" w:rsidRPr="00EA0DC7" w:rsidRDefault="0026064C" w:rsidP="004979A5">
            <w:pPr>
              <w:spacing w:after="0" w:line="240" w:lineRule="auto"/>
              <w:ind w:right="400"/>
              <w:rPr>
                <w:rFonts w:eastAsia="Times New Roman" w:cs="Arial"/>
                <w:b/>
                <w:sz w:val="20"/>
                <w:szCs w:val="20"/>
              </w:rPr>
            </w:pPr>
            <w:r w:rsidRPr="00EA0DC7">
              <w:rPr>
                <w:rFonts w:eastAsia="Times New Roman" w:cs="Arial"/>
                <w:b/>
                <w:sz w:val="20"/>
                <w:szCs w:val="20"/>
              </w:rPr>
              <w:t>factor</w:t>
            </w:r>
          </w:p>
          <w:p w14:paraId="2803A646" w14:textId="77777777" w:rsidR="0026064C" w:rsidRPr="00EA0DC7" w:rsidRDefault="0026064C" w:rsidP="004979A5">
            <w:pPr>
              <w:spacing w:after="0" w:line="240" w:lineRule="auto"/>
              <w:jc w:val="right"/>
              <w:rPr>
                <w:rFonts w:eastAsia="Times New Roman" w:cs="Arial"/>
                <w:b/>
                <w:sz w:val="20"/>
                <w:szCs w:val="20"/>
              </w:rPr>
            </w:pPr>
            <w:r w:rsidRPr="00EA0DC7">
              <w:rPr>
                <w:rFonts w:eastAsia="Times New Roman" w:cs="Arial"/>
                <w:b/>
                <w:sz w:val="20"/>
                <w:szCs w:val="20"/>
              </w:rPr>
              <w:t>No.</w:t>
            </w:r>
          </w:p>
          <w:p w14:paraId="2F0E98D5" w14:textId="77777777" w:rsidR="0026064C" w:rsidRPr="00EA0DC7" w:rsidRDefault="0026064C" w:rsidP="004979A5">
            <w:pPr>
              <w:spacing w:after="0" w:line="240" w:lineRule="auto"/>
              <w:jc w:val="right"/>
              <w:rPr>
                <w:rFonts w:eastAsia="Times New Roman" w:cs="Arial"/>
                <w:b/>
                <w:sz w:val="20"/>
                <w:szCs w:val="20"/>
              </w:rPr>
            </w:pPr>
            <w:r w:rsidRPr="00EA0DC7">
              <w:rPr>
                <w:rFonts w:eastAsia="Times New Roman" w:cs="Arial"/>
                <w:b/>
                <w:sz w:val="20"/>
                <w:szCs w:val="20"/>
              </w:rPr>
              <w:t>of</w:t>
            </w:r>
          </w:p>
          <w:p w14:paraId="5E09EF34" w14:textId="77777777" w:rsidR="0026064C" w:rsidRPr="00EA0DC7" w:rsidRDefault="0026064C" w:rsidP="004979A5">
            <w:pPr>
              <w:spacing w:after="0" w:line="240" w:lineRule="auto"/>
              <w:jc w:val="right"/>
              <w:rPr>
                <w:rFonts w:eastAsia="Times New Roman" w:cs="Arial"/>
                <w:b/>
                <w:sz w:val="20"/>
                <w:szCs w:val="20"/>
              </w:rPr>
            </w:pPr>
            <w:r w:rsidRPr="00EA0DC7">
              <w:rPr>
                <w:rFonts w:eastAsia="Times New Roman" w:cs="Arial"/>
                <w:b/>
                <w:sz w:val="20"/>
                <w:szCs w:val="20"/>
              </w:rPr>
              <w:t>elements</w:t>
            </w:r>
          </w:p>
          <w:p w14:paraId="3E2A9733" w14:textId="77777777" w:rsidR="0026064C" w:rsidRPr="00EA0DC7" w:rsidRDefault="0026064C" w:rsidP="004979A5">
            <w:pPr>
              <w:spacing w:after="0" w:line="240" w:lineRule="auto"/>
              <w:jc w:val="right"/>
              <w:rPr>
                <w:rFonts w:eastAsia="Times New Roman" w:cs="Arial"/>
                <w:sz w:val="20"/>
                <w:szCs w:val="20"/>
              </w:rPr>
            </w:pPr>
            <w:r w:rsidRPr="00EA0DC7">
              <w:rPr>
                <w:rFonts w:eastAsia="Times New Roman" w:cs="Arial"/>
                <w:b/>
                <w:sz w:val="20"/>
                <w:szCs w:val="20"/>
              </w:rPr>
              <w:t>in model</w:t>
            </w:r>
          </w:p>
        </w:tc>
      </w:tr>
      <w:tr w:rsidR="0026064C" w:rsidRPr="00EA0DC7" w14:paraId="59E31D46" w14:textId="77777777" w:rsidTr="004979A5">
        <w:trPr>
          <w:trHeight w:val="578"/>
        </w:trPr>
        <w:tc>
          <w:tcPr>
            <w:tcW w:w="739" w:type="dxa"/>
            <w:tcBorders>
              <w:top w:val="nil"/>
              <w:left w:val="nil"/>
              <w:bottom w:val="nil"/>
              <w:right w:val="nil"/>
            </w:tcBorders>
            <w:shd w:val="clear" w:color="auto" w:fill="auto"/>
            <w:noWrap/>
            <w:hideMark/>
          </w:tcPr>
          <w:p w14:paraId="669C57C6"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1964</w:t>
            </w:r>
          </w:p>
        </w:tc>
        <w:tc>
          <w:tcPr>
            <w:tcW w:w="2351" w:type="dxa"/>
            <w:tcBorders>
              <w:top w:val="nil"/>
              <w:left w:val="nil"/>
              <w:bottom w:val="nil"/>
              <w:right w:val="nil"/>
            </w:tcBorders>
            <w:shd w:val="clear" w:color="auto" w:fill="auto"/>
            <w:hideMark/>
          </w:tcPr>
          <w:p w14:paraId="16E03F6B"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 xml:space="preserve">Issues and approaches in supervision </w:t>
            </w:r>
            <w:r w:rsidRPr="00EA0DC7">
              <w:rPr>
                <w:rFonts w:eastAsia="Times New Roman" w:cs="Arial"/>
                <w:noProof/>
                <w:sz w:val="20"/>
                <w:szCs w:val="20"/>
              </w:rPr>
              <w:t>(Hogan, 1964)</w:t>
            </w:r>
          </w:p>
        </w:tc>
        <w:tc>
          <w:tcPr>
            <w:tcW w:w="1887" w:type="dxa"/>
            <w:tcBorders>
              <w:top w:val="nil"/>
              <w:left w:val="nil"/>
              <w:bottom w:val="nil"/>
              <w:right w:val="nil"/>
            </w:tcBorders>
            <w:shd w:val="clear" w:color="auto" w:fill="auto"/>
            <w:noWrap/>
            <w:hideMark/>
          </w:tcPr>
          <w:p w14:paraId="33EDB959" w14:textId="77777777" w:rsidR="0026064C" w:rsidRPr="00EA0DC7" w:rsidRDefault="0026064C" w:rsidP="001E34B3">
            <w:pPr>
              <w:spacing w:before="240" w:line="240" w:lineRule="auto"/>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bottom w:val="nil"/>
              <w:right w:val="nil"/>
            </w:tcBorders>
            <w:shd w:val="clear" w:color="auto" w:fill="auto"/>
            <w:hideMark/>
          </w:tcPr>
          <w:p w14:paraId="41EC5E21"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Developmental model consisting of four stages.</w:t>
            </w:r>
          </w:p>
        </w:tc>
        <w:tc>
          <w:tcPr>
            <w:tcW w:w="1362" w:type="dxa"/>
            <w:gridSpan w:val="2"/>
            <w:tcBorders>
              <w:top w:val="single" w:sz="4" w:space="0" w:color="auto"/>
              <w:left w:val="nil"/>
              <w:bottom w:val="nil"/>
              <w:right w:val="nil"/>
            </w:tcBorders>
            <w:shd w:val="clear" w:color="auto" w:fill="auto"/>
            <w:noWrap/>
            <w:vAlign w:val="center"/>
            <w:hideMark/>
          </w:tcPr>
          <w:p w14:paraId="23E3E6D1" w14:textId="77777777" w:rsidR="0026064C" w:rsidRPr="00EA0DC7" w:rsidRDefault="0026064C" w:rsidP="001E34B3">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nil"/>
              <w:right w:val="nil"/>
            </w:tcBorders>
            <w:shd w:val="clear" w:color="auto" w:fill="auto"/>
            <w:noWrap/>
            <w:vAlign w:val="center"/>
            <w:hideMark/>
          </w:tcPr>
          <w:p w14:paraId="791A96B2" w14:textId="77777777" w:rsidR="0026064C" w:rsidRPr="00EA0DC7" w:rsidRDefault="0026064C" w:rsidP="001E34B3">
            <w:pPr>
              <w:spacing w:before="240" w:line="240" w:lineRule="auto"/>
              <w:jc w:val="center"/>
              <w:rPr>
                <w:rFonts w:ascii="Calibri" w:eastAsia="Times New Roman" w:hAnsi="Calibri" w:cs="Times New Roman"/>
              </w:rPr>
            </w:pPr>
          </w:p>
        </w:tc>
        <w:tc>
          <w:tcPr>
            <w:tcW w:w="1106" w:type="dxa"/>
            <w:tcBorders>
              <w:top w:val="nil"/>
              <w:left w:val="nil"/>
              <w:bottom w:val="nil"/>
              <w:right w:val="nil"/>
            </w:tcBorders>
            <w:shd w:val="clear" w:color="auto" w:fill="auto"/>
            <w:noWrap/>
            <w:vAlign w:val="center"/>
            <w:hideMark/>
          </w:tcPr>
          <w:p w14:paraId="0C142267" w14:textId="77777777" w:rsidR="0026064C" w:rsidRPr="00EA0DC7" w:rsidRDefault="0026064C" w:rsidP="001E34B3">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nil"/>
              <w:right w:val="nil"/>
            </w:tcBorders>
            <w:shd w:val="clear" w:color="auto" w:fill="auto"/>
            <w:vAlign w:val="center"/>
            <w:hideMark/>
          </w:tcPr>
          <w:p w14:paraId="7B788715" w14:textId="77777777" w:rsidR="0026064C" w:rsidRPr="00EA0DC7" w:rsidRDefault="0026064C" w:rsidP="001E34B3">
            <w:pPr>
              <w:spacing w:before="240" w:line="240" w:lineRule="auto"/>
              <w:jc w:val="center"/>
              <w:rPr>
                <w:rFonts w:eastAsia="Times New Roman" w:cs="Arial"/>
                <w:sz w:val="20"/>
                <w:szCs w:val="20"/>
              </w:rPr>
            </w:pPr>
            <w:r w:rsidRPr="00EA0DC7">
              <w:rPr>
                <w:rFonts w:eastAsia="Times New Roman" w:cs="Arial"/>
                <w:sz w:val="20"/>
                <w:szCs w:val="20"/>
              </w:rPr>
              <w:t>9</w:t>
            </w:r>
          </w:p>
        </w:tc>
      </w:tr>
      <w:tr w:rsidR="0026064C" w:rsidRPr="00EA0DC7" w14:paraId="34BE7881" w14:textId="77777777" w:rsidTr="004979A5">
        <w:trPr>
          <w:trHeight w:val="80"/>
        </w:trPr>
        <w:tc>
          <w:tcPr>
            <w:tcW w:w="739" w:type="dxa"/>
            <w:tcBorders>
              <w:top w:val="nil"/>
              <w:left w:val="nil"/>
              <w:right w:val="nil"/>
            </w:tcBorders>
            <w:shd w:val="clear" w:color="auto" w:fill="auto"/>
            <w:noWrap/>
            <w:hideMark/>
          </w:tcPr>
          <w:p w14:paraId="78E6EEF4"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1972*</w:t>
            </w:r>
          </w:p>
        </w:tc>
        <w:tc>
          <w:tcPr>
            <w:tcW w:w="2351" w:type="dxa"/>
            <w:tcBorders>
              <w:top w:val="nil"/>
              <w:left w:val="nil"/>
              <w:right w:val="nil"/>
            </w:tcBorders>
            <w:shd w:val="clear" w:color="auto" w:fill="auto"/>
            <w:hideMark/>
          </w:tcPr>
          <w:p w14:paraId="4E69EF64"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 xml:space="preserve">The teaching and learning of psychotherapy </w:t>
            </w:r>
            <w:r w:rsidRPr="00EA0DC7">
              <w:rPr>
                <w:rFonts w:eastAsia="Times New Roman" w:cs="Arial"/>
                <w:noProof/>
                <w:sz w:val="20"/>
                <w:szCs w:val="20"/>
              </w:rPr>
              <w:t>(Ekstein &amp; Wallerstein, 1972)</w:t>
            </w:r>
          </w:p>
        </w:tc>
        <w:tc>
          <w:tcPr>
            <w:tcW w:w="1887" w:type="dxa"/>
            <w:tcBorders>
              <w:top w:val="nil"/>
              <w:left w:val="nil"/>
              <w:right w:val="nil"/>
            </w:tcBorders>
            <w:shd w:val="clear" w:color="auto" w:fill="auto"/>
            <w:noWrap/>
            <w:hideMark/>
          </w:tcPr>
          <w:p w14:paraId="5111A6C5" w14:textId="77777777" w:rsidR="0026064C" w:rsidRPr="00EA0DC7" w:rsidRDefault="0026064C" w:rsidP="004979A5">
            <w:pPr>
              <w:spacing w:line="240" w:lineRule="auto"/>
              <w:rPr>
                <w:rFonts w:eastAsia="Times New Roman" w:cs="Arial"/>
                <w:sz w:val="20"/>
                <w:szCs w:val="20"/>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2D37AC6F"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Highlights the four parties within the supervisory process (administrator, supervisor, therapist, and patient) and the relationships between them.</w:t>
            </w:r>
          </w:p>
        </w:tc>
        <w:tc>
          <w:tcPr>
            <w:tcW w:w="1362" w:type="dxa"/>
            <w:gridSpan w:val="2"/>
            <w:tcBorders>
              <w:top w:val="nil"/>
              <w:left w:val="nil"/>
              <w:right w:val="nil"/>
            </w:tcBorders>
            <w:shd w:val="clear" w:color="auto" w:fill="auto"/>
            <w:noWrap/>
            <w:vAlign w:val="center"/>
            <w:hideMark/>
          </w:tcPr>
          <w:p w14:paraId="4BDEE222"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40961AF4"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5994CBFF" w14:textId="77777777" w:rsidR="0026064C" w:rsidRPr="00EA0DC7" w:rsidRDefault="0026064C" w:rsidP="00656F0F">
            <w:pPr>
              <w:spacing w:line="240" w:lineRule="auto"/>
              <w:jc w:val="center"/>
              <w:rPr>
                <w:rFonts w:ascii="Calibri" w:eastAsia="Times New Roman" w:hAnsi="Calibri" w:cs="Times New Roman"/>
              </w:rPr>
            </w:pPr>
          </w:p>
        </w:tc>
        <w:tc>
          <w:tcPr>
            <w:tcW w:w="1361" w:type="dxa"/>
            <w:tcBorders>
              <w:top w:val="nil"/>
              <w:left w:val="nil"/>
              <w:right w:val="nil"/>
            </w:tcBorders>
            <w:shd w:val="clear" w:color="auto" w:fill="auto"/>
            <w:vAlign w:val="center"/>
            <w:hideMark/>
          </w:tcPr>
          <w:p w14:paraId="3C62C8CF"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20</w:t>
            </w:r>
          </w:p>
        </w:tc>
      </w:tr>
      <w:tr w:rsidR="0026064C" w:rsidRPr="00EA0DC7" w14:paraId="3854F792" w14:textId="77777777" w:rsidTr="004979A5">
        <w:trPr>
          <w:trHeight w:val="80"/>
        </w:trPr>
        <w:tc>
          <w:tcPr>
            <w:tcW w:w="739" w:type="dxa"/>
            <w:tcBorders>
              <w:top w:val="nil"/>
              <w:left w:val="nil"/>
              <w:bottom w:val="single" w:sz="4" w:space="0" w:color="auto"/>
              <w:right w:val="nil"/>
            </w:tcBorders>
            <w:shd w:val="clear" w:color="auto" w:fill="auto"/>
            <w:noWrap/>
            <w:hideMark/>
          </w:tcPr>
          <w:p w14:paraId="0A21B566"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1972</w:t>
            </w:r>
          </w:p>
        </w:tc>
        <w:tc>
          <w:tcPr>
            <w:tcW w:w="2351" w:type="dxa"/>
            <w:tcBorders>
              <w:top w:val="nil"/>
              <w:left w:val="nil"/>
              <w:bottom w:val="single" w:sz="4" w:space="0" w:color="auto"/>
              <w:right w:val="nil"/>
            </w:tcBorders>
            <w:shd w:val="clear" w:color="auto" w:fill="auto"/>
            <w:hideMark/>
          </w:tcPr>
          <w:p w14:paraId="4A38B6F0"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 xml:space="preserve">Coping with conflict:  Supervising counselors and psychotherapists </w:t>
            </w:r>
            <w:r w:rsidRPr="00EA0DC7">
              <w:rPr>
                <w:rFonts w:eastAsia="Times New Roman" w:cs="Arial"/>
                <w:noProof/>
                <w:sz w:val="20"/>
                <w:szCs w:val="20"/>
              </w:rPr>
              <w:t>(Mueller &amp; Kell, 1972)</w:t>
            </w:r>
          </w:p>
        </w:tc>
        <w:tc>
          <w:tcPr>
            <w:tcW w:w="1887" w:type="dxa"/>
            <w:tcBorders>
              <w:top w:val="nil"/>
              <w:left w:val="nil"/>
              <w:bottom w:val="single" w:sz="4" w:space="0" w:color="auto"/>
              <w:right w:val="nil"/>
            </w:tcBorders>
            <w:shd w:val="clear" w:color="auto" w:fill="auto"/>
            <w:noWrap/>
            <w:hideMark/>
          </w:tcPr>
          <w:p w14:paraId="7CCEE775" w14:textId="77777777" w:rsidR="0026064C" w:rsidRPr="00EA0DC7" w:rsidRDefault="0026064C" w:rsidP="004979A5">
            <w:pPr>
              <w:spacing w:line="240" w:lineRule="auto"/>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bottom w:val="single" w:sz="4" w:space="0" w:color="auto"/>
              <w:right w:val="nil"/>
            </w:tcBorders>
            <w:shd w:val="clear" w:color="auto" w:fill="auto"/>
            <w:noWrap/>
            <w:hideMark/>
          </w:tcPr>
          <w:p w14:paraId="28925E47"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Highlights conflicts that can arise in the therapeutic and supervisory processes and how they can be coped with.</w:t>
            </w:r>
          </w:p>
        </w:tc>
        <w:tc>
          <w:tcPr>
            <w:tcW w:w="432" w:type="dxa"/>
            <w:tcBorders>
              <w:top w:val="nil"/>
              <w:left w:val="nil"/>
              <w:bottom w:val="single" w:sz="4" w:space="0" w:color="auto"/>
              <w:right w:val="nil"/>
            </w:tcBorders>
            <w:shd w:val="clear" w:color="auto" w:fill="auto"/>
          </w:tcPr>
          <w:p w14:paraId="12379D7E" w14:textId="77777777" w:rsidR="0026064C" w:rsidRPr="00EA0DC7" w:rsidRDefault="0026064C" w:rsidP="00656F0F">
            <w:pPr>
              <w:spacing w:line="240" w:lineRule="auto"/>
              <w:jc w:val="center"/>
              <w:rPr>
                <w:rFonts w:eastAsia="Times New Roman" w:cs="Arial"/>
                <w:sz w:val="20"/>
                <w:szCs w:val="20"/>
              </w:rPr>
            </w:pPr>
          </w:p>
        </w:tc>
        <w:tc>
          <w:tcPr>
            <w:tcW w:w="2136" w:type="dxa"/>
            <w:gridSpan w:val="2"/>
            <w:tcBorders>
              <w:top w:val="nil"/>
              <w:left w:val="nil"/>
              <w:bottom w:val="single" w:sz="4" w:space="0" w:color="auto"/>
              <w:right w:val="nil"/>
            </w:tcBorders>
            <w:shd w:val="clear" w:color="auto" w:fill="auto"/>
          </w:tcPr>
          <w:p w14:paraId="7AA19A20" w14:textId="77777777" w:rsidR="0026064C" w:rsidRPr="00EA0DC7" w:rsidRDefault="0026064C" w:rsidP="00656F0F">
            <w:pPr>
              <w:spacing w:line="240" w:lineRule="auto"/>
              <w:jc w:val="center"/>
              <w:rPr>
                <w:rFonts w:eastAsia="Times New Roman" w:cs="Arial"/>
                <w:sz w:val="20"/>
                <w:szCs w:val="20"/>
              </w:rPr>
            </w:pPr>
          </w:p>
        </w:tc>
        <w:tc>
          <w:tcPr>
            <w:tcW w:w="1106" w:type="dxa"/>
            <w:tcBorders>
              <w:top w:val="nil"/>
              <w:left w:val="nil"/>
              <w:bottom w:val="single" w:sz="4" w:space="0" w:color="auto"/>
              <w:right w:val="nil"/>
            </w:tcBorders>
            <w:shd w:val="clear" w:color="auto" w:fill="auto"/>
            <w:noWrap/>
            <w:vAlign w:val="center"/>
            <w:hideMark/>
          </w:tcPr>
          <w:p w14:paraId="24A2B609"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112E4D37"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23</w:t>
            </w:r>
          </w:p>
        </w:tc>
      </w:tr>
    </w:tbl>
    <w:p w14:paraId="2EAA658C" w14:textId="77777777" w:rsidR="0026064C" w:rsidRPr="00EA0DC7" w:rsidRDefault="0026064C" w:rsidP="0026064C">
      <w:pPr>
        <w:rPr>
          <w:rFonts w:eastAsia="SimSun" w:cs="Arial"/>
        </w:rPr>
      </w:pPr>
    </w:p>
    <w:p w14:paraId="5A06669A"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283"/>
        <w:gridCol w:w="1887"/>
        <w:gridCol w:w="3840"/>
        <w:gridCol w:w="1450"/>
        <w:gridCol w:w="1261"/>
        <w:gridCol w:w="1183"/>
        <w:gridCol w:w="1338"/>
      </w:tblGrid>
      <w:tr w:rsidR="0026064C" w:rsidRPr="00EA0DC7" w14:paraId="6685048D" w14:textId="77777777" w:rsidTr="004979A5">
        <w:trPr>
          <w:trHeight w:val="80"/>
        </w:trPr>
        <w:tc>
          <w:tcPr>
            <w:tcW w:w="739" w:type="dxa"/>
            <w:tcBorders>
              <w:top w:val="single" w:sz="4" w:space="0" w:color="auto"/>
              <w:left w:val="nil"/>
              <w:bottom w:val="single" w:sz="4" w:space="0" w:color="auto"/>
              <w:right w:val="nil"/>
            </w:tcBorders>
            <w:shd w:val="clear" w:color="auto" w:fill="auto"/>
            <w:noWrap/>
            <w:vAlign w:val="center"/>
          </w:tcPr>
          <w:p w14:paraId="429B0B5F" w14:textId="77777777" w:rsidR="0026064C" w:rsidRPr="00EA0DC7" w:rsidRDefault="0026064C" w:rsidP="001E34B3">
            <w:pPr>
              <w:spacing w:before="240" w:line="240" w:lineRule="auto"/>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tcPr>
          <w:p w14:paraId="511004CA" w14:textId="77777777" w:rsidR="0026064C" w:rsidRPr="00EA0DC7" w:rsidRDefault="0026064C" w:rsidP="001E34B3">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noWrap/>
            <w:vAlign w:val="center"/>
          </w:tcPr>
          <w:p w14:paraId="6E94ABF2" w14:textId="77777777" w:rsidR="0026064C" w:rsidRPr="00EA0DC7" w:rsidRDefault="0026064C" w:rsidP="001E34B3">
            <w:pPr>
              <w:spacing w:before="240"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589558B3" w14:textId="77777777" w:rsidR="0026064C" w:rsidRPr="00EA0DC7" w:rsidRDefault="0026064C" w:rsidP="001E34B3">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tcPr>
          <w:p w14:paraId="7478B98B" w14:textId="77777777" w:rsidR="0026064C" w:rsidRPr="00EA0DC7" w:rsidRDefault="0026064C" w:rsidP="001E34B3">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tcPr>
          <w:p w14:paraId="567306A0"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15D20F28" w14:textId="77777777" w:rsidR="0026064C" w:rsidRPr="00EA0DC7" w:rsidRDefault="0026064C" w:rsidP="001E34B3">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tcPr>
          <w:p w14:paraId="369C1BA4" w14:textId="77777777" w:rsidR="0026064C" w:rsidRPr="00EA0DC7" w:rsidRDefault="0026064C" w:rsidP="001E34B3">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tcPr>
          <w:p w14:paraId="4BDC611C" w14:textId="69C0B85F" w:rsidR="0026064C" w:rsidRPr="00EA0DC7" w:rsidRDefault="001E34B3" w:rsidP="001E34B3">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60865B4B" w14:textId="77777777" w:rsidR="0026064C" w:rsidRPr="00EA0DC7" w:rsidRDefault="0026064C" w:rsidP="001E34B3">
            <w:pPr>
              <w:spacing w:after="0" w:line="240" w:lineRule="auto"/>
              <w:jc w:val="center"/>
              <w:rPr>
                <w:rFonts w:eastAsia="Times New Roman" w:cs="Arial"/>
                <w:b/>
                <w:sz w:val="20"/>
                <w:szCs w:val="20"/>
              </w:rPr>
            </w:pPr>
            <w:r w:rsidRPr="00EA0DC7">
              <w:rPr>
                <w:rFonts w:eastAsia="Times New Roman" w:cs="Arial"/>
                <w:b/>
                <w:sz w:val="20"/>
                <w:szCs w:val="20"/>
              </w:rPr>
              <w:t>elements</w:t>
            </w:r>
          </w:p>
          <w:p w14:paraId="1D692A35" w14:textId="77777777" w:rsidR="0026064C" w:rsidRPr="00EA0DC7" w:rsidRDefault="0026064C" w:rsidP="001E34B3">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7F02EB32" w14:textId="77777777" w:rsidTr="004979A5">
        <w:trPr>
          <w:trHeight w:val="80"/>
        </w:trPr>
        <w:tc>
          <w:tcPr>
            <w:tcW w:w="739" w:type="dxa"/>
            <w:tcBorders>
              <w:top w:val="nil"/>
              <w:left w:val="nil"/>
              <w:right w:val="nil"/>
            </w:tcBorders>
            <w:shd w:val="clear" w:color="auto" w:fill="auto"/>
            <w:noWrap/>
            <w:hideMark/>
          </w:tcPr>
          <w:p w14:paraId="180C7223"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1972</w:t>
            </w:r>
          </w:p>
        </w:tc>
        <w:tc>
          <w:tcPr>
            <w:tcW w:w="2351" w:type="dxa"/>
            <w:tcBorders>
              <w:top w:val="nil"/>
              <w:left w:val="nil"/>
              <w:right w:val="nil"/>
            </w:tcBorders>
            <w:shd w:val="clear" w:color="auto" w:fill="auto"/>
            <w:hideMark/>
          </w:tcPr>
          <w:p w14:paraId="3083652F"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 xml:space="preserve">A behavioural model for the practicum supervision of counselor candidates </w:t>
            </w:r>
            <w:r w:rsidRPr="00EA0DC7">
              <w:rPr>
                <w:rFonts w:eastAsia="Times New Roman" w:cs="Arial"/>
                <w:noProof/>
                <w:sz w:val="20"/>
                <w:szCs w:val="20"/>
              </w:rPr>
              <w:t>(Delaney, 1972)</w:t>
            </w:r>
          </w:p>
        </w:tc>
        <w:tc>
          <w:tcPr>
            <w:tcW w:w="1887" w:type="dxa"/>
            <w:tcBorders>
              <w:top w:val="nil"/>
              <w:left w:val="nil"/>
              <w:right w:val="nil"/>
            </w:tcBorders>
            <w:shd w:val="clear" w:color="auto" w:fill="auto"/>
            <w:noWrap/>
            <w:hideMark/>
          </w:tcPr>
          <w:p w14:paraId="3BCD85F4" w14:textId="77777777" w:rsidR="0026064C" w:rsidRPr="00EA0DC7" w:rsidRDefault="0026064C" w:rsidP="001E34B3">
            <w:pPr>
              <w:spacing w:before="240"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5698BF3A" w14:textId="77777777" w:rsidR="0026064C" w:rsidRPr="00EA0DC7" w:rsidRDefault="0026064C" w:rsidP="001E34B3">
            <w:pPr>
              <w:spacing w:before="240" w:line="240" w:lineRule="auto"/>
              <w:jc w:val="left"/>
              <w:rPr>
                <w:rFonts w:eastAsia="Times New Roman" w:cs="Arial"/>
                <w:sz w:val="20"/>
                <w:szCs w:val="20"/>
              </w:rPr>
            </w:pPr>
            <w:r w:rsidRPr="00EA0DC7">
              <w:rPr>
                <w:rFonts w:eastAsia="Times New Roman" w:cs="Arial"/>
                <w:sz w:val="20"/>
                <w:szCs w:val="20"/>
              </w:rPr>
              <w:t>Identifies five stages of supervision: initial session; development of a facilitative relationship; goal identification and determination of supervisory strategies; use of supervisory techniques and procedures; and termination and follow-up.</w:t>
            </w:r>
          </w:p>
        </w:tc>
        <w:tc>
          <w:tcPr>
            <w:tcW w:w="1362" w:type="dxa"/>
            <w:tcBorders>
              <w:top w:val="nil"/>
              <w:left w:val="nil"/>
              <w:right w:val="nil"/>
            </w:tcBorders>
            <w:shd w:val="clear" w:color="auto" w:fill="auto"/>
            <w:noWrap/>
            <w:vAlign w:val="center"/>
            <w:hideMark/>
          </w:tcPr>
          <w:p w14:paraId="3CECE8E4" w14:textId="77777777" w:rsidR="0026064C" w:rsidRPr="00EA0DC7" w:rsidRDefault="0026064C" w:rsidP="001E34B3">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67AF3DFB" w14:textId="77777777" w:rsidR="0026064C" w:rsidRPr="00EA0DC7" w:rsidRDefault="0026064C" w:rsidP="001E34B3">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48E9A724" w14:textId="77777777" w:rsidR="0026064C" w:rsidRPr="00EA0DC7" w:rsidRDefault="0026064C" w:rsidP="001E34B3">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46BDEB91" w14:textId="77777777" w:rsidR="0026064C" w:rsidRPr="00EA0DC7" w:rsidRDefault="0026064C" w:rsidP="001E34B3">
            <w:pPr>
              <w:spacing w:before="240" w:line="240" w:lineRule="auto"/>
              <w:jc w:val="center"/>
              <w:rPr>
                <w:rFonts w:eastAsia="Times New Roman" w:cs="Arial"/>
                <w:sz w:val="20"/>
                <w:szCs w:val="20"/>
              </w:rPr>
            </w:pPr>
            <w:r w:rsidRPr="00EA0DC7">
              <w:rPr>
                <w:rFonts w:eastAsia="Times New Roman" w:cs="Arial"/>
                <w:sz w:val="20"/>
                <w:szCs w:val="20"/>
              </w:rPr>
              <w:t>15</w:t>
            </w:r>
          </w:p>
        </w:tc>
      </w:tr>
      <w:tr w:rsidR="0026064C" w:rsidRPr="00EA0DC7" w14:paraId="2F93A048" w14:textId="77777777" w:rsidTr="004979A5">
        <w:trPr>
          <w:trHeight w:val="426"/>
        </w:trPr>
        <w:tc>
          <w:tcPr>
            <w:tcW w:w="739" w:type="dxa"/>
            <w:tcBorders>
              <w:left w:val="nil"/>
              <w:bottom w:val="nil"/>
              <w:right w:val="nil"/>
            </w:tcBorders>
            <w:shd w:val="clear" w:color="auto" w:fill="auto"/>
            <w:noWrap/>
          </w:tcPr>
          <w:p w14:paraId="2E05CEFB"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1973</w:t>
            </w:r>
          </w:p>
        </w:tc>
        <w:tc>
          <w:tcPr>
            <w:tcW w:w="2351" w:type="dxa"/>
            <w:tcBorders>
              <w:left w:val="nil"/>
              <w:bottom w:val="nil"/>
              <w:right w:val="nil"/>
            </w:tcBorders>
            <w:shd w:val="clear" w:color="auto" w:fill="auto"/>
          </w:tcPr>
          <w:p w14:paraId="2FE249BA"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 xml:space="preserve">Providing clinical supervision for marriage counselors: A model for supervisor and supervisee </w:t>
            </w:r>
            <w:r w:rsidRPr="00EA0DC7">
              <w:rPr>
                <w:rFonts w:eastAsia="Times New Roman" w:cs="Arial"/>
                <w:noProof/>
                <w:sz w:val="20"/>
                <w:szCs w:val="20"/>
              </w:rPr>
              <w:t>(Ard, 1973)</w:t>
            </w:r>
          </w:p>
        </w:tc>
        <w:tc>
          <w:tcPr>
            <w:tcW w:w="1887" w:type="dxa"/>
            <w:tcBorders>
              <w:left w:val="nil"/>
              <w:bottom w:val="nil"/>
              <w:right w:val="nil"/>
            </w:tcBorders>
            <w:shd w:val="clear" w:color="auto" w:fill="auto"/>
            <w:noWrap/>
          </w:tcPr>
          <w:p w14:paraId="1733368B" w14:textId="77777777" w:rsidR="0026064C" w:rsidRPr="00EA0DC7" w:rsidRDefault="0026064C" w:rsidP="00656F0F">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left w:val="nil"/>
              <w:bottom w:val="nil"/>
              <w:right w:val="nil"/>
            </w:tcBorders>
            <w:shd w:val="clear" w:color="auto" w:fill="auto"/>
          </w:tcPr>
          <w:p w14:paraId="22C04166"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Outlines the ‘who, what, when, where, and why’ of supervision.</w:t>
            </w:r>
          </w:p>
        </w:tc>
        <w:tc>
          <w:tcPr>
            <w:tcW w:w="1362" w:type="dxa"/>
            <w:tcBorders>
              <w:left w:val="nil"/>
              <w:bottom w:val="nil"/>
              <w:right w:val="nil"/>
            </w:tcBorders>
            <w:shd w:val="clear" w:color="auto" w:fill="auto"/>
            <w:noWrap/>
            <w:vAlign w:val="center"/>
          </w:tcPr>
          <w:p w14:paraId="4499A3CC"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left w:val="nil"/>
              <w:bottom w:val="nil"/>
              <w:right w:val="nil"/>
            </w:tcBorders>
            <w:shd w:val="clear" w:color="auto" w:fill="auto"/>
            <w:noWrap/>
            <w:vAlign w:val="center"/>
          </w:tcPr>
          <w:p w14:paraId="552D965C" w14:textId="77777777" w:rsidR="0026064C" w:rsidRPr="00EA0DC7" w:rsidRDefault="0026064C" w:rsidP="00656F0F">
            <w:pPr>
              <w:spacing w:after="0" w:line="240" w:lineRule="auto"/>
              <w:jc w:val="center"/>
              <w:rPr>
                <w:rFonts w:eastAsia="Times New Roman" w:cs="Arial"/>
                <w:sz w:val="20"/>
                <w:szCs w:val="20"/>
              </w:rPr>
            </w:pPr>
            <w:r w:rsidRPr="00EA0DC7">
              <w:rPr>
                <w:rFonts w:ascii="Wingdings" w:eastAsia="Times New Roman" w:hAnsi="Wingdings" w:cs="Times New Roman"/>
                <w:sz w:val="20"/>
                <w:szCs w:val="20"/>
              </w:rPr>
              <w:sym w:font="Wingdings" w:char="F0FC"/>
            </w:r>
          </w:p>
        </w:tc>
        <w:tc>
          <w:tcPr>
            <w:tcW w:w="1106" w:type="dxa"/>
            <w:tcBorders>
              <w:left w:val="nil"/>
              <w:bottom w:val="nil"/>
              <w:right w:val="nil"/>
            </w:tcBorders>
            <w:shd w:val="clear" w:color="auto" w:fill="auto"/>
            <w:noWrap/>
            <w:vAlign w:val="center"/>
          </w:tcPr>
          <w:p w14:paraId="50EE2BAD" w14:textId="77777777" w:rsidR="0026064C" w:rsidRPr="00EA0DC7" w:rsidRDefault="0026064C" w:rsidP="00656F0F">
            <w:pPr>
              <w:spacing w:line="240" w:lineRule="auto"/>
              <w:jc w:val="center"/>
              <w:rPr>
                <w:rFonts w:ascii="Calibri" w:eastAsia="Times New Roman" w:hAnsi="Calibri" w:cs="Times New Roman"/>
              </w:rPr>
            </w:pPr>
          </w:p>
        </w:tc>
        <w:tc>
          <w:tcPr>
            <w:tcW w:w="1361" w:type="dxa"/>
            <w:tcBorders>
              <w:left w:val="nil"/>
              <w:bottom w:val="nil"/>
              <w:right w:val="nil"/>
            </w:tcBorders>
            <w:shd w:val="clear" w:color="auto" w:fill="auto"/>
            <w:vAlign w:val="center"/>
          </w:tcPr>
          <w:p w14:paraId="5C0E6709"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19</w:t>
            </w:r>
          </w:p>
        </w:tc>
      </w:tr>
      <w:tr w:rsidR="0026064C" w:rsidRPr="00EA0DC7" w14:paraId="3B2D5223" w14:textId="77777777" w:rsidTr="004979A5">
        <w:trPr>
          <w:trHeight w:val="957"/>
        </w:trPr>
        <w:tc>
          <w:tcPr>
            <w:tcW w:w="739" w:type="dxa"/>
            <w:tcBorders>
              <w:top w:val="nil"/>
              <w:left w:val="nil"/>
              <w:right w:val="nil"/>
            </w:tcBorders>
            <w:shd w:val="clear" w:color="auto" w:fill="auto"/>
            <w:noWrap/>
            <w:hideMark/>
          </w:tcPr>
          <w:p w14:paraId="4D78C618"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1979</w:t>
            </w:r>
          </w:p>
        </w:tc>
        <w:tc>
          <w:tcPr>
            <w:tcW w:w="2351" w:type="dxa"/>
            <w:tcBorders>
              <w:top w:val="nil"/>
              <w:left w:val="nil"/>
              <w:right w:val="nil"/>
            </w:tcBorders>
            <w:shd w:val="clear" w:color="auto" w:fill="auto"/>
            <w:hideMark/>
          </w:tcPr>
          <w:p w14:paraId="2D545BB0" w14:textId="45A157B4" w:rsidR="0026064C" w:rsidRPr="00EA0DC7" w:rsidRDefault="007C5941" w:rsidP="00656F0F">
            <w:pPr>
              <w:spacing w:line="240" w:lineRule="auto"/>
              <w:jc w:val="left"/>
              <w:rPr>
                <w:rFonts w:eastAsia="Times New Roman" w:cs="Arial"/>
                <w:sz w:val="20"/>
                <w:szCs w:val="20"/>
              </w:rPr>
            </w:pPr>
            <w:r w:rsidRPr="00EA0DC7">
              <w:rPr>
                <w:rFonts w:eastAsia="Times New Roman" w:cs="Arial"/>
                <w:sz w:val="20"/>
                <w:szCs w:val="20"/>
              </w:rPr>
              <w:t>Supervisor t</w:t>
            </w:r>
            <w:r w:rsidR="0026064C" w:rsidRPr="00EA0DC7">
              <w:rPr>
                <w:rFonts w:eastAsia="Times New Roman" w:cs="Arial"/>
                <w:sz w:val="20"/>
                <w:szCs w:val="20"/>
              </w:rPr>
              <w:t xml:space="preserve">raining: A discrimination model </w:t>
            </w:r>
            <w:r w:rsidR="0026064C" w:rsidRPr="00EA0DC7">
              <w:rPr>
                <w:rFonts w:eastAsia="Times New Roman" w:cs="Arial"/>
                <w:noProof/>
                <w:sz w:val="20"/>
                <w:szCs w:val="20"/>
              </w:rPr>
              <w:t>(Bernard, 1979)</w:t>
            </w:r>
          </w:p>
        </w:tc>
        <w:tc>
          <w:tcPr>
            <w:tcW w:w="1887" w:type="dxa"/>
            <w:tcBorders>
              <w:top w:val="nil"/>
              <w:left w:val="nil"/>
              <w:right w:val="nil"/>
            </w:tcBorders>
            <w:shd w:val="clear" w:color="auto" w:fill="auto"/>
            <w:noWrap/>
            <w:hideMark/>
          </w:tcPr>
          <w:p w14:paraId="184E4808" w14:textId="77777777" w:rsidR="0026064C" w:rsidRPr="00EA0DC7" w:rsidRDefault="0026064C" w:rsidP="00656F0F">
            <w:pPr>
              <w:spacing w:line="240" w:lineRule="auto"/>
              <w:jc w:val="left"/>
              <w:rPr>
                <w:rFonts w:ascii="Calibri" w:eastAsia="Times New Roman" w:hAnsi="Calibri" w:cs="Times New Roman"/>
              </w:rPr>
            </w:pPr>
            <w:r w:rsidRPr="00EA0DC7">
              <w:rPr>
                <w:rFonts w:eastAsia="Times New Roman" w:cs="Arial"/>
                <w:sz w:val="20"/>
                <w:szCs w:val="20"/>
              </w:rPr>
              <w:t xml:space="preserve">The Discrimination Model </w:t>
            </w:r>
          </w:p>
        </w:tc>
        <w:tc>
          <w:tcPr>
            <w:tcW w:w="3969" w:type="dxa"/>
            <w:tcBorders>
              <w:top w:val="nil"/>
              <w:left w:val="nil"/>
              <w:right w:val="nil"/>
            </w:tcBorders>
            <w:shd w:val="clear" w:color="auto" w:fill="auto"/>
            <w:hideMark/>
          </w:tcPr>
          <w:p w14:paraId="0E2E0D43"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Highlights three functions (process skills, conceptualisation skills, and personalisation skills), and three supervisory roles (teacher, counsellor, and consultant).</w:t>
            </w:r>
          </w:p>
        </w:tc>
        <w:tc>
          <w:tcPr>
            <w:tcW w:w="1362" w:type="dxa"/>
            <w:tcBorders>
              <w:top w:val="nil"/>
              <w:left w:val="nil"/>
              <w:right w:val="nil"/>
            </w:tcBorders>
            <w:shd w:val="clear" w:color="auto" w:fill="auto"/>
            <w:noWrap/>
            <w:vAlign w:val="center"/>
            <w:hideMark/>
          </w:tcPr>
          <w:p w14:paraId="17BF7937"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2799FD76" w14:textId="77777777" w:rsidR="0026064C" w:rsidRPr="00EA0DC7" w:rsidRDefault="0026064C" w:rsidP="00656F0F">
            <w:pPr>
              <w:spacing w:line="240" w:lineRule="auto"/>
              <w:jc w:val="center"/>
              <w:rPr>
                <w:rFonts w:ascii="Wingdings" w:eastAsia="Times New Roman" w:hAnsi="Wingdings" w:cs="Times New Roman"/>
                <w:sz w:val="20"/>
                <w:szCs w:val="20"/>
              </w:rPr>
            </w:pPr>
          </w:p>
        </w:tc>
        <w:tc>
          <w:tcPr>
            <w:tcW w:w="1106" w:type="dxa"/>
            <w:tcBorders>
              <w:top w:val="nil"/>
              <w:left w:val="nil"/>
              <w:right w:val="nil"/>
            </w:tcBorders>
            <w:shd w:val="clear" w:color="auto" w:fill="auto"/>
            <w:noWrap/>
            <w:vAlign w:val="center"/>
            <w:hideMark/>
          </w:tcPr>
          <w:p w14:paraId="599D6079" w14:textId="77777777" w:rsidR="0026064C" w:rsidRPr="00EA0DC7" w:rsidRDefault="0026064C" w:rsidP="00656F0F">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058ADC2D"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14</w:t>
            </w:r>
          </w:p>
        </w:tc>
      </w:tr>
      <w:tr w:rsidR="0026064C" w:rsidRPr="00EA0DC7" w14:paraId="0A5AD28B" w14:textId="77777777" w:rsidTr="004979A5">
        <w:trPr>
          <w:trHeight w:val="237"/>
        </w:trPr>
        <w:tc>
          <w:tcPr>
            <w:tcW w:w="739" w:type="dxa"/>
            <w:tcBorders>
              <w:top w:val="nil"/>
              <w:left w:val="nil"/>
              <w:bottom w:val="single" w:sz="4" w:space="0" w:color="auto"/>
              <w:right w:val="nil"/>
            </w:tcBorders>
            <w:shd w:val="clear" w:color="auto" w:fill="auto"/>
            <w:noWrap/>
            <w:hideMark/>
          </w:tcPr>
          <w:p w14:paraId="54B4CD80"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1979</w:t>
            </w:r>
          </w:p>
        </w:tc>
        <w:tc>
          <w:tcPr>
            <w:tcW w:w="2351" w:type="dxa"/>
            <w:tcBorders>
              <w:top w:val="nil"/>
              <w:left w:val="nil"/>
              <w:bottom w:val="single" w:sz="4" w:space="0" w:color="auto"/>
              <w:right w:val="nil"/>
            </w:tcBorders>
            <w:shd w:val="clear" w:color="auto" w:fill="auto"/>
            <w:hideMark/>
          </w:tcPr>
          <w:p w14:paraId="373C7799"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 xml:space="preserve">A developmental framework for counseling supervision </w:t>
            </w:r>
            <w:r w:rsidRPr="00EA0DC7">
              <w:rPr>
                <w:rFonts w:eastAsia="Times New Roman" w:cs="Arial"/>
                <w:noProof/>
                <w:sz w:val="20"/>
                <w:szCs w:val="20"/>
              </w:rPr>
              <w:t>(Littrell, Lee-Borden, &amp; Lorenz, 1979)</w:t>
            </w:r>
          </w:p>
        </w:tc>
        <w:tc>
          <w:tcPr>
            <w:tcW w:w="1887" w:type="dxa"/>
            <w:tcBorders>
              <w:top w:val="nil"/>
              <w:left w:val="nil"/>
              <w:bottom w:val="single" w:sz="4" w:space="0" w:color="auto"/>
              <w:right w:val="nil"/>
            </w:tcBorders>
            <w:shd w:val="clear" w:color="auto" w:fill="auto"/>
            <w:hideMark/>
          </w:tcPr>
          <w:p w14:paraId="25C50917" w14:textId="77777777" w:rsidR="0026064C" w:rsidRPr="00EA0DC7" w:rsidRDefault="0026064C" w:rsidP="00656F0F">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nil"/>
              <w:left w:val="nil"/>
              <w:bottom w:val="single" w:sz="4" w:space="0" w:color="auto"/>
              <w:right w:val="nil"/>
            </w:tcBorders>
            <w:shd w:val="clear" w:color="auto" w:fill="auto"/>
            <w:hideMark/>
          </w:tcPr>
          <w:p w14:paraId="12FA8F66" w14:textId="77777777" w:rsidR="0026064C" w:rsidRPr="00EA0DC7" w:rsidRDefault="0026064C" w:rsidP="00656F0F">
            <w:pPr>
              <w:spacing w:line="240" w:lineRule="auto"/>
              <w:jc w:val="left"/>
              <w:rPr>
                <w:rFonts w:eastAsia="Times New Roman" w:cs="Arial"/>
                <w:sz w:val="20"/>
                <w:szCs w:val="20"/>
              </w:rPr>
            </w:pPr>
            <w:r w:rsidRPr="00EA0DC7">
              <w:rPr>
                <w:rFonts w:eastAsia="Times New Roman" w:cs="Arial"/>
                <w:sz w:val="20"/>
                <w:szCs w:val="20"/>
              </w:rPr>
              <w:t>Incorporates four models of supervision (counselling/therapeutic, teaching, consulting, and self-supervising).</w:t>
            </w:r>
          </w:p>
        </w:tc>
        <w:tc>
          <w:tcPr>
            <w:tcW w:w="1362" w:type="dxa"/>
            <w:tcBorders>
              <w:top w:val="nil"/>
              <w:left w:val="nil"/>
              <w:bottom w:val="single" w:sz="4" w:space="0" w:color="auto"/>
              <w:right w:val="nil"/>
            </w:tcBorders>
            <w:shd w:val="clear" w:color="auto" w:fill="auto"/>
            <w:noWrap/>
            <w:vAlign w:val="center"/>
            <w:hideMark/>
          </w:tcPr>
          <w:p w14:paraId="315BFFF1"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hideMark/>
          </w:tcPr>
          <w:p w14:paraId="317689C2" w14:textId="77777777" w:rsidR="0026064C" w:rsidRPr="00EA0DC7" w:rsidRDefault="0026064C" w:rsidP="00656F0F">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nil"/>
              <w:left w:val="nil"/>
              <w:bottom w:val="single" w:sz="4" w:space="0" w:color="auto"/>
              <w:right w:val="nil"/>
            </w:tcBorders>
            <w:shd w:val="clear" w:color="auto" w:fill="auto"/>
            <w:noWrap/>
            <w:vAlign w:val="center"/>
            <w:hideMark/>
          </w:tcPr>
          <w:p w14:paraId="2B8F9CB6" w14:textId="77777777" w:rsidR="0026064C" w:rsidRPr="00EA0DC7" w:rsidRDefault="0026064C" w:rsidP="00656F0F">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3F7BC5AA"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16</w:t>
            </w:r>
          </w:p>
        </w:tc>
      </w:tr>
    </w:tbl>
    <w:p w14:paraId="594BD26C"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05"/>
        <w:gridCol w:w="1887"/>
        <w:gridCol w:w="3814"/>
        <w:gridCol w:w="1450"/>
        <w:gridCol w:w="1261"/>
        <w:gridCol w:w="1183"/>
        <w:gridCol w:w="1342"/>
      </w:tblGrid>
      <w:tr w:rsidR="0026064C" w:rsidRPr="00EA0DC7" w14:paraId="71F545FD" w14:textId="77777777" w:rsidTr="004979A5">
        <w:trPr>
          <w:trHeight w:val="80"/>
        </w:trPr>
        <w:tc>
          <w:tcPr>
            <w:tcW w:w="739" w:type="dxa"/>
            <w:tcBorders>
              <w:top w:val="single" w:sz="4" w:space="0" w:color="auto"/>
              <w:left w:val="nil"/>
              <w:bottom w:val="single" w:sz="4" w:space="0" w:color="auto"/>
              <w:right w:val="nil"/>
            </w:tcBorders>
            <w:shd w:val="clear" w:color="auto" w:fill="auto"/>
            <w:noWrap/>
            <w:vAlign w:val="center"/>
            <w:hideMark/>
          </w:tcPr>
          <w:p w14:paraId="4CD44E5A" w14:textId="77777777" w:rsidR="0026064C" w:rsidRPr="00EA0DC7" w:rsidRDefault="0026064C" w:rsidP="001E34B3">
            <w:pPr>
              <w:spacing w:before="240" w:line="240" w:lineRule="auto"/>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hideMark/>
          </w:tcPr>
          <w:p w14:paraId="07CEB9BA" w14:textId="77777777" w:rsidR="0026064C" w:rsidRPr="00EA0DC7" w:rsidRDefault="0026064C" w:rsidP="001E34B3">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noWrap/>
            <w:vAlign w:val="center"/>
            <w:hideMark/>
          </w:tcPr>
          <w:p w14:paraId="20B7BEAF" w14:textId="77777777" w:rsidR="0026064C" w:rsidRPr="00EA0DC7" w:rsidRDefault="0026064C" w:rsidP="001E34B3">
            <w:pPr>
              <w:spacing w:before="240"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hideMark/>
          </w:tcPr>
          <w:p w14:paraId="441AF632" w14:textId="77777777" w:rsidR="0026064C" w:rsidRPr="00EA0DC7" w:rsidRDefault="0026064C" w:rsidP="001E34B3">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hideMark/>
          </w:tcPr>
          <w:p w14:paraId="5963C5F6" w14:textId="77777777" w:rsidR="0026064C" w:rsidRPr="00EA0DC7" w:rsidRDefault="0026064C" w:rsidP="001E34B3">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hideMark/>
          </w:tcPr>
          <w:p w14:paraId="63AE5A7D" w14:textId="77777777" w:rsidR="0026064C" w:rsidRPr="00EA0DC7" w:rsidRDefault="0026064C" w:rsidP="001E34B3">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32D24B5F" w14:textId="77777777" w:rsidR="0026064C" w:rsidRPr="00EA0DC7" w:rsidRDefault="0026064C" w:rsidP="001E34B3">
            <w:pPr>
              <w:spacing w:line="240" w:lineRule="auto"/>
              <w:jc w:val="center"/>
              <w:rPr>
                <w:rFonts w:ascii="Calibri" w:eastAsia="Times New Roman" w:hAnsi="Calibri" w:cs="Times New Roman"/>
                <w:b/>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hideMark/>
          </w:tcPr>
          <w:p w14:paraId="48A24CCF" w14:textId="77777777" w:rsidR="0026064C" w:rsidRPr="00EA0DC7" w:rsidRDefault="0026064C" w:rsidP="001E34B3">
            <w:pPr>
              <w:spacing w:before="240" w:line="240" w:lineRule="auto"/>
              <w:jc w:val="center"/>
              <w:rPr>
                <w:rFonts w:ascii="Calibri" w:eastAsia="Times New Roman" w:hAnsi="Calibri" w:cs="Times New Roman"/>
                <w:b/>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hideMark/>
          </w:tcPr>
          <w:p w14:paraId="0B17DB01" w14:textId="205A274B" w:rsidR="0026064C" w:rsidRPr="00EA0DC7" w:rsidRDefault="001E34B3" w:rsidP="001E34B3">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2D397F3E" w14:textId="77777777" w:rsidR="0026064C" w:rsidRPr="00EA0DC7" w:rsidRDefault="0026064C" w:rsidP="001E34B3">
            <w:pPr>
              <w:spacing w:after="0" w:line="240" w:lineRule="auto"/>
              <w:jc w:val="center"/>
              <w:rPr>
                <w:rFonts w:eastAsia="Times New Roman" w:cs="Arial"/>
                <w:b/>
                <w:sz w:val="20"/>
                <w:szCs w:val="20"/>
              </w:rPr>
            </w:pPr>
            <w:r w:rsidRPr="00EA0DC7">
              <w:rPr>
                <w:rFonts w:eastAsia="Times New Roman" w:cs="Arial"/>
                <w:b/>
                <w:sz w:val="20"/>
                <w:szCs w:val="20"/>
              </w:rPr>
              <w:t>elements</w:t>
            </w:r>
          </w:p>
          <w:p w14:paraId="11D34B1D" w14:textId="09FD7304" w:rsidR="0026064C" w:rsidRPr="00EA0DC7" w:rsidRDefault="001E34B3" w:rsidP="001E34B3">
            <w:pPr>
              <w:spacing w:line="240" w:lineRule="auto"/>
              <w:jc w:val="center"/>
              <w:rPr>
                <w:rFonts w:eastAsia="Times New Roman" w:cs="Arial"/>
                <w:b/>
                <w:sz w:val="20"/>
                <w:szCs w:val="20"/>
              </w:rPr>
            </w:pPr>
            <w:r w:rsidRPr="00EA0DC7">
              <w:rPr>
                <w:rFonts w:eastAsia="Times New Roman" w:cs="Arial"/>
                <w:b/>
                <w:sz w:val="20"/>
                <w:szCs w:val="20"/>
              </w:rPr>
              <w:t>i</w:t>
            </w:r>
            <w:r w:rsidR="0026064C" w:rsidRPr="00EA0DC7">
              <w:rPr>
                <w:rFonts w:eastAsia="Times New Roman" w:cs="Arial"/>
                <w:b/>
                <w:sz w:val="20"/>
                <w:szCs w:val="20"/>
              </w:rPr>
              <w:t>n model</w:t>
            </w:r>
          </w:p>
        </w:tc>
      </w:tr>
      <w:tr w:rsidR="0026064C" w:rsidRPr="00EA0DC7" w14:paraId="0657E637" w14:textId="77777777" w:rsidTr="004979A5">
        <w:trPr>
          <w:trHeight w:val="446"/>
        </w:trPr>
        <w:tc>
          <w:tcPr>
            <w:tcW w:w="739" w:type="dxa"/>
            <w:tcBorders>
              <w:top w:val="nil"/>
              <w:left w:val="nil"/>
              <w:right w:val="nil"/>
            </w:tcBorders>
            <w:shd w:val="clear" w:color="auto" w:fill="auto"/>
            <w:noWrap/>
            <w:hideMark/>
          </w:tcPr>
          <w:p w14:paraId="698AEC6D" w14:textId="77777777" w:rsidR="0026064C" w:rsidRPr="00EA0DC7" w:rsidRDefault="0026064C" w:rsidP="001E34B3">
            <w:pPr>
              <w:spacing w:line="240" w:lineRule="auto"/>
              <w:jc w:val="left"/>
              <w:rPr>
                <w:rFonts w:eastAsia="Times New Roman" w:cs="Arial"/>
                <w:sz w:val="20"/>
                <w:szCs w:val="20"/>
              </w:rPr>
            </w:pPr>
            <w:r w:rsidRPr="00EA0DC7">
              <w:rPr>
                <w:rFonts w:eastAsia="Times New Roman" w:cs="Arial"/>
                <w:sz w:val="20"/>
                <w:szCs w:val="20"/>
              </w:rPr>
              <w:t>1980</w:t>
            </w:r>
          </w:p>
        </w:tc>
        <w:tc>
          <w:tcPr>
            <w:tcW w:w="2351" w:type="dxa"/>
            <w:tcBorders>
              <w:top w:val="nil"/>
              <w:left w:val="nil"/>
              <w:right w:val="nil"/>
            </w:tcBorders>
            <w:shd w:val="clear" w:color="auto" w:fill="auto"/>
            <w:hideMark/>
          </w:tcPr>
          <w:p w14:paraId="119CF2A2" w14:textId="77777777" w:rsidR="0026064C" w:rsidRPr="00EA0DC7" w:rsidRDefault="0026064C" w:rsidP="001E34B3">
            <w:pPr>
              <w:spacing w:line="240" w:lineRule="auto"/>
              <w:jc w:val="left"/>
              <w:rPr>
                <w:rFonts w:eastAsia="Times New Roman" w:cs="Arial"/>
                <w:sz w:val="20"/>
                <w:szCs w:val="20"/>
              </w:rPr>
            </w:pPr>
            <w:r w:rsidRPr="00EA0DC7">
              <w:rPr>
                <w:rFonts w:eastAsia="Times New Roman" w:cs="Arial"/>
                <w:sz w:val="20"/>
                <w:szCs w:val="20"/>
              </w:rPr>
              <w:t xml:space="preserve">Supervision and the bipersonal field </w:t>
            </w:r>
            <w:r w:rsidRPr="00EA0DC7">
              <w:rPr>
                <w:rFonts w:eastAsia="Times New Roman" w:cs="Arial"/>
                <w:noProof/>
                <w:sz w:val="20"/>
                <w:szCs w:val="20"/>
              </w:rPr>
              <w:t>(Langs, 1980)</w:t>
            </w:r>
          </w:p>
        </w:tc>
        <w:tc>
          <w:tcPr>
            <w:tcW w:w="1887" w:type="dxa"/>
            <w:tcBorders>
              <w:top w:val="nil"/>
              <w:left w:val="nil"/>
              <w:right w:val="nil"/>
            </w:tcBorders>
            <w:shd w:val="clear" w:color="auto" w:fill="auto"/>
            <w:noWrap/>
            <w:hideMark/>
          </w:tcPr>
          <w:p w14:paraId="4D14ECF2" w14:textId="77777777" w:rsidR="0026064C" w:rsidRPr="00EA0DC7" w:rsidRDefault="0026064C" w:rsidP="001E34B3">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36D2CD51" w14:textId="77777777" w:rsidR="0026064C" w:rsidRPr="00EA0DC7" w:rsidRDefault="0026064C" w:rsidP="001E34B3">
            <w:pPr>
              <w:spacing w:line="240" w:lineRule="auto"/>
              <w:jc w:val="left"/>
              <w:rPr>
                <w:rFonts w:eastAsia="Times New Roman" w:cs="Arial"/>
                <w:sz w:val="20"/>
                <w:szCs w:val="20"/>
              </w:rPr>
            </w:pPr>
            <w:r w:rsidRPr="00EA0DC7">
              <w:rPr>
                <w:rFonts w:eastAsia="Times New Roman" w:cs="Arial"/>
                <w:sz w:val="20"/>
                <w:szCs w:val="20"/>
              </w:rPr>
              <w:t>An adaptational-interactional model of supervision of psychoanalytic psychotherapy.</w:t>
            </w:r>
          </w:p>
        </w:tc>
        <w:tc>
          <w:tcPr>
            <w:tcW w:w="1362" w:type="dxa"/>
            <w:tcBorders>
              <w:top w:val="nil"/>
              <w:left w:val="nil"/>
              <w:right w:val="nil"/>
            </w:tcBorders>
            <w:shd w:val="clear" w:color="auto" w:fill="auto"/>
            <w:noWrap/>
            <w:vAlign w:val="center"/>
            <w:hideMark/>
          </w:tcPr>
          <w:p w14:paraId="501B6841" w14:textId="77777777" w:rsidR="0026064C" w:rsidRPr="00EA0DC7" w:rsidRDefault="0026064C" w:rsidP="001E34B3">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467B588F" w14:textId="77777777" w:rsidR="0026064C" w:rsidRPr="00EA0DC7" w:rsidRDefault="0026064C" w:rsidP="001E34B3">
            <w:pPr>
              <w:spacing w:line="240" w:lineRule="auto"/>
              <w:jc w:val="center"/>
              <w:rPr>
                <w:rFonts w:ascii="Wingdings" w:eastAsia="Times New Roman" w:hAnsi="Wingdings" w:cs="Times New Roman"/>
                <w:sz w:val="20"/>
                <w:szCs w:val="20"/>
              </w:rPr>
            </w:pPr>
          </w:p>
        </w:tc>
        <w:tc>
          <w:tcPr>
            <w:tcW w:w="1106" w:type="dxa"/>
            <w:tcBorders>
              <w:top w:val="nil"/>
              <w:left w:val="nil"/>
              <w:right w:val="nil"/>
            </w:tcBorders>
            <w:shd w:val="clear" w:color="auto" w:fill="auto"/>
            <w:noWrap/>
            <w:vAlign w:val="center"/>
            <w:hideMark/>
          </w:tcPr>
          <w:p w14:paraId="050142B7" w14:textId="77777777" w:rsidR="0026064C" w:rsidRPr="00EA0DC7" w:rsidRDefault="0026064C" w:rsidP="001E34B3">
            <w:pPr>
              <w:spacing w:line="240" w:lineRule="auto"/>
              <w:jc w:val="center"/>
              <w:rPr>
                <w:rFonts w:ascii="Wingdings" w:eastAsia="Times New Roman" w:hAnsi="Wingdings" w:cs="Times New Roman"/>
                <w:sz w:val="20"/>
                <w:szCs w:val="20"/>
              </w:rPr>
            </w:pPr>
          </w:p>
        </w:tc>
        <w:tc>
          <w:tcPr>
            <w:tcW w:w="1361" w:type="dxa"/>
            <w:tcBorders>
              <w:top w:val="nil"/>
              <w:left w:val="nil"/>
              <w:right w:val="nil"/>
            </w:tcBorders>
            <w:shd w:val="clear" w:color="auto" w:fill="auto"/>
            <w:vAlign w:val="center"/>
            <w:hideMark/>
          </w:tcPr>
          <w:p w14:paraId="1C691503" w14:textId="77777777" w:rsidR="0026064C" w:rsidRPr="00EA0DC7" w:rsidRDefault="0026064C" w:rsidP="001E34B3">
            <w:pPr>
              <w:spacing w:line="240" w:lineRule="auto"/>
              <w:jc w:val="center"/>
              <w:rPr>
                <w:rFonts w:eastAsia="Times New Roman" w:cs="Arial"/>
                <w:sz w:val="20"/>
                <w:szCs w:val="20"/>
              </w:rPr>
            </w:pPr>
            <w:r w:rsidRPr="00EA0DC7">
              <w:rPr>
                <w:rFonts w:eastAsia="Times New Roman" w:cs="Arial"/>
                <w:sz w:val="20"/>
                <w:szCs w:val="20"/>
              </w:rPr>
              <w:t>14</w:t>
            </w:r>
          </w:p>
        </w:tc>
      </w:tr>
      <w:tr w:rsidR="0026064C" w:rsidRPr="00EA0DC7" w14:paraId="2EC718C5" w14:textId="77777777" w:rsidTr="004979A5">
        <w:trPr>
          <w:trHeight w:val="137"/>
        </w:trPr>
        <w:tc>
          <w:tcPr>
            <w:tcW w:w="739" w:type="dxa"/>
            <w:tcBorders>
              <w:top w:val="nil"/>
              <w:left w:val="nil"/>
              <w:right w:val="nil"/>
            </w:tcBorders>
            <w:shd w:val="clear" w:color="auto" w:fill="auto"/>
            <w:noWrap/>
            <w:hideMark/>
          </w:tcPr>
          <w:p w14:paraId="75278273"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1980</w:t>
            </w:r>
          </w:p>
        </w:tc>
        <w:tc>
          <w:tcPr>
            <w:tcW w:w="2351" w:type="dxa"/>
            <w:tcBorders>
              <w:top w:val="nil"/>
              <w:left w:val="nil"/>
              <w:right w:val="nil"/>
            </w:tcBorders>
            <w:shd w:val="clear" w:color="auto" w:fill="auto"/>
            <w:hideMark/>
          </w:tcPr>
          <w:p w14:paraId="07C4780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client-centered approach to the supervision of psychotherapy </w:t>
            </w:r>
            <w:r w:rsidRPr="00EA0DC7">
              <w:rPr>
                <w:rFonts w:eastAsia="Times New Roman" w:cs="Arial"/>
                <w:noProof/>
                <w:sz w:val="20"/>
                <w:szCs w:val="20"/>
              </w:rPr>
              <w:t>(Rice, 1980)</w:t>
            </w:r>
          </w:p>
        </w:tc>
        <w:tc>
          <w:tcPr>
            <w:tcW w:w="1887" w:type="dxa"/>
            <w:tcBorders>
              <w:top w:val="nil"/>
              <w:left w:val="nil"/>
              <w:right w:val="nil"/>
            </w:tcBorders>
            <w:shd w:val="clear" w:color="auto" w:fill="auto"/>
            <w:noWrap/>
            <w:hideMark/>
          </w:tcPr>
          <w:p w14:paraId="173C8C84"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08E768B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An approach to supervision based on client-centred theory.</w:t>
            </w:r>
          </w:p>
        </w:tc>
        <w:tc>
          <w:tcPr>
            <w:tcW w:w="1362" w:type="dxa"/>
            <w:tcBorders>
              <w:top w:val="nil"/>
              <w:left w:val="nil"/>
              <w:right w:val="nil"/>
            </w:tcBorders>
            <w:shd w:val="clear" w:color="auto" w:fill="auto"/>
            <w:noWrap/>
            <w:vAlign w:val="center"/>
            <w:hideMark/>
          </w:tcPr>
          <w:p w14:paraId="30A9EAC2"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019FF4FD" w14:textId="77777777" w:rsidR="0026064C" w:rsidRPr="00EA0DC7" w:rsidRDefault="0026064C" w:rsidP="00CA2778">
            <w:pPr>
              <w:spacing w:line="240" w:lineRule="auto"/>
              <w:jc w:val="center"/>
              <w:rPr>
                <w:rFonts w:ascii="Calibri" w:eastAsia="Times New Roman" w:hAnsi="Calibri" w:cs="Times New Roman"/>
              </w:rPr>
            </w:pPr>
          </w:p>
        </w:tc>
        <w:tc>
          <w:tcPr>
            <w:tcW w:w="1106" w:type="dxa"/>
            <w:tcBorders>
              <w:top w:val="nil"/>
              <w:left w:val="nil"/>
              <w:right w:val="nil"/>
            </w:tcBorders>
            <w:shd w:val="clear" w:color="auto" w:fill="auto"/>
            <w:noWrap/>
            <w:vAlign w:val="center"/>
            <w:hideMark/>
          </w:tcPr>
          <w:p w14:paraId="70863F96" w14:textId="77777777" w:rsidR="0026064C" w:rsidRPr="00EA0DC7" w:rsidRDefault="0026064C" w:rsidP="00CA2778">
            <w:pPr>
              <w:spacing w:line="240" w:lineRule="auto"/>
              <w:jc w:val="center"/>
              <w:rPr>
                <w:rFonts w:ascii="Calibri" w:eastAsia="Times New Roman" w:hAnsi="Calibri" w:cs="Times New Roman"/>
              </w:rPr>
            </w:pPr>
          </w:p>
        </w:tc>
        <w:tc>
          <w:tcPr>
            <w:tcW w:w="1361" w:type="dxa"/>
            <w:tcBorders>
              <w:top w:val="nil"/>
              <w:left w:val="nil"/>
              <w:right w:val="nil"/>
            </w:tcBorders>
            <w:shd w:val="clear" w:color="auto" w:fill="auto"/>
            <w:vAlign w:val="center"/>
            <w:hideMark/>
          </w:tcPr>
          <w:p w14:paraId="694247BD"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12</w:t>
            </w:r>
          </w:p>
        </w:tc>
      </w:tr>
      <w:tr w:rsidR="0026064C" w:rsidRPr="00EA0DC7" w14:paraId="1BEFD143" w14:textId="77777777" w:rsidTr="007C5941">
        <w:trPr>
          <w:trHeight w:val="426"/>
        </w:trPr>
        <w:tc>
          <w:tcPr>
            <w:tcW w:w="739" w:type="dxa"/>
            <w:tcBorders>
              <w:left w:val="nil"/>
              <w:bottom w:val="nil"/>
              <w:right w:val="nil"/>
            </w:tcBorders>
            <w:shd w:val="clear" w:color="auto" w:fill="auto"/>
            <w:noWrap/>
          </w:tcPr>
          <w:p w14:paraId="270E01C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1980</w:t>
            </w:r>
          </w:p>
        </w:tc>
        <w:tc>
          <w:tcPr>
            <w:tcW w:w="2351" w:type="dxa"/>
            <w:tcBorders>
              <w:left w:val="nil"/>
              <w:bottom w:val="nil"/>
              <w:right w:val="nil"/>
            </w:tcBorders>
            <w:shd w:val="clear" w:color="auto" w:fill="auto"/>
          </w:tcPr>
          <w:p w14:paraId="5F6607D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of behavior therapy </w:t>
            </w:r>
            <w:r w:rsidRPr="00EA0DC7">
              <w:rPr>
                <w:rFonts w:eastAsia="Times New Roman" w:cs="Arial"/>
                <w:noProof/>
                <w:sz w:val="20"/>
                <w:szCs w:val="20"/>
              </w:rPr>
              <w:t>(Linehan, 1980)</w:t>
            </w:r>
          </w:p>
        </w:tc>
        <w:tc>
          <w:tcPr>
            <w:tcW w:w="1887" w:type="dxa"/>
            <w:tcBorders>
              <w:left w:val="nil"/>
              <w:bottom w:val="nil"/>
              <w:right w:val="nil"/>
            </w:tcBorders>
            <w:shd w:val="clear" w:color="auto" w:fill="auto"/>
            <w:noWrap/>
          </w:tcPr>
          <w:p w14:paraId="68472B20"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Three-Dimensional Model of Behavioral Supervision</w:t>
            </w:r>
          </w:p>
        </w:tc>
        <w:tc>
          <w:tcPr>
            <w:tcW w:w="3969" w:type="dxa"/>
            <w:tcBorders>
              <w:left w:val="nil"/>
              <w:bottom w:val="nil"/>
              <w:right w:val="nil"/>
            </w:tcBorders>
            <w:shd w:val="clear" w:color="auto" w:fill="auto"/>
          </w:tcPr>
          <w:p w14:paraId="0D4E660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An approach to supervision of behaviour therapy based on three dimensions (goals of supervision; methods and procedures used to achieve the goals; and the universes).</w:t>
            </w:r>
          </w:p>
        </w:tc>
        <w:tc>
          <w:tcPr>
            <w:tcW w:w="1362" w:type="dxa"/>
            <w:tcBorders>
              <w:left w:val="nil"/>
              <w:bottom w:val="nil"/>
              <w:right w:val="nil"/>
            </w:tcBorders>
            <w:shd w:val="clear" w:color="auto" w:fill="auto"/>
            <w:noWrap/>
            <w:vAlign w:val="center"/>
          </w:tcPr>
          <w:p w14:paraId="13AD20F8"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left w:val="nil"/>
              <w:bottom w:val="nil"/>
              <w:right w:val="nil"/>
            </w:tcBorders>
            <w:shd w:val="clear" w:color="auto" w:fill="auto"/>
            <w:noWrap/>
            <w:vAlign w:val="center"/>
          </w:tcPr>
          <w:p w14:paraId="73D67852" w14:textId="77777777" w:rsidR="0026064C" w:rsidRPr="00EA0DC7" w:rsidRDefault="0026064C" w:rsidP="007C5941">
            <w:pPr>
              <w:spacing w:after="0"/>
              <w:jc w:val="center"/>
              <w:rPr>
                <w:rFonts w:eastAsia="Times New Roman" w:cs="Arial"/>
                <w:sz w:val="20"/>
                <w:szCs w:val="20"/>
              </w:rPr>
            </w:pPr>
            <w:r w:rsidRPr="00EA0DC7">
              <w:rPr>
                <w:rFonts w:ascii="Wingdings" w:eastAsia="Times New Roman" w:hAnsi="Wingdings" w:cs="Times New Roman"/>
                <w:sz w:val="20"/>
                <w:szCs w:val="20"/>
              </w:rPr>
              <w:sym w:font="Wingdings" w:char="F0FC"/>
            </w:r>
          </w:p>
        </w:tc>
        <w:tc>
          <w:tcPr>
            <w:tcW w:w="1106" w:type="dxa"/>
            <w:tcBorders>
              <w:left w:val="nil"/>
              <w:bottom w:val="nil"/>
              <w:right w:val="nil"/>
            </w:tcBorders>
            <w:shd w:val="clear" w:color="auto" w:fill="auto"/>
            <w:noWrap/>
            <w:vAlign w:val="center"/>
          </w:tcPr>
          <w:p w14:paraId="05D2E4C5" w14:textId="77777777" w:rsidR="0026064C" w:rsidRPr="00EA0DC7" w:rsidRDefault="0026064C" w:rsidP="00CA2778">
            <w:pPr>
              <w:spacing w:line="240" w:lineRule="auto"/>
              <w:jc w:val="center"/>
              <w:rPr>
                <w:rFonts w:ascii="Calibri" w:eastAsia="Times New Roman" w:hAnsi="Calibri" w:cs="Times New Roman"/>
              </w:rPr>
            </w:pPr>
          </w:p>
        </w:tc>
        <w:tc>
          <w:tcPr>
            <w:tcW w:w="1361" w:type="dxa"/>
            <w:tcBorders>
              <w:left w:val="nil"/>
              <w:bottom w:val="nil"/>
              <w:right w:val="nil"/>
            </w:tcBorders>
            <w:shd w:val="clear" w:color="auto" w:fill="auto"/>
            <w:vAlign w:val="center"/>
          </w:tcPr>
          <w:p w14:paraId="069EFA2A"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19</w:t>
            </w:r>
          </w:p>
        </w:tc>
      </w:tr>
      <w:tr w:rsidR="0026064C" w:rsidRPr="00EA0DC7" w14:paraId="123D77CE" w14:textId="77777777" w:rsidTr="004979A5">
        <w:trPr>
          <w:trHeight w:val="80"/>
        </w:trPr>
        <w:tc>
          <w:tcPr>
            <w:tcW w:w="739" w:type="dxa"/>
            <w:tcBorders>
              <w:top w:val="nil"/>
              <w:left w:val="nil"/>
              <w:right w:val="nil"/>
            </w:tcBorders>
            <w:shd w:val="clear" w:color="auto" w:fill="auto"/>
            <w:noWrap/>
            <w:hideMark/>
          </w:tcPr>
          <w:p w14:paraId="5A3BAD1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1980</w:t>
            </w:r>
          </w:p>
        </w:tc>
        <w:tc>
          <w:tcPr>
            <w:tcW w:w="2351" w:type="dxa"/>
            <w:tcBorders>
              <w:top w:val="nil"/>
              <w:left w:val="nil"/>
              <w:right w:val="nil"/>
            </w:tcBorders>
            <w:shd w:val="clear" w:color="auto" w:fill="auto"/>
            <w:hideMark/>
          </w:tcPr>
          <w:p w14:paraId="3E6B21B8"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in communications analytic therapy </w:t>
            </w:r>
            <w:r w:rsidRPr="00EA0DC7">
              <w:rPr>
                <w:rFonts w:eastAsia="Times New Roman" w:cs="Arial"/>
                <w:noProof/>
                <w:sz w:val="20"/>
                <w:szCs w:val="20"/>
              </w:rPr>
              <w:t>(Beier &amp; Young, 1980)</w:t>
            </w:r>
          </w:p>
        </w:tc>
        <w:tc>
          <w:tcPr>
            <w:tcW w:w="1887" w:type="dxa"/>
            <w:tcBorders>
              <w:top w:val="nil"/>
              <w:left w:val="nil"/>
              <w:right w:val="nil"/>
            </w:tcBorders>
            <w:shd w:val="clear" w:color="auto" w:fill="auto"/>
            <w:noWrap/>
            <w:hideMark/>
          </w:tcPr>
          <w:p w14:paraId="2EF960B1"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2FFF3FC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An approach to supervision based on communications analytic theory.</w:t>
            </w:r>
          </w:p>
        </w:tc>
        <w:tc>
          <w:tcPr>
            <w:tcW w:w="1362" w:type="dxa"/>
            <w:tcBorders>
              <w:top w:val="nil"/>
              <w:left w:val="nil"/>
              <w:right w:val="nil"/>
            </w:tcBorders>
            <w:shd w:val="clear" w:color="auto" w:fill="auto"/>
            <w:noWrap/>
            <w:vAlign w:val="center"/>
            <w:hideMark/>
          </w:tcPr>
          <w:p w14:paraId="6E3E176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5F146BAF"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06" w:type="dxa"/>
            <w:tcBorders>
              <w:top w:val="nil"/>
              <w:left w:val="nil"/>
              <w:right w:val="nil"/>
            </w:tcBorders>
            <w:shd w:val="clear" w:color="auto" w:fill="auto"/>
            <w:noWrap/>
            <w:vAlign w:val="center"/>
            <w:hideMark/>
          </w:tcPr>
          <w:p w14:paraId="2D740B4A" w14:textId="77777777" w:rsidR="0026064C" w:rsidRPr="00EA0DC7" w:rsidRDefault="0026064C" w:rsidP="00CA2778">
            <w:pPr>
              <w:spacing w:line="240" w:lineRule="auto"/>
              <w:jc w:val="center"/>
              <w:rPr>
                <w:rFonts w:ascii="Calibri" w:eastAsia="Times New Roman" w:hAnsi="Calibri" w:cs="Times New Roman"/>
              </w:rPr>
            </w:pPr>
          </w:p>
        </w:tc>
        <w:tc>
          <w:tcPr>
            <w:tcW w:w="1361" w:type="dxa"/>
            <w:tcBorders>
              <w:top w:val="nil"/>
              <w:left w:val="nil"/>
              <w:right w:val="nil"/>
            </w:tcBorders>
            <w:shd w:val="clear" w:color="auto" w:fill="auto"/>
            <w:vAlign w:val="center"/>
            <w:hideMark/>
          </w:tcPr>
          <w:p w14:paraId="57E1F33E"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11</w:t>
            </w:r>
          </w:p>
        </w:tc>
      </w:tr>
      <w:tr w:rsidR="0026064C" w:rsidRPr="00EA0DC7" w14:paraId="36ED15D1" w14:textId="77777777" w:rsidTr="004979A5">
        <w:trPr>
          <w:trHeight w:val="602"/>
        </w:trPr>
        <w:tc>
          <w:tcPr>
            <w:tcW w:w="739" w:type="dxa"/>
            <w:tcBorders>
              <w:top w:val="nil"/>
              <w:left w:val="nil"/>
              <w:bottom w:val="single" w:sz="4" w:space="0" w:color="auto"/>
              <w:right w:val="nil"/>
            </w:tcBorders>
            <w:shd w:val="clear" w:color="auto" w:fill="auto"/>
            <w:noWrap/>
            <w:hideMark/>
          </w:tcPr>
          <w:p w14:paraId="5B29CAF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1981</w:t>
            </w:r>
          </w:p>
        </w:tc>
        <w:tc>
          <w:tcPr>
            <w:tcW w:w="2351" w:type="dxa"/>
            <w:tcBorders>
              <w:top w:val="nil"/>
              <w:left w:val="nil"/>
              <w:bottom w:val="single" w:sz="4" w:space="0" w:color="auto"/>
              <w:right w:val="nil"/>
            </w:tcBorders>
            <w:shd w:val="clear" w:color="auto" w:fill="auto"/>
            <w:hideMark/>
          </w:tcPr>
          <w:p w14:paraId="6D5D2BB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Approaching supervision from a developmental perspective: The counselor complexity model </w:t>
            </w:r>
            <w:r w:rsidRPr="00EA0DC7">
              <w:rPr>
                <w:rFonts w:eastAsia="Times New Roman" w:cs="Arial"/>
                <w:noProof/>
                <w:sz w:val="20"/>
                <w:szCs w:val="20"/>
              </w:rPr>
              <w:t>(Stoltenberg, 1981)</w:t>
            </w:r>
          </w:p>
        </w:tc>
        <w:tc>
          <w:tcPr>
            <w:tcW w:w="1887" w:type="dxa"/>
            <w:tcBorders>
              <w:top w:val="nil"/>
              <w:left w:val="nil"/>
              <w:bottom w:val="single" w:sz="4" w:space="0" w:color="auto"/>
              <w:right w:val="nil"/>
            </w:tcBorders>
            <w:shd w:val="clear" w:color="auto" w:fill="auto"/>
            <w:noWrap/>
            <w:hideMark/>
          </w:tcPr>
          <w:p w14:paraId="2A63FE14"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The Counselor Complexity Model </w:t>
            </w:r>
          </w:p>
        </w:tc>
        <w:tc>
          <w:tcPr>
            <w:tcW w:w="3969" w:type="dxa"/>
            <w:tcBorders>
              <w:top w:val="nil"/>
              <w:left w:val="nil"/>
              <w:bottom w:val="single" w:sz="4" w:space="0" w:color="auto"/>
              <w:right w:val="nil"/>
            </w:tcBorders>
            <w:shd w:val="clear" w:color="auto" w:fill="auto"/>
            <w:hideMark/>
          </w:tcPr>
          <w:p w14:paraId="5917080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Describes the expected counsellor characteristics and optimal environments for four levels of supervisee development.</w:t>
            </w:r>
          </w:p>
        </w:tc>
        <w:tc>
          <w:tcPr>
            <w:tcW w:w="1362" w:type="dxa"/>
            <w:tcBorders>
              <w:top w:val="nil"/>
              <w:left w:val="nil"/>
              <w:bottom w:val="single" w:sz="4" w:space="0" w:color="auto"/>
              <w:right w:val="nil"/>
            </w:tcBorders>
            <w:shd w:val="clear" w:color="auto" w:fill="auto"/>
            <w:noWrap/>
            <w:vAlign w:val="center"/>
            <w:hideMark/>
          </w:tcPr>
          <w:p w14:paraId="639BC850"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hideMark/>
          </w:tcPr>
          <w:p w14:paraId="6A6081BF" w14:textId="77777777" w:rsidR="0026064C" w:rsidRPr="00EA0DC7" w:rsidRDefault="0026064C" w:rsidP="00CA2778">
            <w:pPr>
              <w:spacing w:line="240" w:lineRule="auto"/>
              <w:jc w:val="center"/>
              <w:rPr>
                <w:rFonts w:ascii="Calibri" w:eastAsia="Times New Roman" w:hAnsi="Calibri" w:cs="Times New Roman"/>
              </w:rPr>
            </w:pPr>
          </w:p>
        </w:tc>
        <w:tc>
          <w:tcPr>
            <w:tcW w:w="1106" w:type="dxa"/>
            <w:tcBorders>
              <w:top w:val="nil"/>
              <w:left w:val="nil"/>
              <w:bottom w:val="single" w:sz="4" w:space="0" w:color="auto"/>
              <w:right w:val="nil"/>
            </w:tcBorders>
            <w:shd w:val="clear" w:color="auto" w:fill="auto"/>
            <w:noWrap/>
            <w:vAlign w:val="center"/>
            <w:hideMark/>
          </w:tcPr>
          <w:p w14:paraId="135E70AE"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29157318"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17</w:t>
            </w:r>
          </w:p>
        </w:tc>
      </w:tr>
    </w:tbl>
    <w:p w14:paraId="406AD24F"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51"/>
        <w:gridCol w:w="1887"/>
        <w:gridCol w:w="3772"/>
        <w:gridCol w:w="1450"/>
        <w:gridCol w:w="1261"/>
        <w:gridCol w:w="1183"/>
        <w:gridCol w:w="1338"/>
      </w:tblGrid>
      <w:tr w:rsidR="0026064C" w:rsidRPr="00EA0DC7" w14:paraId="552C0441" w14:textId="77777777" w:rsidTr="004979A5">
        <w:trPr>
          <w:trHeight w:val="80"/>
        </w:trPr>
        <w:tc>
          <w:tcPr>
            <w:tcW w:w="739" w:type="dxa"/>
            <w:tcBorders>
              <w:top w:val="single" w:sz="4" w:space="0" w:color="auto"/>
              <w:left w:val="nil"/>
              <w:bottom w:val="single" w:sz="4" w:space="0" w:color="auto"/>
              <w:right w:val="nil"/>
            </w:tcBorders>
            <w:shd w:val="clear" w:color="auto" w:fill="auto"/>
            <w:noWrap/>
            <w:vAlign w:val="center"/>
            <w:hideMark/>
          </w:tcPr>
          <w:p w14:paraId="5D13034E"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hideMark/>
          </w:tcPr>
          <w:p w14:paraId="3D72A2AD"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noWrap/>
            <w:vAlign w:val="center"/>
            <w:hideMark/>
          </w:tcPr>
          <w:p w14:paraId="71D78A6E" w14:textId="77777777" w:rsidR="0026064C" w:rsidRPr="00EA0DC7" w:rsidRDefault="0026064C" w:rsidP="007C5941">
            <w:pPr>
              <w:spacing w:before="240"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hideMark/>
          </w:tcPr>
          <w:p w14:paraId="74E69804"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hideMark/>
          </w:tcPr>
          <w:p w14:paraId="4D62CD9C" w14:textId="77777777" w:rsidR="0026064C" w:rsidRPr="00EA0DC7" w:rsidRDefault="0026064C" w:rsidP="007C5941">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hideMark/>
          </w:tcPr>
          <w:p w14:paraId="6276B2C3" w14:textId="77777777" w:rsidR="0026064C" w:rsidRPr="00EA0DC7" w:rsidRDefault="0026064C" w:rsidP="007C5941">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7EB4BB8D" w14:textId="77777777" w:rsidR="0026064C" w:rsidRPr="00EA0DC7" w:rsidRDefault="0026064C" w:rsidP="007C5941">
            <w:pPr>
              <w:spacing w:line="240" w:lineRule="auto"/>
              <w:jc w:val="center"/>
              <w:rPr>
                <w:rFonts w:ascii="Calibri" w:eastAsia="Times New Roman" w:hAnsi="Calibri" w:cs="Times New Roman"/>
                <w:b/>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hideMark/>
          </w:tcPr>
          <w:p w14:paraId="768C12D2" w14:textId="77777777" w:rsidR="0026064C" w:rsidRPr="00EA0DC7" w:rsidRDefault="0026064C" w:rsidP="007C5941">
            <w:pPr>
              <w:spacing w:before="240" w:line="240" w:lineRule="auto"/>
              <w:jc w:val="center"/>
              <w:rPr>
                <w:rFonts w:ascii="Calibri" w:eastAsia="Times New Roman" w:hAnsi="Calibri" w:cs="Times New Roman"/>
                <w:b/>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hideMark/>
          </w:tcPr>
          <w:p w14:paraId="7D1107E6" w14:textId="17D6E932" w:rsidR="0026064C" w:rsidRPr="00EA0DC7" w:rsidRDefault="001E34B3" w:rsidP="007C5941">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1169060F" w14:textId="77777777" w:rsidR="0026064C" w:rsidRPr="00EA0DC7" w:rsidRDefault="0026064C" w:rsidP="007C5941">
            <w:pPr>
              <w:spacing w:after="0" w:line="240" w:lineRule="auto"/>
              <w:jc w:val="center"/>
              <w:rPr>
                <w:rFonts w:eastAsia="Times New Roman" w:cs="Arial"/>
                <w:b/>
                <w:sz w:val="20"/>
                <w:szCs w:val="20"/>
              </w:rPr>
            </w:pPr>
            <w:r w:rsidRPr="00EA0DC7">
              <w:rPr>
                <w:rFonts w:eastAsia="Times New Roman" w:cs="Arial"/>
                <w:b/>
                <w:sz w:val="20"/>
                <w:szCs w:val="20"/>
              </w:rPr>
              <w:t>elements</w:t>
            </w:r>
          </w:p>
          <w:p w14:paraId="051A1889" w14:textId="77777777" w:rsidR="0026064C" w:rsidRPr="00EA0DC7" w:rsidRDefault="0026064C" w:rsidP="007C5941">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12DCD25C" w14:textId="77777777" w:rsidTr="004979A5">
        <w:trPr>
          <w:trHeight w:val="239"/>
        </w:trPr>
        <w:tc>
          <w:tcPr>
            <w:tcW w:w="739" w:type="dxa"/>
            <w:tcBorders>
              <w:top w:val="single" w:sz="4" w:space="0" w:color="auto"/>
              <w:left w:val="nil"/>
              <w:right w:val="nil"/>
            </w:tcBorders>
            <w:shd w:val="clear" w:color="auto" w:fill="auto"/>
            <w:noWrap/>
            <w:hideMark/>
          </w:tcPr>
          <w:p w14:paraId="14AC0C3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1982</w:t>
            </w:r>
          </w:p>
        </w:tc>
        <w:tc>
          <w:tcPr>
            <w:tcW w:w="2351" w:type="dxa"/>
            <w:tcBorders>
              <w:top w:val="single" w:sz="4" w:space="0" w:color="auto"/>
              <w:left w:val="nil"/>
              <w:right w:val="nil"/>
            </w:tcBorders>
            <w:shd w:val="clear" w:color="auto" w:fill="auto"/>
            <w:hideMark/>
          </w:tcPr>
          <w:p w14:paraId="275CF18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A conceptual model </w:t>
            </w:r>
            <w:r w:rsidRPr="00EA0DC7">
              <w:rPr>
                <w:rFonts w:eastAsia="Times New Roman" w:cs="Arial"/>
                <w:noProof/>
                <w:sz w:val="20"/>
                <w:szCs w:val="20"/>
              </w:rPr>
              <w:t>(Loganbill, Hardy, &amp; Delworth, 1982)</w:t>
            </w:r>
          </w:p>
        </w:tc>
        <w:tc>
          <w:tcPr>
            <w:tcW w:w="1887" w:type="dxa"/>
            <w:tcBorders>
              <w:top w:val="single" w:sz="4" w:space="0" w:color="auto"/>
              <w:left w:val="nil"/>
              <w:right w:val="nil"/>
            </w:tcBorders>
            <w:shd w:val="clear" w:color="auto" w:fill="auto"/>
            <w:hideMark/>
          </w:tcPr>
          <w:p w14:paraId="33AA51DC"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single" w:sz="4" w:space="0" w:color="auto"/>
              <w:left w:val="nil"/>
              <w:right w:val="nil"/>
            </w:tcBorders>
            <w:shd w:val="clear" w:color="auto" w:fill="auto"/>
            <w:hideMark/>
          </w:tcPr>
          <w:p w14:paraId="281336E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Describes three stages of supervisee development (stagnation, confusion, and integration).</w:t>
            </w:r>
          </w:p>
        </w:tc>
        <w:tc>
          <w:tcPr>
            <w:tcW w:w="1362" w:type="dxa"/>
            <w:tcBorders>
              <w:top w:val="single" w:sz="4" w:space="0" w:color="auto"/>
              <w:left w:val="nil"/>
              <w:right w:val="nil"/>
            </w:tcBorders>
            <w:shd w:val="clear" w:color="auto" w:fill="auto"/>
            <w:noWrap/>
            <w:vAlign w:val="center"/>
            <w:hideMark/>
          </w:tcPr>
          <w:p w14:paraId="042DBE18"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right w:val="nil"/>
            </w:tcBorders>
            <w:shd w:val="clear" w:color="auto" w:fill="auto"/>
            <w:noWrap/>
            <w:vAlign w:val="center"/>
            <w:hideMark/>
          </w:tcPr>
          <w:p w14:paraId="69E25C75"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single" w:sz="4" w:space="0" w:color="auto"/>
              <w:left w:val="nil"/>
              <w:right w:val="nil"/>
            </w:tcBorders>
            <w:shd w:val="clear" w:color="auto" w:fill="auto"/>
            <w:noWrap/>
            <w:vAlign w:val="center"/>
            <w:hideMark/>
          </w:tcPr>
          <w:p w14:paraId="2C01E81F"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single" w:sz="4" w:space="0" w:color="auto"/>
              <w:left w:val="nil"/>
              <w:right w:val="nil"/>
            </w:tcBorders>
            <w:shd w:val="clear" w:color="auto" w:fill="auto"/>
            <w:vAlign w:val="center"/>
            <w:hideMark/>
          </w:tcPr>
          <w:p w14:paraId="6032AB27"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23</w:t>
            </w:r>
          </w:p>
        </w:tc>
      </w:tr>
      <w:tr w:rsidR="0026064C" w:rsidRPr="00EA0DC7" w14:paraId="3413F336" w14:textId="77777777" w:rsidTr="004979A5">
        <w:trPr>
          <w:trHeight w:val="80"/>
        </w:trPr>
        <w:tc>
          <w:tcPr>
            <w:tcW w:w="739" w:type="dxa"/>
            <w:tcBorders>
              <w:top w:val="nil"/>
              <w:left w:val="nil"/>
              <w:right w:val="nil"/>
            </w:tcBorders>
            <w:shd w:val="clear" w:color="auto" w:fill="auto"/>
            <w:noWrap/>
            <w:hideMark/>
          </w:tcPr>
          <w:p w14:paraId="3C7EC91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1982</w:t>
            </w:r>
          </w:p>
        </w:tc>
        <w:tc>
          <w:tcPr>
            <w:tcW w:w="2351" w:type="dxa"/>
            <w:tcBorders>
              <w:top w:val="nil"/>
              <w:left w:val="nil"/>
              <w:right w:val="nil"/>
            </w:tcBorders>
            <w:shd w:val="clear" w:color="auto" w:fill="auto"/>
            <w:hideMark/>
          </w:tcPr>
          <w:p w14:paraId="66F4937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An eclectic model of supervision: A developmental sequence for beginning psychotherapy students </w:t>
            </w:r>
            <w:r w:rsidRPr="00EA0DC7">
              <w:rPr>
                <w:rFonts w:eastAsia="Times New Roman" w:cs="Arial"/>
                <w:noProof/>
                <w:sz w:val="20"/>
                <w:szCs w:val="20"/>
              </w:rPr>
              <w:t>(Yogev, 1982)</w:t>
            </w:r>
          </w:p>
        </w:tc>
        <w:tc>
          <w:tcPr>
            <w:tcW w:w="1887" w:type="dxa"/>
            <w:tcBorders>
              <w:top w:val="nil"/>
              <w:left w:val="nil"/>
              <w:right w:val="nil"/>
            </w:tcBorders>
            <w:shd w:val="clear" w:color="auto" w:fill="auto"/>
            <w:noWrap/>
            <w:hideMark/>
          </w:tcPr>
          <w:p w14:paraId="4FCA844A"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2741E3F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Outlines three stages of supervisee development (role definition; skill acquisition; and solidification and evaluation of practice).</w:t>
            </w:r>
          </w:p>
        </w:tc>
        <w:tc>
          <w:tcPr>
            <w:tcW w:w="1362" w:type="dxa"/>
            <w:tcBorders>
              <w:top w:val="nil"/>
              <w:left w:val="nil"/>
              <w:right w:val="nil"/>
            </w:tcBorders>
            <w:shd w:val="clear" w:color="auto" w:fill="auto"/>
            <w:noWrap/>
            <w:vAlign w:val="center"/>
            <w:hideMark/>
          </w:tcPr>
          <w:p w14:paraId="25D3A02D"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42B49439"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06" w:type="dxa"/>
            <w:tcBorders>
              <w:top w:val="nil"/>
              <w:left w:val="nil"/>
              <w:right w:val="nil"/>
            </w:tcBorders>
            <w:shd w:val="clear" w:color="auto" w:fill="auto"/>
            <w:noWrap/>
            <w:vAlign w:val="center"/>
            <w:hideMark/>
          </w:tcPr>
          <w:p w14:paraId="24A71930"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61" w:type="dxa"/>
            <w:tcBorders>
              <w:top w:val="nil"/>
              <w:left w:val="nil"/>
              <w:right w:val="nil"/>
            </w:tcBorders>
            <w:shd w:val="clear" w:color="auto" w:fill="auto"/>
            <w:vAlign w:val="center"/>
            <w:hideMark/>
          </w:tcPr>
          <w:p w14:paraId="397E0F0B"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18</w:t>
            </w:r>
          </w:p>
        </w:tc>
      </w:tr>
      <w:tr w:rsidR="0026064C" w:rsidRPr="00EA0DC7" w14:paraId="1B97B8C4" w14:textId="77777777" w:rsidTr="004979A5">
        <w:trPr>
          <w:trHeight w:val="426"/>
        </w:trPr>
        <w:tc>
          <w:tcPr>
            <w:tcW w:w="739" w:type="dxa"/>
            <w:tcBorders>
              <w:left w:val="nil"/>
              <w:bottom w:val="nil"/>
              <w:right w:val="nil"/>
            </w:tcBorders>
            <w:shd w:val="clear" w:color="auto" w:fill="auto"/>
            <w:noWrap/>
          </w:tcPr>
          <w:p w14:paraId="7C662CC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1983</w:t>
            </w:r>
          </w:p>
        </w:tc>
        <w:tc>
          <w:tcPr>
            <w:tcW w:w="2351" w:type="dxa"/>
            <w:tcBorders>
              <w:left w:val="nil"/>
              <w:bottom w:val="nil"/>
              <w:right w:val="nil"/>
            </w:tcBorders>
            <w:shd w:val="clear" w:color="auto" w:fill="auto"/>
          </w:tcPr>
          <w:p w14:paraId="76D0465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Toward a cognitive developmental approach to counselling supervision </w:t>
            </w:r>
            <w:r w:rsidRPr="00EA0DC7">
              <w:rPr>
                <w:rFonts w:eastAsia="Times New Roman" w:cs="Arial"/>
                <w:noProof/>
                <w:sz w:val="20"/>
                <w:szCs w:val="20"/>
              </w:rPr>
              <w:t>(Blocher, 1983)</w:t>
            </w:r>
          </w:p>
        </w:tc>
        <w:tc>
          <w:tcPr>
            <w:tcW w:w="1887" w:type="dxa"/>
            <w:tcBorders>
              <w:left w:val="nil"/>
              <w:bottom w:val="nil"/>
              <w:right w:val="nil"/>
            </w:tcBorders>
            <w:shd w:val="clear" w:color="auto" w:fill="auto"/>
            <w:noWrap/>
          </w:tcPr>
          <w:p w14:paraId="2F27BAF2"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Cognitive Developmental Model of Supervision</w:t>
            </w:r>
          </w:p>
        </w:tc>
        <w:tc>
          <w:tcPr>
            <w:tcW w:w="3969" w:type="dxa"/>
            <w:tcBorders>
              <w:left w:val="nil"/>
              <w:bottom w:val="nil"/>
              <w:right w:val="nil"/>
            </w:tcBorders>
            <w:shd w:val="clear" w:color="auto" w:fill="auto"/>
          </w:tcPr>
          <w:p w14:paraId="223B9E1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Focuses on the development of more complex and comprehensive schemas for understanding human interaction.</w:t>
            </w:r>
          </w:p>
        </w:tc>
        <w:tc>
          <w:tcPr>
            <w:tcW w:w="1362" w:type="dxa"/>
            <w:tcBorders>
              <w:left w:val="nil"/>
              <w:bottom w:val="nil"/>
              <w:right w:val="nil"/>
            </w:tcBorders>
            <w:shd w:val="clear" w:color="auto" w:fill="auto"/>
            <w:noWrap/>
            <w:vAlign w:val="center"/>
          </w:tcPr>
          <w:p w14:paraId="642BEF4E"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left w:val="nil"/>
              <w:bottom w:val="nil"/>
              <w:right w:val="nil"/>
            </w:tcBorders>
            <w:shd w:val="clear" w:color="auto" w:fill="auto"/>
            <w:noWrap/>
            <w:vAlign w:val="center"/>
          </w:tcPr>
          <w:p w14:paraId="04886A37" w14:textId="77777777" w:rsidR="0026064C" w:rsidRPr="00EA0DC7" w:rsidRDefault="0026064C" w:rsidP="00CA2778">
            <w:pPr>
              <w:spacing w:after="0" w:line="240" w:lineRule="auto"/>
              <w:jc w:val="center"/>
              <w:rPr>
                <w:rFonts w:eastAsia="Times New Roman" w:cs="Arial"/>
                <w:sz w:val="20"/>
                <w:szCs w:val="20"/>
              </w:rPr>
            </w:pPr>
          </w:p>
        </w:tc>
        <w:tc>
          <w:tcPr>
            <w:tcW w:w="1106" w:type="dxa"/>
            <w:tcBorders>
              <w:left w:val="nil"/>
              <w:bottom w:val="nil"/>
              <w:right w:val="nil"/>
            </w:tcBorders>
            <w:shd w:val="clear" w:color="auto" w:fill="auto"/>
            <w:noWrap/>
            <w:vAlign w:val="center"/>
          </w:tcPr>
          <w:p w14:paraId="005F8285"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left w:val="nil"/>
              <w:bottom w:val="nil"/>
              <w:right w:val="nil"/>
            </w:tcBorders>
            <w:shd w:val="clear" w:color="auto" w:fill="auto"/>
            <w:vAlign w:val="center"/>
          </w:tcPr>
          <w:p w14:paraId="6B1EE72E"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13</w:t>
            </w:r>
          </w:p>
        </w:tc>
      </w:tr>
      <w:tr w:rsidR="0026064C" w:rsidRPr="00EA0DC7" w14:paraId="40A13416" w14:textId="77777777" w:rsidTr="004979A5">
        <w:trPr>
          <w:trHeight w:val="1240"/>
        </w:trPr>
        <w:tc>
          <w:tcPr>
            <w:tcW w:w="739" w:type="dxa"/>
            <w:tcBorders>
              <w:top w:val="nil"/>
              <w:left w:val="nil"/>
              <w:right w:val="nil"/>
            </w:tcBorders>
            <w:shd w:val="clear" w:color="auto" w:fill="auto"/>
            <w:noWrap/>
            <w:hideMark/>
          </w:tcPr>
          <w:p w14:paraId="2697EC08"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1983</w:t>
            </w:r>
          </w:p>
        </w:tc>
        <w:tc>
          <w:tcPr>
            <w:tcW w:w="2351" w:type="dxa"/>
            <w:tcBorders>
              <w:top w:val="nil"/>
              <w:left w:val="nil"/>
              <w:right w:val="nil"/>
            </w:tcBorders>
            <w:shd w:val="clear" w:color="auto" w:fill="auto"/>
            <w:hideMark/>
          </w:tcPr>
          <w:p w14:paraId="2D46A48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working alliance based model of supervision </w:t>
            </w:r>
            <w:r w:rsidRPr="00EA0DC7">
              <w:rPr>
                <w:rFonts w:eastAsia="Times New Roman" w:cs="Arial"/>
                <w:noProof/>
                <w:sz w:val="20"/>
                <w:szCs w:val="20"/>
              </w:rPr>
              <w:t>(Bordin, 1983)</w:t>
            </w:r>
          </w:p>
        </w:tc>
        <w:tc>
          <w:tcPr>
            <w:tcW w:w="1887" w:type="dxa"/>
            <w:tcBorders>
              <w:top w:val="nil"/>
              <w:left w:val="nil"/>
              <w:right w:val="nil"/>
            </w:tcBorders>
            <w:shd w:val="clear" w:color="auto" w:fill="auto"/>
            <w:hideMark/>
          </w:tcPr>
          <w:p w14:paraId="0A23B78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Working Alliance Based Model of Supervision </w:t>
            </w:r>
          </w:p>
        </w:tc>
        <w:tc>
          <w:tcPr>
            <w:tcW w:w="3969" w:type="dxa"/>
            <w:tcBorders>
              <w:top w:val="nil"/>
              <w:left w:val="nil"/>
              <w:right w:val="nil"/>
            </w:tcBorders>
            <w:shd w:val="clear" w:color="auto" w:fill="auto"/>
            <w:hideMark/>
          </w:tcPr>
          <w:p w14:paraId="174464A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the importance of the working alliance in supervision.</w:t>
            </w:r>
          </w:p>
        </w:tc>
        <w:tc>
          <w:tcPr>
            <w:tcW w:w="1362" w:type="dxa"/>
            <w:tcBorders>
              <w:top w:val="nil"/>
              <w:left w:val="nil"/>
              <w:right w:val="nil"/>
            </w:tcBorders>
            <w:shd w:val="clear" w:color="auto" w:fill="auto"/>
            <w:noWrap/>
            <w:vAlign w:val="center"/>
            <w:hideMark/>
          </w:tcPr>
          <w:p w14:paraId="35D60D6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6FCCB467" w14:textId="77777777" w:rsidR="0026064C" w:rsidRPr="00EA0DC7" w:rsidRDefault="0026064C" w:rsidP="00CA2778">
            <w:pPr>
              <w:spacing w:line="240" w:lineRule="auto"/>
              <w:jc w:val="center"/>
              <w:rPr>
                <w:rFonts w:ascii="Calibri" w:eastAsia="Times New Roman" w:hAnsi="Calibri" w:cs="Times New Roman"/>
              </w:rPr>
            </w:pPr>
          </w:p>
        </w:tc>
        <w:tc>
          <w:tcPr>
            <w:tcW w:w="1106" w:type="dxa"/>
            <w:tcBorders>
              <w:top w:val="nil"/>
              <w:left w:val="nil"/>
              <w:right w:val="nil"/>
            </w:tcBorders>
            <w:shd w:val="clear" w:color="auto" w:fill="auto"/>
            <w:noWrap/>
            <w:vAlign w:val="center"/>
            <w:hideMark/>
          </w:tcPr>
          <w:p w14:paraId="1B31D60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61EC485E"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449CC97D" w14:textId="77777777" w:rsidTr="004979A5">
        <w:trPr>
          <w:trHeight w:val="80"/>
        </w:trPr>
        <w:tc>
          <w:tcPr>
            <w:tcW w:w="739" w:type="dxa"/>
            <w:tcBorders>
              <w:top w:val="nil"/>
              <w:left w:val="nil"/>
              <w:bottom w:val="single" w:sz="4" w:space="0" w:color="auto"/>
              <w:right w:val="nil"/>
            </w:tcBorders>
            <w:shd w:val="clear" w:color="auto" w:fill="auto"/>
            <w:noWrap/>
            <w:hideMark/>
          </w:tcPr>
          <w:p w14:paraId="0358061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1983</w:t>
            </w:r>
          </w:p>
        </w:tc>
        <w:tc>
          <w:tcPr>
            <w:tcW w:w="2351" w:type="dxa"/>
            <w:tcBorders>
              <w:top w:val="nil"/>
              <w:left w:val="nil"/>
              <w:bottom w:val="single" w:sz="4" w:space="0" w:color="auto"/>
              <w:right w:val="nil"/>
            </w:tcBorders>
            <w:shd w:val="clear" w:color="auto" w:fill="auto"/>
            <w:noWrap/>
            <w:hideMark/>
          </w:tcPr>
          <w:p w14:paraId="62EE488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social learning approach to counselor supervision </w:t>
            </w:r>
            <w:r w:rsidRPr="00EA0DC7">
              <w:rPr>
                <w:rFonts w:eastAsia="Times New Roman" w:cs="Arial"/>
                <w:noProof/>
                <w:sz w:val="20"/>
                <w:szCs w:val="20"/>
              </w:rPr>
              <w:t>(Hosford &amp; Barmann, 1983)</w:t>
            </w:r>
          </w:p>
        </w:tc>
        <w:tc>
          <w:tcPr>
            <w:tcW w:w="1887" w:type="dxa"/>
            <w:tcBorders>
              <w:top w:val="nil"/>
              <w:left w:val="nil"/>
              <w:bottom w:val="single" w:sz="4" w:space="0" w:color="auto"/>
              <w:right w:val="nil"/>
            </w:tcBorders>
            <w:shd w:val="clear" w:color="auto" w:fill="auto"/>
            <w:noWrap/>
            <w:hideMark/>
          </w:tcPr>
          <w:p w14:paraId="6A60D79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Social Learning Approach to Counselor Supervision </w:t>
            </w:r>
          </w:p>
        </w:tc>
        <w:tc>
          <w:tcPr>
            <w:tcW w:w="3969" w:type="dxa"/>
            <w:tcBorders>
              <w:top w:val="nil"/>
              <w:left w:val="nil"/>
              <w:bottom w:val="single" w:sz="4" w:space="0" w:color="auto"/>
              <w:right w:val="nil"/>
            </w:tcBorders>
            <w:shd w:val="clear" w:color="auto" w:fill="auto"/>
            <w:hideMark/>
          </w:tcPr>
          <w:p w14:paraId="203B2AA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An approach to clinical supervision based on social learning theory.</w:t>
            </w:r>
          </w:p>
        </w:tc>
        <w:tc>
          <w:tcPr>
            <w:tcW w:w="1362" w:type="dxa"/>
            <w:tcBorders>
              <w:top w:val="nil"/>
              <w:left w:val="nil"/>
              <w:bottom w:val="single" w:sz="4" w:space="0" w:color="auto"/>
              <w:right w:val="nil"/>
            </w:tcBorders>
            <w:shd w:val="clear" w:color="auto" w:fill="auto"/>
            <w:noWrap/>
            <w:vAlign w:val="center"/>
            <w:hideMark/>
          </w:tcPr>
          <w:p w14:paraId="18DEF82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hideMark/>
          </w:tcPr>
          <w:p w14:paraId="3CE269E0" w14:textId="77777777" w:rsidR="0026064C" w:rsidRPr="00EA0DC7" w:rsidRDefault="0026064C" w:rsidP="00CA2778">
            <w:pPr>
              <w:spacing w:line="240" w:lineRule="auto"/>
              <w:jc w:val="center"/>
              <w:rPr>
                <w:rFonts w:ascii="Calibri" w:eastAsia="Times New Roman" w:hAnsi="Calibri" w:cs="Times New Roman"/>
              </w:rPr>
            </w:pPr>
          </w:p>
        </w:tc>
        <w:tc>
          <w:tcPr>
            <w:tcW w:w="1106" w:type="dxa"/>
            <w:tcBorders>
              <w:top w:val="nil"/>
              <w:left w:val="nil"/>
              <w:bottom w:val="single" w:sz="4" w:space="0" w:color="auto"/>
              <w:right w:val="nil"/>
            </w:tcBorders>
            <w:shd w:val="clear" w:color="auto" w:fill="auto"/>
            <w:noWrap/>
            <w:vAlign w:val="center"/>
            <w:hideMark/>
          </w:tcPr>
          <w:p w14:paraId="55048653"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29A1F0BA"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23</w:t>
            </w:r>
          </w:p>
        </w:tc>
      </w:tr>
    </w:tbl>
    <w:p w14:paraId="4DEAA9E9"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40"/>
        <w:gridCol w:w="2307"/>
        <w:gridCol w:w="1854"/>
        <w:gridCol w:w="3840"/>
        <w:gridCol w:w="1450"/>
        <w:gridCol w:w="1261"/>
        <w:gridCol w:w="1183"/>
        <w:gridCol w:w="1346"/>
      </w:tblGrid>
      <w:tr w:rsidR="0026064C" w:rsidRPr="00EA0DC7" w14:paraId="57C2B764" w14:textId="77777777" w:rsidTr="004979A5">
        <w:trPr>
          <w:trHeight w:val="532"/>
        </w:trPr>
        <w:tc>
          <w:tcPr>
            <w:tcW w:w="739" w:type="dxa"/>
            <w:tcBorders>
              <w:top w:val="single" w:sz="4" w:space="0" w:color="auto"/>
              <w:left w:val="nil"/>
              <w:bottom w:val="single" w:sz="4" w:space="0" w:color="auto"/>
              <w:right w:val="nil"/>
            </w:tcBorders>
            <w:shd w:val="clear" w:color="auto" w:fill="auto"/>
            <w:noWrap/>
            <w:vAlign w:val="center"/>
          </w:tcPr>
          <w:p w14:paraId="3E851FE5"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tcPr>
          <w:p w14:paraId="14255C47"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vAlign w:val="center"/>
          </w:tcPr>
          <w:p w14:paraId="7851B93A"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723BD111"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tcPr>
          <w:p w14:paraId="7BD061B3"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tcPr>
          <w:p w14:paraId="0440F8DB"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4B97A188"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tcPr>
          <w:p w14:paraId="131CAC2F"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tcPr>
          <w:p w14:paraId="632020F1" w14:textId="6C597AF9"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629C9C2F"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2D20A0B9"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68CF351B" w14:textId="77777777" w:rsidTr="004979A5">
        <w:trPr>
          <w:trHeight w:val="532"/>
        </w:trPr>
        <w:tc>
          <w:tcPr>
            <w:tcW w:w="739" w:type="dxa"/>
            <w:tcBorders>
              <w:top w:val="single" w:sz="4" w:space="0" w:color="auto"/>
              <w:left w:val="nil"/>
              <w:bottom w:val="nil"/>
              <w:right w:val="nil"/>
            </w:tcBorders>
            <w:shd w:val="clear" w:color="auto" w:fill="auto"/>
            <w:noWrap/>
            <w:hideMark/>
          </w:tcPr>
          <w:p w14:paraId="64025D87"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1983</w:t>
            </w:r>
          </w:p>
        </w:tc>
        <w:tc>
          <w:tcPr>
            <w:tcW w:w="2351" w:type="dxa"/>
            <w:tcBorders>
              <w:top w:val="single" w:sz="4" w:space="0" w:color="auto"/>
              <w:left w:val="nil"/>
              <w:bottom w:val="nil"/>
              <w:right w:val="nil"/>
            </w:tcBorders>
            <w:shd w:val="clear" w:color="auto" w:fill="auto"/>
            <w:hideMark/>
          </w:tcPr>
          <w:p w14:paraId="49CAFAF4"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A client-centered approach to supervision </w:t>
            </w:r>
            <w:r w:rsidRPr="00EA0DC7">
              <w:rPr>
                <w:rFonts w:eastAsia="Times New Roman" w:cs="Arial"/>
                <w:noProof/>
                <w:sz w:val="20"/>
                <w:szCs w:val="20"/>
              </w:rPr>
              <w:t>(Patterson, 1983)</w:t>
            </w:r>
          </w:p>
        </w:tc>
        <w:tc>
          <w:tcPr>
            <w:tcW w:w="1887" w:type="dxa"/>
            <w:tcBorders>
              <w:top w:val="single" w:sz="4" w:space="0" w:color="auto"/>
              <w:left w:val="nil"/>
              <w:bottom w:val="nil"/>
              <w:right w:val="nil"/>
            </w:tcBorders>
            <w:shd w:val="clear" w:color="auto" w:fill="auto"/>
            <w:hideMark/>
          </w:tcPr>
          <w:p w14:paraId="0B0A4699"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A Client-Centered Approach to Supervision </w:t>
            </w:r>
          </w:p>
        </w:tc>
        <w:tc>
          <w:tcPr>
            <w:tcW w:w="3969" w:type="dxa"/>
            <w:tcBorders>
              <w:top w:val="single" w:sz="4" w:space="0" w:color="auto"/>
              <w:left w:val="nil"/>
              <w:bottom w:val="nil"/>
              <w:right w:val="nil"/>
            </w:tcBorders>
            <w:shd w:val="clear" w:color="auto" w:fill="auto"/>
            <w:hideMark/>
          </w:tcPr>
          <w:p w14:paraId="24431AE6"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Description of supervision for supervisees using a client-centred therapeutic approach.</w:t>
            </w:r>
          </w:p>
        </w:tc>
        <w:tc>
          <w:tcPr>
            <w:tcW w:w="1362" w:type="dxa"/>
            <w:tcBorders>
              <w:top w:val="single" w:sz="4" w:space="0" w:color="auto"/>
              <w:left w:val="nil"/>
              <w:bottom w:val="nil"/>
              <w:right w:val="nil"/>
            </w:tcBorders>
            <w:shd w:val="clear" w:color="auto" w:fill="auto"/>
            <w:noWrap/>
            <w:vAlign w:val="center"/>
            <w:hideMark/>
          </w:tcPr>
          <w:p w14:paraId="3D6BAFB0"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bottom w:val="nil"/>
              <w:right w:val="nil"/>
            </w:tcBorders>
            <w:shd w:val="clear" w:color="auto" w:fill="auto"/>
            <w:noWrap/>
            <w:vAlign w:val="center"/>
            <w:hideMark/>
          </w:tcPr>
          <w:p w14:paraId="673FCD60" w14:textId="77777777" w:rsidR="0026064C" w:rsidRPr="00EA0DC7" w:rsidRDefault="0026064C" w:rsidP="005B79F7">
            <w:pPr>
              <w:spacing w:before="240"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single" w:sz="4" w:space="0" w:color="auto"/>
              <w:left w:val="nil"/>
              <w:bottom w:val="nil"/>
              <w:right w:val="nil"/>
            </w:tcBorders>
            <w:shd w:val="clear" w:color="auto" w:fill="auto"/>
            <w:noWrap/>
            <w:vAlign w:val="center"/>
            <w:hideMark/>
          </w:tcPr>
          <w:p w14:paraId="15B6BEEF"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361" w:type="dxa"/>
            <w:tcBorders>
              <w:top w:val="single" w:sz="4" w:space="0" w:color="auto"/>
              <w:left w:val="nil"/>
              <w:bottom w:val="nil"/>
              <w:right w:val="nil"/>
            </w:tcBorders>
            <w:shd w:val="clear" w:color="auto" w:fill="auto"/>
            <w:vAlign w:val="center"/>
            <w:hideMark/>
          </w:tcPr>
          <w:p w14:paraId="1EC78F3F"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14</w:t>
            </w:r>
          </w:p>
        </w:tc>
      </w:tr>
      <w:tr w:rsidR="0026064C" w:rsidRPr="00EA0DC7" w14:paraId="1EE08E23" w14:textId="77777777" w:rsidTr="004979A5">
        <w:trPr>
          <w:trHeight w:val="776"/>
        </w:trPr>
        <w:tc>
          <w:tcPr>
            <w:tcW w:w="739" w:type="dxa"/>
            <w:tcBorders>
              <w:top w:val="nil"/>
              <w:left w:val="nil"/>
              <w:bottom w:val="nil"/>
              <w:right w:val="nil"/>
            </w:tcBorders>
            <w:shd w:val="clear" w:color="auto" w:fill="auto"/>
            <w:noWrap/>
            <w:hideMark/>
          </w:tcPr>
          <w:p w14:paraId="7035491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1983</w:t>
            </w:r>
          </w:p>
        </w:tc>
        <w:tc>
          <w:tcPr>
            <w:tcW w:w="2351" w:type="dxa"/>
            <w:tcBorders>
              <w:top w:val="nil"/>
              <w:left w:val="nil"/>
              <w:bottom w:val="nil"/>
              <w:right w:val="nil"/>
            </w:tcBorders>
            <w:shd w:val="clear" w:color="auto" w:fill="auto"/>
            <w:hideMark/>
          </w:tcPr>
          <w:p w14:paraId="4742C47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in counseling: Rational-emotive therapy </w:t>
            </w:r>
            <w:r w:rsidRPr="00EA0DC7">
              <w:rPr>
                <w:rFonts w:eastAsia="Times New Roman" w:cs="Arial"/>
                <w:noProof/>
                <w:sz w:val="20"/>
                <w:szCs w:val="20"/>
              </w:rPr>
              <w:t>(Wessler &amp; Ellis, 1983)</w:t>
            </w:r>
          </w:p>
        </w:tc>
        <w:tc>
          <w:tcPr>
            <w:tcW w:w="1887" w:type="dxa"/>
            <w:tcBorders>
              <w:top w:val="nil"/>
              <w:left w:val="nil"/>
              <w:bottom w:val="nil"/>
              <w:right w:val="nil"/>
            </w:tcBorders>
            <w:shd w:val="clear" w:color="auto" w:fill="auto"/>
            <w:hideMark/>
          </w:tcPr>
          <w:p w14:paraId="6778B910"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nil"/>
              <w:left w:val="nil"/>
              <w:bottom w:val="nil"/>
              <w:right w:val="nil"/>
            </w:tcBorders>
            <w:shd w:val="clear" w:color="auto" w:fill="auto"/>
            <w:hideMark/>
          </w:tcPr>
          <w:p w14:paraId="1D6089DC"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Approach to supervision of supervisees using rational-emotive therapy.</w:t>
            </w:r>
          </w:p>
        </w:tc>
        <w:tc>
          <w:tcPr>
            <w:tcW w:w="1362" w:type="dxa"/>
            <w:tcBorders>
              <w:top w:val="nil"/>
              <w:left w:val="nil"/>
              <w:bottom w:val="nil"/>
              <w:right w:val="nil"/>
            </w:tcBorders>
            <w:shd w:val="clear" w:color="auto" w:fill="auto"/>
            <w:noWrap/>
            <w:vAlign w:val="center"/>
            <w:hideMark/>
          </w:tcPr>
          <w:p w14:paraId="1B9577BE"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nil"/>
              <w:right w:val="nil"/>
            </w:tcBorders>
            <w:shd w:val="clear" w:color="auto" w:fill="auto"/>
            <w:noWrap/>
            <w:vAlign w:val="center"/>
            <w:hideMark/>
          </w:tcPr>
          <w:p w14:paraId="501F7E0D"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bottom w:val="nil"/>
              <w:right w:val="nil"/>
            </w:tcBorders>
            <w:shd w:val="clear" w:color="auto" w:fill="auto"/>
            <w:noWrap/>
            <w:vAlign w:val="center"/>
            <w:hideMark/>
          </w:tcPr>
          <w:p w14:paraId="6333A43E" w14:textId="77777777" w:rsidR="0026064C" w:rsidRPr="00EA0DC7" w:rsidRDefault="0026064C" w:rsidP="00CA2778">
            <w:pPr>
              <w:spacing w:line="240" w:lineRule="auto"/>
              <w:jc w:val="center"/>
              <w:rPr>
                <w:rFonts w:ascii="Calibri" w:eastAsia="Times New Roman" w:hAnsi="Calibri" w:cs="Times New Roman"/>
              </w:rPr>
            </w:pPr>
          </w:p>
        </w:tc>
        <w:tc>
          <w:tcPr>
            <w:tcW w:w="1361" w:type="dxa"/>
            <w:tcBorders>
              <w:top w:val="nil"/>
              <w:left w:val="nil"/>
              <w:bottom w:val="nil"/>
              <w:right w:val="nil"/>
            </w:tcBorders>
            <w:shd w:val="clear" w:color="auto" w:fill="auto"/>
            <w:vAlign w:val="center"/>
            <w:hideMark/>
          </w:tcPr>
          <w:p w14:paraId="4F30D176"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21</w:t>
            </w:r>
          </w:p>
        </w:tc>
      </w:tr>
      <w:tr w:rsidR="0026064C" w:rsidRPr="00EA0DC7" w14:paraId="5BA98069" w14:textId="77777777" w:rsidTr="004979A5">
        <w:trPr>
          <w:trHeight w:val="353"/>
        </w:trPr>
        <w:tc>
          <w:tcPr>
            <w:tcW w:w="739" w:type="dxa"/>
            <w:tcBorders>
              <w:top w:val="nil"/>
              <w:left w:val="nil"/>
              <w:right w:val="nil"/>
            </w:tcBorders>
            <w:shd w:val="clear" w:color="auto" w:fill="auto"/>
            <w:noWrap/>
            <w:hideMark/>
          </w:tcPr>
          <w:p w14:paraId="27B9884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1984</w:t>
            </w:r>
          </w:p>
        </w:tc>
        <w:tc>
          <w:tcPr>
            <w:tcW w:w="2351" w:type="dxa"/>
            <w:tcBorders>
              <w:top w:val="nil"/>
              <w:left w:val="nil"/>
              <w:right w:val="nil"/>
            </w:tcBorders>
            <w:shd w:val="clear" w:color="auto" w:fill="auto"/>
            <w:hideMark/>
          </w:tcPr>
          <w:p w14:paraId="13AD715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An approach to supervision of symbolic-experiential psychotherapy </w:t>
            </w:r>
            <w:r w:rsidRPr="00EA0DC7">
              <w:rPr>
                <w:rFonts w:eastAsia="Times New Roman" w:cs="Arial"/>
                <w:noProof/>
                <w:sz w:val="20"/>
                <w:szCs w:val="20"/>
              </w:rPr>
              <w:t>(Connell, 1984)</w:t>
            </w:r>
          </w:p>
        </w:tc>
        <w:tc>
          <w:tcPr>
            <w:tcW w:w="1887" w:type="dxa"/>
            <w:tcBorders>
              <w:top w:val="nil"/>
              <w:left w:val="nil"/>
              <w:right w:val="nil"/>
            </w:tcBorders>
            <w:shd w:val="clear" w:color="auto" w:fill="auto"/>
            <w:hideMark/>
          </w:tcPr>
          <w:p w14:paraId="7FE2123C"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1EE27CC3"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four stages of experiential supervision (supervisory structure; supervisory initiative; trial of labour; and supervisory termination).</w:t>
            </w:r>
          </w:p>
        </w:tc>
        <w:tc>
          <w:tcPr>
            <w:tcW w:w="1362" w:type="dxa"/>
            <w:tcBorders>
              <w:top w:val="nil"/>
              <w:left w:val="nil"/>
              <w:right w:val="nil"/>
            </w:tcBorders>
            <w:shd w:val="clear" w:color="auto" w:fill="auto"/>
            <w:noWrap/>
            <w:vAlign w:val="center"/>
            <w:hideMark/>
          </w:tcPr>
          <w:p w14:paraId="71D90D2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2EDA292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02694F14"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1D0B758E"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35FA23C7" w14:textId="77777777" w:rsidTr="004979A5">
        <w:trPr>
          <w:trHeight w:val="709"/>
        </w:trPr>
        <w:tc>
          <w:tcPr>
            <w:tcW w:w="739" w:type="dxa"/>
            <w:tcBorders>
              <w:left w:val="nil"/>
              <w:bottom w:val="single" w:sz="4" w:space="0" w:color="auto"/>
              <w:right w:val="nil"/>
            </w:tcBorders>
            <w:shd w:val="clear" w:color="auto" w:fill="auto"/>
            <w:noWrap/>
          </w:tcPr>
          <w:p w14:paraId="10B012F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1985</w:t>
            </w:r>
          </w:p>
        </w:tc>
        <w:tc>
          <w:tcPr>
            <w:tcW w:w="2351" w:type="dxa"/>
            <w:tcBorders>
              <w:left w:val="nil"/>
              <w:bottom w:val="single" w:sz="4" w:space="0" w:color="auto"/>
              <w:right w:val="nil"/>
            </w:tcBorders>
            <w:shd w:val="clear" w:color="auto" w:fill="auto"/>
          </w:tcPr>
          <w:p w14:paraId="4DD53B6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Stages in psychotherapy supervision: From therapy skills to skilled therapist </w:t>
            </w:r>
            <w:r w:rsidRPr="00EA0DC7">
              <w:rPr>
                <w:rFonts w:eastAsia="Times New Roman" w:cs="Arial"/>
                <w:noProof/>
                <w:sz w:val="20"/>
                <w:szCs w:val="20"/>
              </w:rPr>
              <w:t>(Grater, 1985)</w:t>
            </w:r>
          </w:p>
        </w:tc>
        <w:tc>
          <w:tcPr>
            <w:tcW w:w="1887" w:type="dxa"/>
            <w:tcBorders>
              <w:left w:val="nil"/>
              <w:bottom w:val="single" w:sz="4" w:space="0" w:color="auto"/>
              <w:right w:val="nil"/>
            </w:tcBorders>
            <w:shd w:val="clear" w:color="auto" w:fill="auto"/>
          </w:tcPr>
          <w:p w14:paraId="0854501C"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left w:val="nil"/>
              <w:bottom w:val="single" w:sz="4" w:space="0" w:color="auto"/>
              <w:right w:val="nil"/>
            </w:tcBorders>
            <w:shd w:val="clear" w:color="auto" w:fill="auto"/>
          </w:tcPr>
          <w:p w14:paraId="2592016A" w14:textId="385AE348"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Provides a </w:t>
            </w:r>
            <w:r w:rsidR="004A6EE8" w:rsidRPr="00EA0DC7">
              <w:rPr>
                <w:rFonts w:eastAsia="Times New Roman" w:cs="Arial"/>
                <w:sz w:val="20"/>
                <w:szCs w:val="20"/>
              </w:rPr>
              <w:t>four-stage</w:t>
            </w:r>
            <w:r w:rsidRPr="00EA0DC7">
              <w:rPr>
                <w:rFonts w:eastAsia="Times New Roman" w:cs="Arial"/>
                <w:sz w:val="20"/>
                <w:szCs w:val="20"/>
              </w:rPr>
              <w:t xml:space="preserve"> model based on the belief that psychotherapy progress is determined by interaction between clients' presenting problems, their personalities, techniques used by therapists, and interpersonal interactions of therapists.</w:t>
            </w:r>
          </w:p>
        </w:tc>
        <w:tc>
          <w:tcPr>
            <w:tcW w:w="1362" w:type="dxa"/>
            <w:tcBorders>
              <w:left w:val="nil"/>
              <w:bottom w:val="single" w:sz="4" w:space="0" w:color="auto"/>
              <w:right w:val="nil"/>
            </w:tcBorders>
            <w:shd w:val="clear" w:color="auto" w:fill="auto"/>
            <w:noWrap/>
            <w:vAlign w:val="center"/>
          </w:tcPr>
          <w:p w14:paraId="6D4CFEAC"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left w:val="nil"/>
              <w:bottom w:val="single" w:sz="4" w:space="0" w:color="auto"/>
              <w:right w:val="nil"/>
            </w:tcBorders>
            <w:shd w:val="clear" w:color="auto" w:fill="auto"/>
            <w:noWrap/>
            <w:vAlign w:val="center"/>
          </w:tcPr>
          <w:p w14:paraId="3DD2EB0B"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left w:val="nil"/>
              <w:bottom w:val="single" w:sz="4" w:space="0" w:color="auto"/>
              <w:right w:val="nil"/>
            </w:tcBorders>
            <w:shd w:val="clear" w:color="auto" w:fill="auto"/>
            <w:noWrap/>
            <w:vAlign w:val="center"/>
          </w:tcPr>
          <w:p w14:paraId="5F8FE7D3"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left w:val="nil"/>
              <w:bottom w:val="single" w:sz="4" w:space="0" w:color="auto"/>
              <w:right w:val="nil"/>
            </w:tcBorders>
            <w:shd w:val="clear" w:color="auto" w:fill="auto"/>
            <w:vAlign w:val="center"/>
          </w:tcPr>
          <w:p w14:paraId="2EBD79E5"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19</w:t>
            </w:r>
          </w:p>
        </w:tc>
      </w:tr>
    </w:tbl>
    <w:p w14:paraId="745D0668" w14:textId="77777777" w:rsidR="006B5C6B" w:rsidRPr="00EA0DC7" w:rsidRDefault="006B5C6B" w:rsidP="0026064C">
      <w:pPr>
        <w:rPr>
          <w:rFonts w:eastAsia="SimSun" w:cs="Arial"/>
        </w:rPr>
        <w:sectPr w:rsidR="006B5C6B"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16"/>
        <w:gridCol w:w="1867"/>
        <w:gridCol w:w="3821"/>
        <w:gridCol w:w="1450"/>
        <w:gridCol w:w="1261"/>
        <w:gridCol w:w="1183"/>
        <w:gridCol w:w="1344"/>
      </w:tblGrid>
      <w:tr w:rsidR="0026064C" w:rsidRPr="00EA0DC7" w14:paraId="5FC82659" w14:textId="77777777" w:rsidTr="006B5C6B">
        <w:trPr>
          <w:trHeight w:val="80"/>
        </w:trPr>
        <w:tc>
          <w:tcPr>
            <w:tcW w:w="739" w:type="dxa"/>
            <w:tcBorders>
              <w:top w:val="single" w:sz="4" w:space="0" w:color="auto"/>
              <w:left w:val="nil"/>
              <w:bottom w:val="single" w:sz="4" w:space="0" w:color="auto"/>
              <w:right w:val="nil"/>
            </w:tcBorders>
            <w:shd w:val="clear" w:color="auto" w:fill="auto"/>
            <w:noWrap/>
            <w:vAlign w:val="center"/>
            <w:hideMark/>
          </w:tcPr>
          <w:p w14:paraId="64D5BDD4" w14:textId="77777777" w:rsidR="0026064C" w:rsidRPr="00EA0DC7" w:rsidRDefault="0026064C" w:rsidP="005B79F7">
            <w:pPr>
              <w:spacing w:before="240" w:line="240" w:lineRule="auto"/>
              <w:rPr>
                <w:rFonts w:eastAsia="Times New Roman" w:cs="Arial"/>
                <w:b/>
                <w:sz w:val="20"/>
                <w:szCs w:val="20"/>
              </w:rPr>
            </w:pPr>
            <w:r w:rsidRPr="00EA0DC7">
              <w:rPr>
                <w:rFonts w:eastAsia="Times New Roman" w:cs="Arial"/>
                <w:b/>
                <w:sz w:val="20"/>
                <w:szCs w:val="20"/>
              </w:rPr>
              <w:lastRenderedPageBreak/>
              <w:t>Year</w:t>
            </w:r>
          </w:p>
        </w:tc>
        <w:tc>
          <w:tcPr>
            <w:tcW w:w="2316" w:type="dxa"/>
            <w:tcBorders>
              <w:top w:val="single" w:sz="4" w:space="0" w:color="auto"/>
              <w:left w:val="nil"/>
              <w:bottom w:val="single" w:sz="4" w:space="0" w:color="auto"/>
              <w:right w:val="nil"/>
            </w:tcBorders>
            <w:shd w:val="clear" w:color="auto" w:fill="auto"/>
            <w:vAlign w:val="center"/>
            <w:hideMark/>
          </w:tcPr>
          <w:p w14:paraId="76E04D79"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67" w:type="dxa"/>
            <w:tcBorders>
              <w:top w:val="single" w:sz="4" w:space="0" w:color="auto"/>
              <w:left w:val="nil"/>
              <w:bottom w:val="single" w:sz="4" w:space="0" w:color="auto"/>
              <w:right w:val="nil"/>
            </w:tcBorders>
            <w:shd w:val="clear" w:color="auto" w:fill="auto"/>
            <w:vAlign w:val="center"/>
            <w:hideMark/>
          </w:tcPr>
          <w:p w14:paraId="16090489"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821" w:type="dxa"/>
            <w:tcBorders>
              <w:top w:val="single" w:sz="4" w:space="0" w:color="auto"/>
              <w:left w:val="nil"/>
              <w:bottom w:val="single" w:sz="4" w:space="0" w:color="auto"/>
              <w:right w:val="nil"/>
            </w:tcBorders>
            <w:shd w:val="clear" w:color="auto" w:fill="auto"/>
            <w:vAlign w:val="center"/>
            <w:hideMark/>
          </w:tcPr>
          <w:p w14:paraId="72FFACB2"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450" w:type="dxa"/>
            <w:tcBorders>
              <w:top w:val="single" w:sz="4" w:space="0" w:color="auto"/>
              <w:left w:val="nil"/>
              <w:bottom w:val="single" w:sz="4" w:space="0" w:color="auto"/>
              <w:right w:val="nil"/>
            </w:tcBorders>
            <w:shd w:val="clear" w:color="auto" w:fill="auto"/>
            <w:noWrap/>
            <w:vAlign w:val="center"/>
            <w:hideMark/>
          </w:tcPr>
          <w:p w14:paraId="559119F4"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61" w:type="dxa"/>
            <w:tcBorders>
              <w:top w:val="single" w:sz="4" w:space="0" w:color="auto"/>
              <w:left w:val="nil"/>
              <w:bottom w:val="single" w:sz="4" w:space="0" w:color="auto"/>
              <w:right w:val="nil"/>
            </w:tcBorders>
            <w:shd w:val="clear" w:color="auto" w:fill="auto"/>
            <w:noWrap/>
            <w:vAlign w:val="center"/>
            <w:hideMark/>
          </w:tcPr>
          <w:p w14:paraId="3A9D980F"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4ADF38F0"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83" w:type="dxa"/>
            <w:tcBorders>
              <w:top w:val="single" w:sz="4" w:space="0" w:color="auto"/>
              <w:left w:val="nil"/>
              <w:bottom w:val="single" w:sz="4" w:space="0" w:color="auto"/>
              <w:right w:val="nil"/>
            </w:tcBorders>
            <w:shd w:val="clear" w:color="auto" w:fill="auto"/>
            <w:noWrap/>
            <w:vAlign w:val="center"/>
            <w:hideMark/>
          </w:tcPr>
          <w:p w14:paraId="70981F95" w14:textId="77777777" w:rsidR="0026064C" w:rsidRPr="00EA0DC7" w:rsidRDefault="0026064C" w:rsidP="005B79F7">
            <w:pPr>
              <w:spacing w:before="240" w:line="240" w:lineRule="auto"/>
              <w:jc w:val="center"/>
              <w:rPr>
                <w:rFonts w:ascii="Calibri" w:eastAsia="Times New Roman" w:hAnsi="Calibri" w:cs="Times New Roman"/>
                <w:b/>
              </w:rPr>
            </w:pPr>
            <w:r w:rsidRPr="00EA0DC7">
              <w:rPr>
                <w:rFonts w:eastAsia="Times New Roman" w:cs="Arial"/>
                <w:b/>
                <w:sz w:val="20"/>
                <w:szCs w:val="20"/>
              </w:rPr>
              <w:t>Emotional effects of work</w:t>
            </w:r>
          </w:p>
        </w:tc>
        <w:tc>
          <w:tcPr>
            <w:tcW w:w="1344" w:type="dxa"/>
            <w:tcBorders>
              <w:top w:val="single" w:sz="4" w:space="0" w:color="auto"/>
              <w:left w:val="nil"/>
              <w:bottom w:val="single" w:sz="4" w:space="0" w:color="auto"/>
              <w:right w:val="nil"/>
            </w:tcBorders>
            <w:shd w:val="clear" w:color="auto" w:fill="auto"/>
            <w:vAlign w:val="center"/>
            <w:hideMark/>
          </w:tcPr>
          <w:p w14:paraId="0C27D026" w14:textId="7B5F4664"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6E690730"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4E459DEB"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424C960F" w14:textId="77777777" w:rsidTr="006B5C6B">
        <w:trPr>
          <w:trHeight w:val="80"/>
        </w:trPr>
        <w:tc>
          <w:tcPr>
            <w:tcW w:w="739" w:type="dxa"/>
            <w:tcBorders>
              <w:top w:val="nil"/>
              <w:left w:val="nil"/>
              <w:bottom w:val="nil"/>
              <w:right w:val="nil"/>
            </w:tcBorders>
            <w:shd w:val="clear" w:color="auto" w:fill="auto"/>
            <w:noWrap/>
            <w:hideMark/>
          </w:tcPr>
          <w:p w14:paraId="1C74065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1986</w:t>
            </w:r>
          </w:p>
        </w:tc>
        <w:tc>
          <w:tcPr>
            <w:tcW w:w="2316" w:type="dxa"/>
            <w:tcBorders>
              <w:top w:val="nil"/>
              <w:left w:val="nil"/>
              <w:bottom w:val="nil"/>
              <w:right w:val="nil"/>
            </w:tcBorders>
            <w:shd w:val="clear" w:color="auto" w:fill="auto"/>
            <w:hideMark/>
          </w:tcPr>
          <w:p w14:paraId="2A240190" w14:textId="1DF9A04E"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The development of professional identity in psychotherapists: Six stages in the supervision process  </w:t>
            </w:r>
            <w:r w:rsidR="007C5941" w:rsidRPr="00EA0DC7">
              <w:rPr>
                <w:rFonts w:eastAsia="Times New Roman" w:cs="Arial"/>
                <w:sz w:val="20"/>
                <w:szCs w:val="20"/>
              </w:rPr>
              <w:t>(</w:t>
            </w:r>
            <w:r w:rsidRPr="00EA0DC7">
              <w:rPr>
                <w:rFonts w:eastAsia="Times New Roman" w:cs="Arial"/>
                <w:noProof/>
                <w:sz w:val="20"/>
                <w:szCs w:val="20"/>
              </w:rPr>
              <w:t>Friedman &amp; Kaslow, 1986)</w:t>
            </w:r>
          </w:p>
        </w:tc>
        <w:tc>
          <w:tcPr>
            <w:tcW w:w="1867" w:type="dxa"/>
            <w:tcBorders>
              <w:top w:val="nil"/>
              <w:left w:val="nil"/>
              <w:bottom w:val="nil"/>
              <w:right w:val="nil"/>
            </w:tcBorders>
            <w:shd w:val="clear" w:color="auto" w:fill="auto"/>
            <w:hideMark/>
          </w:tcPr>
          <w:p w14:paraId="425CAF81"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821" w:type="dxa"/>
            <w:tcBorders>
              <w:top w:val="nil"/>
              <w:left w:val="nil"/>
              <w:bottom w:val="nil"/>
              <w:right w:val="nil"/>
            </w:tcBorders>
            <w:shd w:val="clear" w:color="auto" w:fill="auto"/>
            <w:hideMark/>
          </w:tcPr>
          <w:p w14:paraId="78C5B88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Outlines six stages in early learning and supervisory processes (Excitement and anticipatory anxiety; dependency and identification; activity and continued dependency; exuberance and taking charge; identity and independence; calm and collegiality).</w:t>
            </w:r>
          </w:p>
        </w:tc>
        <w:tc>
          <w:tcPr>
            <w:tcW w:w="1450" w:type="dxa"/>
            <w:tcBorders>
              <w:top w:val="nil"/>
              <w:left w:val="nil"/>
              <w:bottom w:val="nil"/>
              <w:right w:val="nil"/>
            </w:tcBorders>
            <w:shd w:val="clear" w:color="auto" w:fill="auto"/>
            <w:noWrap/>
            <w:vAlign w:val="center"/>
            <w:hideMark/>
          </w:tcPr>
          <w:p w14:paraId="544637D7"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top w:val="nil"/>
              <w:left w:val="nil"/>
              <w:bottom w:val="nil"/>
              <w:right w:val="nil"/>
            </w:tcBorders>
            <w:shd w:val="clear" w:color="auto" w:fill="auto"/>
            <w:noWrap/>
            <w:vAlign w:val="center"/>
            <w:hideMark/>
          </w:tcPr>
          <w:p w14:paraId="24D9108B"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bottom w:val="nil"/>
              <w:right w:val="nil"/>
            </w:tcBorders>
            <w:shd w:val="clear" w:color="auto" w:fill="auto"/>
            <w:noWrap/>
            <w:vAlign w:val="center"/>
            <w:hideMark/>
          </w:tcPr>
          <w:p w14:paraId="365C6B61"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44" w:type="dxa"/>
            <w:tcBorders>
              <w:top w:val="nil"/>
              <w:left w:val="nil"/>
              <w:bottom w:val="nil"/>
              <w:right w:val="nil"/>
            </w:tcBorders>
            <w:shd w:val="clear" w:color="auto" w:fill="auto"/>
            <w:vAlign w:val="center"/>
            <w:hideMark/>
          </w:tcPr>
          <w:p w14:paraId="12903BA3"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22</w:t>
            </w:r>
          </w:p>
        </w:tc>
      </w:tr>
      <w:tr w:rsidR="0026064C" w:rsidRPr="00EA0DC7" w14:paraId="452A5A62" w14:textId="77777777" w:rsidTr="006B5C6B">
        <w:trPr>
          <w:trHeight w:val="1382"/>
        </w:trPr>
        <w:tc>
          <w:tcPr>
            <w:tcW w:w="739" w:type="dxa"/>
            <w:tcBorders>
              <w:top w:val="nil"/>
              <w:left w:val="nil"/>
              <w:bottom w:val="nil"/>
              <w:right w:val="nil"/>
            </w:tcBorders>
            <w:shd w:val="clear" w:color="auto" w:fill="auto"/>
            <w:noWrap/>
            <w:hideMark/>
          </w:tcPr>
          <w:p w14:paraId="0F259FFC"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1986</w:t>
            </w:r>
          </w:p>
        </w:tc>
        <w:tc>
          <w:tcPr>
            <w:tcW w:w="2316" w:type="dxa"/>
            <w:tcBorders>
              <w:top w:val="nil"/>
              <w:left w:val="nil"/>
              <w:bottom w:val="nil"/>
              <w:right w:val="nil"/>
            </w:tcBorders>
            <w:shd w:val="clear" w:color="auto" w:fill="auto"/>
            <w:hideMark/>
          </w:tcPr>
          <w:p w14:paraId="3177348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Growth in supervision: Stages of supervisee and supervisor development </w:t>
            </w:r>
            <w:r w:rsidRPr="00EA0DC7">
              <w:rPr>
                <w:rFonts w:eastAsia="Times New Roman" w:cs="Arial"/>
                <w:noProof/>
                <w:sz w:val="20"/>
                <w:szCs w:val="20"/>
              </w:rPr>
              <w:t>(Hess, 1986)</w:t>
            </w:r>
          </w:p>
        </w:tc>
        <w:tc>
          <w:tcPr>
            <w:tcW w:w="1867" w:type="dxa"/>
            <w:tcBorders>
              <w:top w:val="nil"/>
              <w:left w:val="nil"/>
              <w:bottom w:val="nil"/>
              <w:right w:val="nil"/>
            </w:tcBorders>
            <w:shd w:val="clear" w:color="auto" w:fill="auto"/>
            <w:hideMark/>
          </w:tcPr>
          <w:p w14:paraId="4527F34B"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821" w:type="dxa"/>
            <w:tcBorders>
              <w:top w:val="nil"/>
              <w:left w:val="nil"/>
              <w:bottom w:val="nil"/>
              <w:right w:val="nil"/>
            </w:tcBorders>
            <w:shd w:val="clear" w:color="auto" w:fill="auto"/>
            <w:hideMark/>
          </w:tcPr>
          <w:p w14:paraId="28AD5791" w14:textId="4E3B05A8"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Describes a </w:t>
            </w:r>
            <w:r w:rsidR="004A6EE8" w:rsidRPr="00EA0DC7">
              <w:rPr>
                <w:rFonts w:eastAsia="Times New Roman" w:cs="Arial"/>
                <w:sz w:val="20"/>
                <w:szCs w:val="20"/>
              </w:rPr>
              <w:t>three-stage</w:t>
            </w:r>
            <w:r w:rsidRPr="00EA0DC7">
              <w:rPr>
                <w:rFonts w:eastAsia="Times New Roman" w:cs="Arial"/>
                <w:sz w:val="20"/>
                <w:szCs w:val="20"/>
              </w:rPr>
              <w:t xml:space="preserve"> model of supervisor development (beginning; exploration; and confirmation of supervisor identity).</w:t>
            </w:r>
          </w:p>
        </w:tc>
        <w:tc>
          <w:tcPr>
            <w:tcW w:w="1450" w:type="dxa"/>
            <w:tcBorders>
              <w:top w:val="nil"/>
              <w:left w:val="nil"/>
              <w:bottom w:val="nil"/>
              <w:right w:val="nil"/>
            </w:tcBorders>
            <w:shd w:val="clear" w:color="auto" w:fill="auto"/>
            <w:noWrap/>
            <w:vAlign w:val="center"/>
            <w:hideMark/>
          </w:tcPr>
          <w:p w14:paraId="1D052EEB"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261" w:type="dxa"/>
            <w:tcBorders>
              <w:top w:val="nil"/>
              <w:left w:val="nil"/>
              <w:bottom w:val="nil"/>
              <w:right w:val="nil"/>
            </w:tcBorders>
            <w:shd w:val="clear" w:color="auto" w:fill="auto"/>
            <w:noWrap/>
            <w:vAlign w:val="center"/>
            <w:hideMark/>
          </w:tcPr>
          <w:p w14:paraId="6AE5ADA8"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bottom w:val="nil"/>
              <w:right w:val="nil"/>
            </w:tcBorders>
            <w:shd w:val="clear" w:color="auto" w:fill="auto"/>
            <w:noWrap/>
            <w:vAlign w:val="center"/>
            <w:hideMark/>
          </w:tcPr>
          <w:p w14:paraId="08440065"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44" w:type="dxa"/>
            <w:tcBorders>
              <w:top w:val="nil"/>
              <w:left w:val="nil"/>
              <w:bottom w:val="nil"/>
              <w:right w:val="nil"/>
            </w:tcBorders>
            <w:shd w:val="clear" w:color="auto" w:fill="auto"/>
            <w:vAlign w:val="center"/>
            <w:hideMark/>
          </w:tcPr>
          <w:p w14:paraId="33CFC7A2"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11</w:t>
            </w:r>
          </w:p>
        </w:tc>
      </w:tr>
      <w:tr w:rsidR="0026064C" w:rsidRPr="00EA0DC7" w14:paraId="16CB8049" w14:textId="77777777" w:rsidTr="006B5C6B">
        <w:trPr>
          <w:trHeight w:val="127"/>
        </w:trPr>
        <w:tc>
          <w:tcPr>
            <w:tcW w:w="739" w:type="dxa"/>
            <w:tcBorders>
              <w:top w:val="nil"/>
              <w:left w:val="nil"/>
              <w:right w:val="nil"/>
            </w:tcBorders>
            <w:shd w:val="clear" w:color="auto" w:fill="auto"/>
            <w:noWrap/>
            <w:hideMark/>
          </w:tcPr>
          <w:p w14:paraId="04DA34DA"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1987</w:t>
            </w:r>
          </w:p>
        </w:tc>
        <w:tc>
          <w:tcPr>
            <w:tcW w:w="2316" w:type="dxa"/>
            <w:tcBorders>
              <w:top w:val="nil"/>
              <w:left w:val="nil"/>
              <w:right w:val="nil"/>
            </w:tcBorders>
            <w:shd w:val="clear" w:color="auto" w:fill="auto"/>
            <w:hideMark/>
          </w:tcPr>
          <w:p w14:paraId="422A3B1A"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Supervising counsellors and therapists: A developmental approach </w:t>
            </w:r>
            <w:r w:rsidRPr="00EA0DC7">
              <w:rPr>
                <w:rFonts w:eastAsia="Times New Roman" w:cs="Arial"/>
                <w:noProof/>
                <w:sz w:val="20"/>
                <w:szCs w:val="20"/>
              </w:rPr>
              <w:t>(Stoltenberg &amp; Delworth, 1987)</w:t>
            </w:r>
          </w:p>
        </w:tc>
        <w:tc>
          <w:tcPr>
            <w:tcW w:w="1867" w:type="dxa"/>
            <w:tcBorders>
              <w:top w:val="nil"/>
              <w:left w:val="nil"/>
              <w:right w:val="nil"/>
            </w:tcBorders>
            <w:shd w:val="clear" w:color="auto" w:fill="auto"/>
            <w:hideMark/>
          </w:tcPr>
          <w:p w14:paraId="692A3F37"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Integrated Developmental Model of Supervision (IDM)</w:t>
            </w:r>
          </w:p>
        </w:tc>
        <w:tc>
          <w:tcPr>
            <w:tcW w:w="3821" w:type="dxa"/>
            <w:tcBorders>
              <w:top w:val="nil"/>
              <w:left w:val="nil"/>
              <w:right w:val="nil"/>
            </w:tcBorders>
            <w:shd w:val="clear" w:color="auto" w:fill="auto"/>
            <w:hideMark/>
          </w:tcPr>
          <w:p w14:paraId="14C81AF7" w14:textId="558E5B69"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Four level developmental model. Supervisees de</w:t>
            </w:r>
            <w:r w:rsidR="004A6EE8" w:rsidRPr="00EA0DC7">
              <w:rPr>
                <w:rFonts w:eastAsia="Times New Roman" w:cs="Arial"/>
                <w:sz w:val="20"/>
                <w:szCs w:val="20"/>
              </w:rPr>
              <w:t>velop in self &amp; other awareness, motivation,</w:t>
            </w:r>
            <w:r w:rsidRPr="00EA0DC7">
              <w:rPr>
                <w:rFonts w:eastAsia="Times New Roman" w:cs="Arial"/>
                <w:sz w:val="20"/>
                <w:szCs w:val="20"/>
              </w:rPr>
              <w:t xml:space="preserve"> and autonomy over the four levels.</w:t>
            </w:r>
          </w:p>
        </w:tc>
        <w:tc>
          <w:tcPr>
            <w:tcW w:w="1450" w:type="dxa"/>
            <w:tcBorders>
              <w:top w:val="nil"/>
              <w:left w:val="nil"/>
              <w:right w:val="nil"/>
            </w:tcBorders>
            <w:shd w:val="clear" w:color="auto" w:fill="auto"/>
            <w:noWrap/>
            <w:vAlign w:val="center"/>
            <w:hideMark/>
          </w:tcPr>
          <w:p w14:paraId="5BBF447B"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261" w:type="dxa"/>
            <w:tcBorders>
              <w:top w:val="nil"/>
              <w:left w:val="nil"/>
              <w:right w:val="nil"/>
            </w:tcBorders>
            <w:shd w:val="clear" w:color="auto" w:fill="auto"/>
            <w:noWrap/>
            <w:vAlign w:val="center"/>
            <w:hideMark/>
          </w:tcPr>
          <w:p w14:paraId="53B2F8DA"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right w:val="nil"/>
            </w:tcBorders>
            <w:shd w:val="clear" w:color="auto" w:fill="auto"/>
            <w:noWrap/>
            <w:vAlign w:val="center"/>
            <w:hideMark/>
          </w:tcPr>
          <w:p w14:paraId="140198B1"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44" w:type="dxa"/>
            <w:tcBorders>
              <w:top w:val="nil"/>
              <w:left w:val="nil"/>
              <w:right w:val="nil"/>
            </w:tcBorders>
            <w:shd w:val="clear" w:color="auto" w:fill="auto"/>
            <w:vAlign w:val="center"/>
            <w:hideMark/>
          </w:tcPr>
          <w:p w14:paraId="1C4B7B72"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32</w:t>
            </w:r>
          </w:p>
        </w:tc>
      </w:tr>
      <w:tr w:rsidR="0026064C" w:rsidRPr="00EA0DC7" w14:paraId="12E31E25" w14:textId="77777777" w:rsidTr="006B5C6B">
        <w:trPr>
          <w:trHeight w:val="80"/>
        </w:trPr>
        <w:tc>
          <w:tcPr>
            <w:tcW w:w="739" w:type="dxa"/>
            <w:tcBorders>
              <w:top w:val="nil"/>
              <w:left w:val="nil"/>
              <w:bottom w:val="single" w:sz="4" w:space="0" w:color="auto"/>
              <w:right w:val="nil"/>
            </w:tcBorders>
            <w:shd w:val="clear" w:color="auto" w:fill="auto"/>
            <w:noWrap/>
            <w:hideMark/>
          </w:tcPr>
          <w:p w14:paraId="1805290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1988</w:t>
            </w:r>
          </w:p>
        </w:tc>
        <w:tc>
          <w:tcPr>
            <w:tcW w:w="2316" w:type="dxa"/>
            <w:tcBorders>
              <w:top w:val="nil"/>
              <w:left w:val="nil"/>
              <w:bottom w:val="single" w:sz="4" w:space="0" w:color="auto"/>
              <w:right w:val="nil"/>
            </w:tcBorders>
            <w:shd w:val="clear" w:color="auto" w:fill="auto"/>
            <w:hideMark/>
          </w:tcPr>
          <w:p w14:paraId="190356A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Teaching an integrated model of family therapy: women as students, women as supervisors </w:t>
            </w:r>
            <w:r w:rsidRPr="00EA0DC7">
              <w:rPr>
                <w:rFonts w:eastAsia="Times New Roman" w:cs="Arial"/>
                <w:noProof/>
                <w:sz w:val="20"/>
                <w:szCs w:val="20"/>
              </w:rPr>
              <w:t>(Ault-Riché, 1988)</w:t>
            </w:r>
          </w:p>
        </w:tc>
        <w:tc>
          <w:tcPr>
            <w:tcW w:w="1867" w:type="dxa"/>
            <w:tcBorders>
              <w:top w:val="nil"/>
              <w:left w:val="nil"/>
              <w:bottom w:val="single" w:sz="4" w:space="0" w:color="auto"/>
              <w:right w:val="nil"/>
            </w:tcBorders>
            <w:shd w:val="clear" w:color="auto" w:fill="auto"/>
            <w:hideMark/>
          </w:tcPr>
          <w:p w14:paraId="301FC9C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The Apprenticeship Model </w:t>
            </w:r>
          </w:p>
        </w:tc>
        <w:tc>
          <w:tcPr>
            <w:tcW w:w="3821" w:type="dxa"/>
            <w:tcBorders>
              <w:top w:val="nil"/>
              <w:left w:val="nil"/>
              <w:bottom w:val="single" w:sz="4" w:space="0" w:color="auto"/>
              <w:right w:val="nil"/>
            </w:tcBorders>
            <w:shd w:val="clear" w:color="auto" w:fill="auto"/>
            <w:hideMark/>
          </w:tcPr>
          <w:p w14:paraId="4E8C252A"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Proposes a 'continuum of emphasis' on gender issues as a trainee moves from an observer to a live supervised member of a therapy team.</w:t>
            </w:r>
          </w:p>
        </w:tc>
        <w:tc>
          <w:tcPr>
            <w:tcW w:w="1450" w:type="dxa"/>
            <w:tcBorders>
              <w:top w:val="nil"/>
              <w:left w:val="nil"/>
              <w:bottom w:val="single" w:sz="4" w:space="0" w:color="auto"/>
              <w:right w:val="nil"/>
            </w:tcBorders>
            <w:shd w:val="clear" w:color="auto" w:fill="auto"/>
            <w:noWrap/>
            <w:vAlign w:val="center"/>
            <w:hideMark/>
          </w:tcPr>
          <w:p w14:paraId="717AA89A"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top w:val="nil"/>
              <w:left w:val="nil"/>
              <w:bottom w:val="single" w:sz="4" w:space="0" w:color="auto"/>
              <w:right w:val="nil"/>
            </w:tcBorders>
            <w:shd w:val="clear" w:color="auto" w:fill="auto"/>
            <w:noWrap/>
            <w:vAlign w:val="center"/>
            <w:hideMark/>
          </w:tcPr>
          <w:p w14:paraId="09A30ED0"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bottom w:val="single" w:sz="4" w:space="0" w:color="auto"/>
              <w:right w:val="nil"/>
            </w:tcBorders>
            <w:shd w:val="clear" w:color="auto" w:fill="auto"/>
            <w:noWrap/>
            <w:vAlign w:val="center"/>
            <w:hideMark/>
          </w:tcPr>
          <w:p w14:paraId="4F7C0692"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44" w:type="dxa"/>
            <w:tcBorders>
              <w:top w:val="nil"/>
              <w:left w:val="nil"/>
              <w:bottom w:val="single" w:sz="4" w:space="0" w:color="auto"/>
              <w:right w:val="nil"/>
            </w:tcBorders>
            <w:shd w:val="clear" w:color="auto" w:fill="auto"/>
            <w:vAlign w:val="center"/>
            <w:hideMark/>
          </w:tcPr>
          <w:p w14:paraId="6414F40A"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14</w:t>
            </w:r>
          </w:p>
        </w:tc>
      </w:tr>
    </w:tbl>
    <w:p w14:paraId="2391C020" w14:textId="77777777" w:rsidR="006B5C6B" w:rsidRPr="00EA0DC7" w:rsidRDefault="006B5C6B" w:rsidP="0026064C">
      <w:pPr>
        <w:rPr>
          <w:rFonts w:eastAsia="SimSun" w:cs="Arial"/>
        </w:rPr>
        <w:sectPr w:rsidR="006B5C6B"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186"/>
        <w:gridCol w:w="1887"/>
        <w:gridCol w:w="3969"/>
        <w:gridCol w:w="1450"/>
        <w:gridCol w:w="1261"/>
        <w:gridCol w:w="1183"/>
        <w:gridCol w:w="1306"/>
      </w:tblGrid>
      <w:tr w:rsidR="0026064C" w:rsidRPr="00EA0DC7" w14:paraId="6DF10CDA" w14:textId="77777777" w:rsidTr="006B5C6B">
        <w:trPr>
          <w:trHeight w:val="709"/>
        </w:trPr>
        <w:tc>
          <w:tcPr>
            <w:tcW w:w="739" w:type="dxa"/>
            <w:tcBorders>
              <w:top w:val="single" w:sz="4" w:space="0" w:color="auto"/>
              <w:left w:val="nil"/>
              <w:bottom w:val="single" w:sz="4" w:space="0" w:color="auto"/>
              <w:right w:val="nil"/>
            </w:tcBorders>
            <w:shd w:val="clear" w:color="auto" w:fill="auto"/>
            <w:noWrap/>
            <w:vAlign w:val="center"/>
          </w:tcPr>
          <w:p w14:paraId="3F564F5F"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186" w:type="dxa"/>
            <w:tcBorders>
              <w:top w:val="single" w:sz="4" w:space="0" w:color="auto"/>
              <w:left w:val="nil"/>
              <w:bottom w:val="single" w:sz="4" w:space="0" w:color="auto"/>
              <w:right w:val="nil"/>
            </w:tcBorders>
            <w:shd w:val="clear" w:color="auto" w:fill="auto"/>
            <w:vAlign w:val="center"/>
          </w:tcPr>
          <w:p w14:paraId="6D2FBA5D"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vAlign w:val="center"/>
          </w:tcPr>
          <w:p w14:paraId="5B0D6D3B"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2D245C8E" w14:textId="77777777" w:rsidR="0026064C" w:rsidRPr="00EA0DC7" w:rsidRDefault="0026064C" w:rsidP="007C5941">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450" w:type="dxa"/>
            <w:tcBorders>
              <w:top w:val="single" w:sz="4" w:space="0" w:color="auto"/>
              <w:left w:val="nil"/>
              <w:bottom w:val="single" w:sz="4" w:space="0" w:color="auto"/>
              <w:right w:val="nil"/>
            </w:tcBorders>
            <w:shd w:val="clear" w:color="auto" w:fill="auto"/>
            <w:noWrap/>
            <w:vAlign w:val="center"/>
          </w:tcPr>
          <w:p w14:paraId="66FF918B" w14:textId="77777777" w:rsidR="0026064C" w:rsidRPr="00EA0DC7" w:rsidRDefault="0026064C" w:rsidP="007C5941">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61" w:type="dxa"/>
            <w:tcBorders>
              <w:top w:val="single" w:sz="4" w:space="0" w:color="auto"/>
              <w:left w:val="nil"/>
              <w:bottom w:val="single" w:sz="4" w:space="0" w:color="auto"/>
              <w:right w:val="nil"/>
            </w:tcBorders>
            <w:shd w:val="clear" w:color="auto" w:fill="auto"/>
            <w:noWrap/>
            <w:vAlign w:val="center"/>
          </w:tcPr>
          <w:p w14:paraId="757F7927" w14:textId="77777777" w:rsidR="0026064C" w:rsidRPr="00EA0DC7" w:rsidRDefault="0026064C" w:rsidP="007C5941">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3657D071" w14:textId="77777777" w:rsidR="0026064C" w:rsidRPr="00EA0DC7" w:rsidRDefault="0026064C" w:rsidP="007C5941">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83" w:type="dxa"/>
            <w:tcBorders>
              <w:top w:val="single" w:sz="4" w:space="0" w:color="auto"/>
              <w:left w:val="nil"/>
              <w:bottom w:val="single" w:sz="4" w:space="0" w:color="auto"/>
              <w:right w:val="nil"/>
            </w:tcBorders>
            <w:shd w:val="clear" w:color="auto" w:fill="auto"/>
            <w:noWrap/>
            <w:vAlign w:val="center"/>
          </w:tcPr>
          <w:p w14:paraId="61E461E1" w14:textId="77777777" w:rsidR="0026064C" w:rsidRPr="00EA0DC7" w:rsidRDefault="0026064C" w:rsidP="007C5941">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06" w:type="dxa"/>
            <w:tcBorders>
              <w:top w:val="single" w:sz="4" w:space="0" w:color="auto"/>
              <w:left w:val="nil"/>
              <w:bottom w:val="single" w:sz="4" w:space="0" w:color="auto"/>
              <w:right w:val="nil"/>
            </w:tcBorders>
            <w:shd w:val="clear" w:color="auto" w:fill="auto"/>
            <w:vAlign w:val="center"/>
          </w:tcPr>
          <w:p w14:paraId="3EDC4EC5" w14:textId="303ABC7F"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24C6B063"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7569911D"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586CC48D" w14:textId="77777777" w:rsidTr="006B5C6B">
        <w:trPr>
          <w:trHeight w:val="709"/>
        </w:trPr>
        <w:tc>
          <w:tcPr>
            <w:tcW w:w="739" w:type="dxa"/>
            <w:tcBorders>
              <w:top w:val="single" w:sz="4" w:space="0" w:color="auto"/>
              <w:left w:val="nil"/>
              <w:bottom w:val="nil"/>
              <w:right w:val="nil"/>
            </w:tcBorders>
            <w:shd w:val="clear" w:color="auto" w:fill="auto"/>
            <w:noWrap/>
          </w:tcPr>
          <w:p w14:paraId="53870932"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1990</w:t>
            </w:r>
          </w:p>
        </w:tc>
        <w:tc>
          <w:tcPr>
            <w:tcW w:w="2186" w:type="dxa"/>
            <w:tcBorders>
              <w:top w:val="single" w:sz="4" w:space="0" w:color="auto"/>
              <w:left w:val="nil"/>
              <w:bottom w:val="nil"/>
              <w:right w:val="nil"/>
            </w:tcBorders>
            <w:shd w:val="clear" w:color="auto" w:fill="auto"/>
          </w:tcPr>
          <w:p w14:paraId="7E78A2B2"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Development of the psychotherapy supervisor </w:t>
            </w:r>
            <w:r w:rsidRPr="00EA0DC7">
              <w:rPr>
                <w:rFonts w:eastAsia="Times New Roman" w:cs="Arial"/>
                <w:noProof/>
                <w:sz w:val="20"/>
                <w:szCs w:val="20"/>
              </w:rPr>
              <w:t>(Watkins, 1990)</w:t>
            </w:r>
          </w:p>
        </w:tc>
        <w:tc>
          <w:tcPr>
            <w:tcW w:w="1887" w:type="dxa"/>
            <w:tcBorders>
              <w:top w:val="single" w:sz="4" w:space="0" w:color="auto"/>
              <w:left w:val="nil"/>
              <w:bottom w:val="nil"/>
              <w:right w:val="nil"/>
            </w:tcBorders>
            <w:shd w:val="clear" w:color="auto" w:fill="auto"/>
          </w:tcPr>
          <w:p w14:paraId="75067734" w14:textId="77777777" w:rsidR="0026064C" w:rsidRPr="00EA0DC7" w:rsidRDefault="0026064C" w:rsidP="005B79F7">
            <w:pPr>
              <w:spacing w:before="240" w:line="240" w:lineRule="auto"/>
              <w:jc w:val="left"/>
              <w:rPr>
                <w:rFonts w:ascii="Calibri" w:eastAsia="Times New Roman" w:hAnsi="Calibri" w:cs="Times New Roman"/>
              </w:rPr>
            </w:pPr>
            <w:r w:rsidRPr="00EA0DC7">
              <w:rPr>
                <w:rFonts w:eastAsia="Times New Roman" w:cs="Arial"/>
                <w:sz w:val="20"/>
                <w:szCs w:val="20"/>
              </w:rPr>
              <w:t xml:space="preserve">Supervisor Complexity Model </w:t>
            </w:r>
          </w:p>
        </w:tc>
        <w:tc>
          <w:tcPr>
            <w:tcW w:w="3969" w:type="dxa"/>
            <w:tcBorders>
              <w:top w:val="single" w:sz="4" w:space="0" w:color="auto"/>
              <w:left w:val="nil"/>
              <w:bottom w:val="nil"/>
              <w:right w:val="nil"/>
            </w:tcBorders>
            <w:shd w:val="clear" w:color="auto" w:fill="auto"/>
          </w:tcPr>
          <w:p w14:paraId="1417FF81" w14:textId="0822147B" w:rsidR="0026064C" w:rsidRPr="00EA0DC7" w:rsidRDefault="0026064C" w:rsidP="0061557C">
            <w:pPr>
              <w:spacing w:before="240" w:line="240" w:lineRule="auto"/>
              <w:jc w:val="left"/>
              <w:rPr>
                <w:rFonts w:eastAsia="Times New Roman" w:cs="Arial"/>
                <w:sz w:val="20"/>
                <w:szCs w:val="20"/>
              </w:rPr>
            </w:pPr>
            <w:r w:rsidRPr="00EA0DC7">
              <w:rPr>
                <w:rFonts w:eastAsia="Times New Roman" w:cs="Arial"/>
                <w:sz w:val="20"/>
                <w:szCs w:val="20"/>
              </w:rPr>
              <w:t>Highlights four stages of supervisor development: role shock</w:t>
            </w:r>
            <w:r w:rsidR="0061557C" w:rsidRPr="00EA0DC7">
              <w:rPr>
                <w:rFonts w:eastAsia="Times New Roman" w:cs="Arial"/>
                <w:sz w:val="20"/>
                <w:szCs w:val="20"/>
              </w:rPr>
              <w:t>,</w:t>
            </w:r>
            <w:r w:rsidRPr="00EA0DC7">
              <w:rPr>
                <w:rFonts w:eastAsia="Times New Roman" w:cs="Arial"/>
                <w:sz w:val="20"/>
                <w:szCs w:val="20"/>
              </w:rPr>
              <w:t xml:space="preserve"> role</w:t>
            </w:r>
            <w:r w:rsidR="0061557C" w:rsidRPr="00EA0DC7">
              <w:rPr>
                <w:rFonts w:eastAsia="Times New Roman" w:cs="Arial"/>
                <w:sz w:val="20"/>
                <w:szCs w:val="20"/>
              </w:rPr>
              <w:t xml:space="preserve"> recovery/transition, role consolidation,</w:t>
            </w:r>
            <w:r w:rsidRPr="00EA0DC7">
              <w:rPr>
                <w:rFonts w:eastAsia="Times New Roman" w:cs="Arial"/>
                <w:sz w:val="20"/>
                <w:szCs w:val="20"/>
              </w:rPr>
              <w:t xml:space="preserve"> and role mastery.</w:t>
            </w:r>
          </w:p>
        </w:tc>
        <w:tc>
          <w:tcPr>
            <w:tcW w:w="1450" w:type="dxa"/>
            <w:tcBorders>
              <w:top w:val="single" w:sz="4" w:space="0" w:color="auto"/>
              <w:left w:val="nil"/>
              <w:bottom w:val="nil"/>
              <w:right w:val="nil"/>
            </w:tcBorders>
            <w:shd w:val="clear" w:color="auto" w:fill="auto"/>
            <w:noWrap/>
            <w:vAlign w:val="center"/>
          </w:tcPr>
          <w:p w14:paraId="77B1A3D8"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261" w:type="dxa"/>
            <w:tcBorders>
              <w:top w:val="single" w:sz="4" w:space="0" w:color="auto"/>
              <w:left w:val="nil"/>
              <w:bottom w:val="nil"/>
              <w:right w:val="nil"/>
            </w:tcBorders>
            <w:shd w:val="clear" w:color="auto" w:fill="auto"/>
            <w:noWrap/>
            <w:vAlign w:val="center"/>
          </w:tcPr>
          <w:p w14:paraId="74E78735"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183" w:type="dxa"/>
            <w:tcBorders>
              <w:top w:val="single" w:sz="4" w:space="0" w:color="auto"/>
              <w:left w:val="nil"/>
              <w:bottom w:val="nil"/>
              <w:right w:val="nil"/>
            </w:tcBorders>
            <w:shd w:val="clear" w:color="auto" w:fill="auto"/>
            <w:noWrap/>
            <w:vAlign w:val="center"/>
          </w:tcPr>
          <w:p w14:paraId="713AF243"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306" w:type="dxa"/>
            <w:tcBorders>
              <w:top w:val="single" w:sz="4" w:space="0" w:color="auto"/>
              <w:left w:val="nil"/>
              <w:bottom w:val="nil"/>
              <w:right w:val="nil"/>
            </w:tcBorders>
            <w:shd w:val="clear" w:color="auto" w:fill="auto"/>
            <w:vAlign w:val="center"/>
          </w:tcPr>
          <w:p w14:paraId="7D6CF7D6"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6</w:t>
            </w:r>
          </w:p>
        </w:tc>
      </w:tr>
      <w:tr w:rsidR="0026064C" w:rsidRPr="00EA0DC7" w14:paraId="0B6DCA4D" w14:textId="77777777" w:rsidTr="006B5C6B">
        <w:trPr>
          <w:trHeight w:val="80"/>
        </w:trPr>
        <w:tc>
          <w:tcPr>
            <w:tcW w:w="739" w:type="dxa"/>
            <w:tcBorders>
              <w:top w:val="nil"/>
              <w:left w:val="nil"/>
              <w:bottom w:val="nil"/>
              <w:right w:val="nil"/>
            </w:tcBorders>
            <w:shd w:val="clear" w:color="auto" w:fill="auto"/>
            <w:noWrap/>
            <w:hideMark/>
          </w:tcPr>
          <w:p w14:paraId="5FBD402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1990</w:t>
            </w:r>
          </w:p>
        </w:tc>
        <w:tc>
          <w:tcPr>
            <w:tcW w:w="2186" w:type="dxa"/>
            <w:tcBorders>
              <w:top w:val="nil"/>
              <w:left w:val="nil"/>
              <w:bottom w:val="nil"/>
              <w:right w:val="nil"/>
            </w:tcBorders>
            <w:shd w:val="clear" w:color="auto" w:fill="auto"/>
            <w:hideMark/>
          </w:tcPr>
          <w:p w14:paraId="7A52ACF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Solution -focused supervision </w:t>
            </w:r>
            <w:r w:rsidRPr="00EA0DC7">
              <w:rPr>
                <w:rFonts w:eastAsia="Times New Roman" w:cs="Arial"/>
                <w:noProof/>
                <w:sz w:val="20"/>
                <w:szCs w:val="20"/>
              </w:rPr>
              <w:t>(Wetchler, 1990)</w:t>
            </w:r>
          </w:p>
        </w:tc>
        <w:tc>
          <w:tcPr>
            <w:tcW w:w="1887" w:type="dxa"/>
            <w:tcBorders>
              <w:top w:val="nil"/>
              <w:left w:val="nil"/>
              <w:bottom w:val="nil"/>
              <w:right w:val="nil"/>
            </w:tcBorders>
            <w:shd w:val="clear" w:color="auto" w:fill="auto"/>
            <w:hideMark/>
          </w:tcPr>
          <w:p w14:paraId="50C39F8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Solution-Focused Supervision Model </w:t>
            </w:r>
          </w:p>
        </w:tc>
        <w:tc>
          <w:tcPr>
            <w:tcW w:w="3969" w:type="dxa"/>
            <w:tcBorders>
              <w:top w:val="nil"/>
              <w:left w:val="nil"/>
              <w:bottom w:val="nil"/>
              <w:right w:val="nil"/>
            </w:tcBorders>
            <w:shd w:val="clear" w:color="auto" w:fill="auto"/>
            <w:hideMark/>
          </w:tcPr>
          <w:p w14:paraId="7BCB153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Focuses on supervisee strengths and solutions, rather than problems and mistakes.</w:t>
            </w:r>
          </w:p>
        </w:tc>
        <w:tc>
          <w:tcPr>
            <w:tcW w:w="1450" w:type="dxa"/>
            <w:tcBorders>
              <w:top w:val="nil"/>
              <w:left w:val="nil"/>
              <w:bottom w:val="nil"/>
              <w:right w:val="nil"/>
            </w:tcBorders>
            <w:shd w:val="clear" w:color="auto" w:fill="auto"/>
            <w:noWrap/>
            <w:vAlign w:val="center"/>
            <w:hideMark/>
          </w:tcPr>
          <w:p w14:paraId="38F9DAC3"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261" w:type="dxa"/>
            <w:tcBorders>
              <w:top w:val="nil"/>
              <w:left w:val="nil"/>
              <w:bottom w:val="nil"/>
              <w:right w:val="nil"/>
            </w:tcBorders>
            <w:shd w:val="clear" w:color="auto" w:fill="auto"/>
            <w:noWrap/>
            <w:vAlign w:val="center"/>
            <w:hideMark/>
          </w:tcPr>
          <w:p w14:paraId="644A4760"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83" w:type="dxa"/>
            <w:tcBorders>
              <w:top w:val="nil"/>
              <w:left w:val="nil"/>
              <w:bottom w:val="nil"/>
              <w:right w:val="nil"/>
            </w:tcBorders>
            <w:shd w:val="clear" w:color="auto" w:fill="auto"/>
            <w:noWrap/>
            <w:vAlign w:val="center"/>
            <w:hideMark/>
          </w:tcPr>
          <w:p w14:paraId="10A1143B" w14:textId="77777777" w:rsidR="0026064C" w:rsidRPr="00EA0DC7" w:rsidRDefault="0026064C" w:rsidP="00CA2778">
            <w:pPr>
              <w:spacing w:line="240" w:lineRule="auto"/>
              <w:jc w:val="center"/>
              <w:rPr>
                <w:rFonts w:ascii="Calibri" w:eastAsia="Times New Roman" w:hAnsi="Calibri" w:cs="Times New Roman"/>
              </w:rPr>
            </w:pPr>
          </w:p>
        </w:tc>
        <w:tc>
          <w:tcPr>
            <w:tcW w:w="1306" w:type="dxa"/>
            <w:tcBorders>
              <w:top w:val="nil"/>
              <w:left w:val="nil"/>
              <w:bottom w:val="nil"/>
              <w:right w:val="nil"/>
            </w:tcBorders>
            <w:shd w:val="clear" w:color="auto" w:fill="auto"/>
            <w:vAlign w:val="center"/>
            <w:hideMark/>
          </w:tcPr>
          <w:p w14:paraId="0E91D38F"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25A2C1A8" w14:textId="77777777" w:rsidTr="006B5C6B">
        <w:trPr>
          <w:trHeight w:val="80"/>
        </w:trPr>
        <w:tc>
          <w:tcPr>
            <w:tcW w:w="739" w:type="dxa"/>
            <w:tcBorders>
              <w:top w:val="nil"/>
              <w:left w:val="nil"/>
              <w:right w:val="nil"/>
            </w:tcBorders>
            <w:shd w:val="clear" w:color="auto" w:fill="auto"/>
            <w:noWrap/>
            <w:hideMark/>
          </w:tcPr>
          <w:p w14:paraId="0DF6AC0A"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1990</w:t>
            </w:r>
          </w:p>
        </w:tc>
        <w:tc>
          <w:tcPr>
            <w:tcW w:w="2186" w:type="dxa"/>
            <w:tcBorders>
              <w:top w:val="nil"/>
              <w:left w:val="nil"/>
              <w:right w:val="nil"/>
            </w:tcBorders>
            <w:shd w:val="clear" w:color="auto" w:fill="auto"/>
            <w:hideMark/>
          </w:tcPr>
          <w:p w14:paraId="4B32BAB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Effective supervision: A task oriented model for the mental health professions </w:t>
            </w:r>
            <w:r w:rsidRPr="00EA0DC7">
              <w:rPr>
                <w:rFonts w:eastAsia="Times New Roman" w:cs="Arial"/>
                <w:noProof/>
                <w:sz w:val="20"/>
                <w:szCs w:val="20"/>
              </w:rPr>
              <w:t>(Mead, 1990)</w:t>
            </w:r>
          </w:p>
        </w:tc>
        <w:tc>
          <w:tcPr>
            <w:tcW w:w="1887" w:type="dxa"/>
            <w:tcBorders>
              <w:top w:val="nil"/>
              <w:left w:val="nil"/>
              <w:right w:val="nil"/>
            </w:tcBorders>
            <w:shd w:val="clear" w:color="auto" w:fill="auto"/>
            <w:hideMark/>
          </w:tcPr>
          <w:p w14:paraId="743222CC"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Task-Oriented Model of Supervision </w:t>
            </w:r>
          </w:p>
        </w:tc>
        <w:tc>
          <w:tcPr>
            <w:tcW w:w="3969" w:type="dxa"/>
            <w:tcBorders>
              <w:top w:val="nil"/>
              <w:left w:val="nil"/>
              <w:right w:val="nil"/>
            </w:tcBorders>
            <w:shd w:val="clear" w:color="auto" w:fill="auto"/>
            <w:hideMark/>
          </w:tcPr>
          <w:p w14:paraId="426DD2E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Focuses on three hierarchically connected systems that can be seen in terms of levels and meta-levels (level 1 = client, level 2 = therapist, level 3 = supervisor).</w:t>
            </w:r>
          </w:p>
        </w:tc>
        <w:tc>
          <w:tcPr>
            <w:tcW w:w="1450" w:type="dxa"/>
            <w:tcBorders>
              <w:top w:val="nil"/>
              <w:left w:val="nil"/>
              <w:right w:val="nil"/>
            </w:tcBorders>
            <w:shd w:val="clear" w:color="auto" w:fill="auto"/>
            <w:noWrap/>
            <w:vAlign w:val="center"/>
            <w:hideMark/>
          </w:tcPr>
          <w:p w14:paraId="0A411694"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top w:val="nil"/>
              <w:left w:val="nil"/>
              <w:right w:val="nil"/>
            </w:tcBorders>
            <w:shd w:val="clear" w:color="auto" w:fill="auto"/>
            <w:noWrap/>
            <w:vAlign w:val="center"/>
            <w:hideMark/>
          </w:tcPr>
          <w:p w14:paraId="7E0BEEC0"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right w:val="nil"/>
            </w:tcBorders>
            <w:shd w:val="clear" w:color="auto" w:fill="auto"/>
            <w:noWrap/>
            <w:vAlign w:val="center"/>
            <w:hideMark/>
          </w:tcPr>
          <w:p w14:paraId="2AD3246D" w14:textId="77777777" w:rsidR="0026064C" w:rsidRPr="00EA0DC7" w:rsidRDefault="0026064C" w:rsidP="00CA2778">
            <w:pPr>
              <w:spacing w:line="240" w:lineRule="auto"/>
              <w:jc w:val="center"/>
              <w:rPr>
                <w:rFonts w:ascii="Calibri" w:eastAsia="Times New Roman" w:hAnsi="Calibri" w:cs="Times New Roman"/>
              </w:rPr>
            </w:pPr>
          </w:p>
        </w:tc>
        <w:tc>
          <w:tcPr>
            <w:tcW w:w="1306" w:type="dxa"/>
            <w:tcBorders>
              <w:top w:val="nil"/>
              <w:left w:val="nil"/>
              <w:right w:val="nil"/>
            </w:tcBorders>
            <w:shd w:val="clear" w:color="auto" w:fill="auto"/>
            <w:vAlign w:val="center"/>
            <w:hideMark/>
          </w:tcPr>
          <w:p w14:paraId="01293A00"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32</w:t>
            </w:r>
          </w:p>
        </w:tc>
      </w:tr>
      <w:tr w:rsidR="0026064C" w:rsidRPr="00EA0DC7" w14:paraId="2699B7F0" w14:textId="77777777" w:rsidTr="006B5C6B">
        <w:trPr>
          <w:trHeight w:val="80"/>
        </w:trPr>
        <w:tc>
          <w:tcPr>
            <w:tcW w:w="739" w:type="dxa"/>
            <w:tcBorders>
              <w:top w:val="nil"/>
              <w:left w:val="nil"/>
              <w:bottom w:val="single" w:sz="4" w:space="0" w:color="auto"/>
              <w:right w:val="nil"/>
            </w:tcBorders>
            <w:shd w:val="clear" w:color="auto" w:fill="auto"/>
            <w:noWrap/>
            <w:hideMark/>
          </w:tcPr>
          <w:p w14:paraId="6FEC1196"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1993*</w:t>
            </w:r>
          </w:p>
        </w:tc>
        <w:tc>
          <w:tcPr>
            <w:tcW w:w="2186" w:type="dxa"/>
            <w:tcBorders>
              <w:top w:val="nil"/>
              <w:left w:val="nil"/>
              <w:bottom w:val="single" w:sz="4" w:space="0" w:color="auto"/>
              <w:right w:val="nil"/>
            </w:tcBorders>
            <w:shd w:val="clear" w:color="auto" w:fill="auto"/>
            <w:hideMark/>
          </w:tcPr>
          <w:p w14:paraId="4E6B9EB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in the helping professions </w:t>
            </w:r>
            <w:r w:rsidRPr="00EA0DC7">
              <w:rPr>
                <w:rFonts w:eastAsia="Times New Roman" w:cs="Arial"/>
                <w:noProof/>
                <w:sz w:val="20"/>
                <w:szCs w:val="20"/>
              </w:rPr>
              <w:t>(Hawkins &amp; Shohet, 1993)</w:t>
            </w:r>
          </w:p>
        </w:tc>
        <w:tc>
          <w:tcPr>
            <w:tcW w:w="1887" w:type="dxa"/>
            <w:tcBorders>
              <w:top w:val="nil"/>
              <w:left w:val="nil"/>
              <w:bottom w:val="single" w:sz="4" w:space="0" w:color="auto"/>
              <w:right w:val="nil"/>
            </w:tcBorders>
            <w:shd w:val="clear" w:color="auto" w:fill="auto"/>
            <w:noWrap/>
            <w:hideMark/>
          </w:tcPr>
          <w:p w14:paraId="11B5A8D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The Seven-Eyed Model of Supervision </w:t>
            </w:r>
          </w:p>
        </w:tc>
        <w:tc>
          <w:tcPr>
            <w:tcW w:w="3969" w:type="dxa"/>
            <w:tcBorders>
              <w:top w:val="nil"/>
              <w:left w:val="nil"/>
              <w:bottom w:val="single" w:sz="4" w:space="0" w:color="auto"/>
              <w:right w:val="nil"/>
            </w:tcBorders>
            <w:shd w:val="clear" w:color="auto" w:fill="auto"/>
            <w:noWrap/>
            <w:hideMark/>
          </w:tcPr>
          <w:p w14:paraId="011AA3A3"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the seven aspects of the supervision process: supervisor, supervisee, client, strategies and interventions used by the supervisee, the therapeutic relationship, the supervisory relationship, and the wider context in which the work happens.</w:t>
            </w:r>
          </w:p>
        </w:tc>
        <w:tc>
          <w:tcPr>
            <w:tcW w:w="1450" w:type="dxa"/>
            <w:tcBorders>
              <w:top w:val="nil"/>
              <w:left w:val="nil"/>
              <w:bottom w:val="single" w:sz="4" w:space="0" w:color="auto"/>
              <w:right w:val="nil"/>
            </w:tcBorders>
            <w:shd w:val="clear" w:color="auto" w:fill="auto"/>
            <w:noWrap/>
            <w:vAlign w:val="center"/>
            <w:hideMark/>
          </w:tcPr>
          <w:p w14:paraId="760456CA"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261" w:type="dxa"/>
            <w:tcBorders>
              <w:top w:val="nil"/>
              <w:left w:val="nil"/>
              <w:bottom w:val="single" w:sz="4" w:space="0" w:color="auto"/>
              <w:right w:val="nil"/>
            </w:tcBorders>
            <w:shd w:val="clear" w:color="auto" w:fill="auto"/>
            <w:noWrap/>
            <w:vAlign w:val="center"/>
            <w:hideMark/>
          </w:tcPr>
          <w:p w14:paraId="1F827487"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83" w:type="dxa"/>
            <w:tcBorders>
              <w:top w:val="nil"/>
              <w:left w:val="nil"/>
              <w:bottom w:val="single" w:sz="4" w:space="0" w:color="auto"/>
              <w:right w:val="nil"/>
            </w:tcBorders>
            <w:shd w:val="clear" w:color="auto" w:fill="auto"/>
            <w:noWrap/>
            <w:vAlign w:val="center"/>
            <w:hideMark/>
          </w:tcPr>
          <w:p w14:paraId="6ABD28B2"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06" w:type="dxa"/>
            <w:tcBorders>
              <w:top w:val="nil"/>
              <w:left w:val="nil"/>
              <w:bottom w:val="single" w:sz="4" w:space="0" w:color="auto"/>
              <w:right w:val="nil"/>
            </w:tcBorders>
            <w:shd w:val="clear" w:color="auto" w:fill="auto"/>
            <w:vAlign w:val="center"/>
            <w:hideMark/>
          </w:tcPr>
          <w:p w14:paraId="75CF23B4"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17</w:t>
            </w:r>
          </w:p>
        </w:tc>
      </w:tr>
    </w:tbl>
    <w:p w14:paraId="33C9E6DD" w14:textId="77777777" w:rsidR="006B5C6B" w:rsidRPr="00EA0DC7" w:rsidRDefault="006B5C6B" w:rsidP="0026064C">
      <w:pPr>
        <w:rPr>
          <w:rFonts w:eastAsia="SimSun" w:cs="Arial"/>
        </w:rPr>
        <w:sectPr w:rsidR="006B5C6B"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09"/>
        <w:gridCol w:w="1887"/>
        <w:gridCol w:w="3809"/>
        <w:gridCol w:w="1450"/>
        <w:gridCol w:w="1261"/>
        <w:gridCol w:w="1183"/>
        <w:gridCol w:w="1343"/>
      </w:tblGrid>
      <w:tr w:rsidR="0026064C" w:rsidRPr="00EA0DC7" w14:paraId="6775A54C" w14:textId="77777777" w:rsidTr="006B5C6B">
        <w:trPr>
          <w:trHeight w:val="80"/>
        </w:trPr>
        <w:tc>
          <w:tcPr>
            <w:tcW w:w="739" w:type="dxa"/>
            <w:tcBorders>
              <w:top w:val="single" w:sz="4" w:space="0" w:color="auto"/>
              <w:left w:val="nil"/>
              <w:bottom w:val="single" w:sz="4" w:space="0" w:color="auto"/>
              <w:right w:val="nil"/>
            </w:tcBorders>
            <w:shd w:val="clear" w:color="auto" w:fill="auto"/>
            <w:noWrap/>
            <w:vAlign w:val="center"/>
            <w:hideMark/>
          </w:tcPr>
          <w:p w14:paraId="07E98C56"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09" w:type="dxa"/>
            <w:tcBorders>
              <w:top w:val="single" w:sz="4" w:space="0" w:color="auto"/>
              <w:left w:val="nil"/>
              <w:bottom w:val="single" w:sz="4" w:space="0" w:color="auto"/>
              <w:right w:val="nil"/>
            </w:tcBorders>
            <w:shd w:val="clear" w:color="auto" w:fill="auto"/>
            <w:vAlign w:val="center"/>
            <w:hideMark/>
          </w:tcPr>
          <w:p w14:paraId="25B96528"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vAlign w:val="center"/>
            <w:hideMark/>
          </w:tcPr>
          <w:p w14:paraId="546A85EC"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809" w:type="dxa"/>
            <w:tcBorders>
              <w:top w:val="single" w:sz="4" w:space="0" w:color="auto"/>
              <w:left w:val="nil"/>
              <w:bottom w:val="single" w:sz="4" w:space="0" w:color="auto"/>
              <w:right w:val="nil"/>
            </w:tcBorders>
            <w:shd w:val="clear" w:color="auto" w:fill="auto"/>
            <w:vAlign w:val="center"/>
            <w:hideMark/>
          </w:tcPr>
          <w:p w14:paraId="15A09923"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450" w:type="dxa"/>
            <w:tcBorders>
              <w:top w:val="single" w:sz="4" w:space="0" w:color="auto"/>
              <w:left w:val="nil"/>
              <w:bottom w:val="single" w:sz="4" w:space="0" w:color="auto"/>
              <w:right w:val="nil"/>
            </w:tcBorders>
            <w:shd w:val="clear" w:color="auto" w:fill="auto"/>
            <w:noWrap/>
            <w:vAlign w:val="center"/>
            <w:hideMark/>
          </w:tcPr>
          <w:p w14:paraId="4D1F847E"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61" w:type="dxa"/>
            <w:tcBorders>
              <w:top w:val="single" w:sz="4" w:space="0" w:color="auto"/>
              <w:left w:val="nil"/>
              <w:bottom w:val="single" w:sz="4" w:space="0" w:color="auto"/>
              <w:right w:val="nil"/>
            </w:tcBorders>
            <w:shd w:val="clear" w:color="auto" w:fill="auto"/>
            <w:noWrap/>
            <w:vAlign w:val="center"/>
            <w:hideMark/>
          </w:tcPr>
          <w:p w14:paraId="4D2AB921"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7B0CFB48" w14:textId="77777777" w:rsidR="0026064C" w:rsidRPr="00EA0DC7" w:rsidRDefault="0026064C" w:rsidP="005B79F7">
            <w:pPr>
              <w:spacing w:line="240" w:lineRule="auto"/>
              <w:jc w:val="center"/>
              <w:rPr>
                <w:rFonts w:ascii="Calibri" w:eastAsia="Times New Roman" w:hAnsi="Calibri" w:cs="Times New Roman"/>
                <w:b/>
              </w:rPr>
            </w:pPr>
            <w:r w:rsidRPr="00EA0DC7">
              <w:rPr>
                <w:rFonts w:eastAsia="Times New Roman" w:cs="Arial"/>
                <w:b/>
                <w:sz w:val="20"/>
                <w:szCs w:val="20"/>
              </w:rPr>
              <w:t>ilities</w:t>
            </w:r>
          </w:p>
        </w:tc>
        <w:tc>
          <w:tcPr>
            <w:tcW w:w="1183" w:type="dxa"/>
            <w:tcBorders>
              <w:top w:val="single" w:sz="4" w:space="0" w:color="auto"/>
              <w:left w:val="nil"/>
              <w:bottom w:val="single" w:sz="4" w:space="0" w:color="auto"/>
              <w:right w:val="nil"/>
            </w:tcBorders>
            <w:shd w:val="clear" w:color="auto" w:fill="auto"/>
            <w:noWrap/>
            <w:vAlign w:val="center"/>
            <w:hideMark/>
          </w:tcPr>
          <w:p w14:paraId="3C10E042" w14:textId="77777777" w:rsidR="0026064C" w:rsidRPr="00EA0DC7" w:rsidRDefault="0026064C" w:rsidP="005B79F7">
            <w:pPr>
              <w:spacing w:before="240" w:line="240" w:lineRule="auto"/>
              <w:jc w:val="center"/>
              <w:rPr>
                <w:rFonts w:ascii="Calibri" w:eastAsia="Times New Roman" w:hAnsi="Calibri" w:cs="Times New Roman"/>
                <w:b/>
              </w:rPr>
            </w:pPr>
            <w:r w:rsidRPr="00EA0DC7">
              <w:rPr>
                <w:rFonts w:eastAsia="Times New Roman" w:cs="Arial"/>
                <w:b/>
                <w:sz w:val="20"/>
                <w:szCs w:val="20"/>
              </w:rPr>
              <w:t>Emotional effects of work</w:t>
            </w:r>
          </w:p>
        </w:tc>
        <w:tc>
          <w:tcPr>
            <w:tcW w:w="1343" w:type="dxa"/>
            <w:tcBorders>
              <w:top w:val="single" w:sz="4" w:space="0" w:color="auto"/>
              <w:left w:val="nil"/>
              <w:bottom w:val="single" w:sz="4" w:space="0" w:color="auto"/>
              <w:right w:val="nil"/>
            </w:tcBorders>
            <w:shd w:val="clear" w:color="auto" w:fill="auto"/>
            <w:vAlign w:val="center"/>
            <w:hideMark/>
          </w:tcPr>
          <w:p w14:paraId="10C0B0BD" w14:textId="5EA28019"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4B49069F"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4B8FD1EF"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5C4624AE" w14:textId="77777777" w:rsidTr="006B5C6B">
        <w:trPr>
          <w:trHeight w:val="1654"/>
        </w:trPr>
        <w:tc>
          <w:tcPr>
            <w:tcW w:w="739" w:type="dxa"/>
            <w:tcBorders>
              <w:top w:val="single" w:sz="4" w:space="0" w:color="auto"/>
              <w:left w:val="nil"/>
              <w:right w:val="nil"/>
            </w:tcBorders>
            <w:shd w:val="clear" w:color="auto" w:fill="auto"/>
            <w:noWrap/>
            <w:hideMark/>
          </w:tcPr>
          <w:p w14:paraId="27534EE5"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1994</w:t>
            </w:r>
          </w:p>
        </w:tc>
        <w:tc>
          <w:tcPr>
            <w:tcW w:w="2309" w:type="dxa"/>
            <w:tcBorders>
              <w:top w:val="single" w:sz="4" w:space="0" w:color="auto"/>
              <w:left w:val="nil"/>
              <w:right w:val="nil"/>
            </w:tcBorders>
            <w:shd w:val="clear" w:color="auto" w:fill="auto"/>
            <w:hideMark/>
          </w:tcPr>
          <w:p w14:paraId="0B5506D4" w14:textId="18155779" w:rsidR="0026064C" w:rsidRPr="00EA0DC7" w:rsidRDefault="0026064C" w:rsidP="005B79F7">
            <w:pPr>
              <w:spacing w:before="240" w:line="240" w:lineRule="auto"/>
              <w:jc w:val="left"/>
              <w:rPr>
                <w:rFonts w:eastAsia="Times New Roman" w:cs="Arial"/>
                <w:noProof/>
                <w:sz w:val="20"/>
                <w:szCs w:val="20"/>
              </w:rPr>
            </w:pPr>
            <w:r w:rsidRPr="00EA0DC7">
              <w:rPr>
                <w:rFonts w:eastAsia="Times New Roman" w:cs="Arial"/>
                <w:sz w:val="20"/>
                <w:szCs w:val="20"/>
              </w:rPr>
              <w:t xml:space="preserve">Toward a multidimensional model for psychotherapy supervision based on developmental stages </w:t>
            </w:r>
            <w:r w:rsidR="006B5C6B" w:rsidRPr="00EA0DC7">
              <w:rPr>
                <w:rFonts w:eastAsia="Times New Roman" w:cs="Arial"/>
                <w:noProof/>
                <w:sz w:val="20"/>
                <w:szCs w:val="20"/>
              </w:rPr>
              <w:t>(Rodenhauser, 1994)</w:t>
            </w:r>
          </w:p>
        </w:tc>
        <w:tc>
          <w:tcPr>
            <w:tcW w:w="1887" w:type="dxa"/>
            <w:tcBorders>
              <w:top w:val="single" w:sz="4" w:space="0" w:color="auto"/>
              <w:left w:val="nil"/>
              <w:right w:val="nil"/>
            </w:tcBorders>
            <w:shd w:val="clear" w:color="auto" w:fill="auto"/>
            <w:hideMark/>
          </w:tcPr>
          <w:p w14:paraId="57F3A3A5"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A Dynamic Multidimensional Developmental Model </w:t>
            </w:r>
          </w:p>
        </w:tc>
        <w:tc>
          <w:tcPr>
            <w:tcW w:w="3809" w:type="dxa"/>
            <w:tcBorders>
              <w:top w:val="single" w:sz="4" w:space="0" w:color="auto"/>
              <w:left w:val="nil"/>
              <w:right w:val="nil"/>
            </w:tcBorders>
            <w:shd w:val="clear" w:color="auto" w:fill="auto"/>
            <w:hideMark/>
          </w:tcPr>
          <w:p w14:paraId="38D9C65C"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Outlines the supervisor, supervisee, and patient developmental stages, and how they interact.</w:t>
            </w:r>
          </w:p>
        </w:tc>
        <w:tc>
          <w:tcPr>
            <w:tcW w:w="1450" w:type="dxa"/>
            <w:tcBorders>
              <w:top w:val="single" w:sz="4" w:space="0" w:color="auto"/>
              <w:left w:val="nil"/>
              <w:right w:val="nil"/>
            </w:tcBorders>
            <w:shd w:val="clear" w:color="auto" w:fill="auto"/>
            <w:noWrap/>
            <w:vAlign w:val="center"/>
            <w:hideMark/>
          </w:tcPr>
          <w:p w14:paraId="159B93F6" w14:textId="77777777" w:rsidR="0026064C" w:rsidRPr="00EA0DC7" w:rsidRDefault="0026064C" w:rsidP="005B79F7">
            <w:pPr>
              <w:spacing w:before="240"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261" w:type="dxa"/>
            <w:tcBorders>
              <w:top w:val="single" w:sz="4" w:space="0" w:color="auto"/>
              <w:left w:val="nil"/>
              <w:right w:val="nil"/>
            </w:tcBorders>
            <w:shd w:val="clear" w:color="auto" w:fill="auto"/>
            <w:noWrap/>
            <w:vAlign w:val="center"/>
            <w:hideMark/>
          </w:tcPr>
          <w:p w14:paraId="0C88045C"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183" w:type="dxa"/>
            <w:tcBorders>
              <w:top w:val="single" w:sz="4" w:space="0" w:color="auto"/>
              <w:left w:val="nil"/>
              <w:right w:val="nil"/>
            </w:tcBorders>
            <w:shd w:val="clear" w:color="auto" w:fill="auto"/>
            <w:noWrap/>
            <w:vAlign w:val="center"/>
            <w:hideMark/>
          </w:tcPr>
          <w:p w14:paraId="591BF58B"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343" w:type="dxa"/>
            <w:tcBorders>
              <w:top w:val="single" w:sz="4" w:space="0" w:color="auto"/>
              <w:left w:val="nil"/>
              <w:right w:val="nil"/>
            </w:tcBorders>
            <w:shd w:val="clear" w:color="auto" w:fill="auto"/>
            <w:vAlign w:val="center"/>
            <w:hideMark/>
          </w:tcPr>
          <w:p w14:paraId="20A7B136"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17</w:t>
            </w:r>
          </w:p>
        </w:tc>
      </w:tr>
      <w:tr w:rsidR="0026064C" w:rsidRPr="00EA0DC7" w14:paraId="55EC8843" w14:textId="77777777" w:rsidTr="006B5C6B">
        <w:trPr>
          <w:trHeight w:val="709"/>
        </w:trPr>
        <w:tc>
          <w:tcPr>
            <w:tcW w:w="739" w:type="dxa"/>
            <w:tcBorders>
              <w:left w:val="nil"/>
              <w:bottom w:val="nil"/>
              <w:right w:val="nil"/>
            </w:tcBorders>
            <w:shd w:val="clear" w:color="auto" w:fill="auto"/>
            <w:noWrap/>
          </w:tcPr>
          <w:p w14:paraId="09FA0CAB"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1994</w:t>
            </w:r>
          </w:p>
        </w:tc>
        <w:tc>
          <w:tcPr>
            <w:tcW w:w="2309" w:type="dxa"/>
            <w:tcBorders>
              <w:left w:val="nil"/>
              <w:bottom w:val="nil"/>
              <w:right w:val="nil"/>
            </w:tcBorders>
            <w:shd w:val="clear" w:color="auto" w:fill="auto"/>
          </w:tcPr>
          <w:p w14:paraId="58C4AD5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Solution-oriented supervision: The coaxing of expertise </w:t>
            </w:r>
            <w:r w:rsidRPr="00EA0DC7">
              <w:rPr>
                <w:rFonts w:eastAsia="Times New Roman" w:cs="Arial"/>
                <w:noProof/>
                <w:sz w:val="20"/>
                <w:szCs w:val="20"/>
              </w:rPr>
              <w:t>(Thomas, 1994)</w:t>
            </w:r>
          </w:p>
        </w:tc>
        <w:tc>
          <w:tcPr>
            <w:tcW w:w="1887" w:type="dxa"/>
            <w:tcBorders>
              <w:left w:val="nil"/>
              <w:bottom w:val="nil"/>
              <w:right w:val="nil"/>
            </w:tcBorders>
            <w:shd w:val="clear" w:color="auto" w:fill="auto"/>
          </w:tcPr>
          <w:p w14:paraId="0C3B1623"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Solution -Orientated Supervision </w:t>
            </w:r>
          </w:p>
        </w:tc>
        <w:tc>
          <w:tcPr>
            <w:tcW w:w="3809" w:type="dxa"/>
            <w:tcBorders>
              <w:left w:val="nil"/>
              <w:bottom w:val="nil"/>
              <w:right w:val="nil"/>
            </w:tcBorders>
            <w:shd w:val="clear" w:color="auto" w:fill="auto"/>
          </w:tcPr>
          <w:p w14:paraId="51CCF848"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Proposes that supervisees are not complete but are competent. Focuses on solutions, not problems.</w:t>
            </w:r>
          </w:p>
        </w:tc>
        <w:tc>
          <w:tcPr>
            <w:tcW w:w="1450" w:type="dxa"/>
            <w:tcBorders>
              <w:left w:val="nil"/>
              <w:bottom w:val="nil"/>
              <w:right w:val="nil"/>
            </w:tcBorders>
            <w:shd w:val="clear" w:color="auto" w:fill="auto"/>
            <w:noWrap/>
            <w:vAlign w:val="center"/>
          </w:tcPr>
          <w:p w14:paraId="3F5DCB81"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left w:val="nil"/>
              <w:bottom w:val="nil"/>
              <w:right w:val="nil"/>
            </w:tcBorders>
            <w:shd w:val="clear" w:color="auto" w:fill="auto"/>
            <w:noWrap/>
            <w:vAlign w:val="center"/>
          </w:tcPr>
          <w:p w14:paraId="0C54FC8B"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83" w:type="dxa"/>
            <w:tcBorders>
              <w:left w:val="nil"/>
              <w:bottom w:val="nil"/>
              <w:right w:val="nil"/>
            </w:tcBorders>
            <w:shd w:val="clear" w:color="auto" w:fill="auto"/>
            <w:noWrap/>
            <w:vAlign w:val="center"/>
          </w:tcPr>
          <w:p w14:paraId="33690A75"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43" w:type="dxa"/>
            <w:tcBorders>
              <w:left w:val="nil"/>
              <w:bottom w:val="nil"/>
              <w:right w:val="nil"/>
            </w:tcBorders>
            <w:shd w:val="clear" w:color="auto" w:fill="auto"/>
            <w:vAlign w:val="center"/>
          </w:tcPr>
          <w:p w14:paraId="5FC2F98D"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7</w:t>
            </w:r>
          </w:p>
        </w:tc>
      </w:tr>
      <w:tr w:rsidR="0026064C" w:rsidRPr="00EA0DC7" w14:paraId="24A7780A" w14:textId="77777777" w:rsidTr="006B5C6B">
        <w:trPr>
          <w:trHeight w:val="658"/>
        </w:trPr>
        <w:tc>
          <w:tcPr>
            <w:tcW w:w="739" w:type="dxa"/>
            <w:tcBorders>
              <w:top w:val="nil"/>
              <w:left w:val="nil"/>
              <w:right w:val="nil"/>
            </w:tcBorders>
            <w:shd w:val="clear" w:color="auto" w:fill="auto"/>
            <w:noWrap/>
            <w:hideMark/>
          </w:tcPr>
          <w:p w14:paraId="6E345DB6"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1994</w:t>
            </w:r>
          </w:p>
        </w:tc>
        <w:tc>
          <w:tcPr>
            <w:tcW w:w="2309" w:type="dxa"/>
            <w:tcBorders>
              <w:top w:val="nil"/>
              <w:left w:val="nil"/>
              <w:right w:val="nil"/>
            </w:tcBorders>
            <w:shd w:val="clear" w:color="auto" w:fill="auto"/>
            <w:hideMark/>
          </w:tcPr>
          <w:p w14:paraId="69FBF41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cognitive-developmental model for marital and family therapy supervision </w:t>
            </w:r>
            <w:r w:rsidRPr="00EA0DC7">
              <w:rPr>
                <w:rFonts w:eastAsia="Times New Roman" w:cs="Arial"/>
                <w:noProof/>
                <w:sz w:val="20"/>
                <w:szCs w:val="20"/>
              </w:rPr>
              <w:t>(Rigazio-DiGilio &amp; Anderson, 1994)</w:t>
            </w:r>
          </w:p>
        </w:tc>
        <w:tc>
          <w:tcPr>
            <w:tcW w:w="1887" w:type="dxa"/>
            <w:tcBorders>
              <w:top w:val="nil"/>
              <w:left w:val="nil"/>
              <w:right w:val="nil"/>
            </w:tcBorders>
            <w:shd w:val="clear" w:color="auto" w:fill="auto"/>
            <w:noWrap/>
            <w:hideMark/>
          </w:tcPr>
          <w:p w14:paraId="01D11D6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Cognitive-Developmental Model of Supervision </w:t>
            </w:r>
          </w:p>
        </w:tc>
        <w:tc>
          <w:tcPr>
            <w:tcW w:w="3809" w:type="dxa"/>
            <w:tcBorders>
              <w:top w:val="nil"/>
              <w:left w:val="nil"/>
              <w:right w:val="nil"/>
            </w:tcBorders>
            <w:shd w:val="clear" w:color="auto" w:fill="auto"/>
            <w:hideMark/>
          </w:tcPr>
          <w:p w14:paraId="4E61F7F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Assumes supervisee development is maximised when the supervisory environment is tailored to the supervisees' learning style.</w:t>
            </w:r>
          </w:p>
        </w:tc>
        <w:tc>
          <w:tcPr>
            <w:tcW w:w="1450" w:type="dxa"/>
            <w:tcBorders>
              <w:top w:val="nil"/>
              <w:left w:val="nil"/>
              <w:right w:val="nil"/>
            </w:tcBorders>
            <w:shd w:val="clear" w:color="auto" w:fill="auto"/>
            <w:noWrap/>
            <w:vAlign w:val="center"/>
            <w:hideMark/>
          </w:tcPr>
          <w:p w14:paraId="1F71DE9A"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top w:val="nil"/>
              <w:left w:val="nil"/>
              <w:right w:val="nil"/>
            </w:tcBorders>
            <w:shd w:val="clear" w:color="auto" w:fill="auto"/>
            <w:noWrap/>
            <w:vAlign w:val="center"/>
            <w:hideMark/>
          </w:tcPr>
          <w:p w14:paraId="6E7582B3" w14:textId="77777777" w:rsidR="0026064C" w:rsidRPr="00EA0DC7" w:rsidRDefault="0026064C" w:rsidP="00CA2778">
            <w:pPr>
              <w:spacing w:line="240" w:lineRule="auto"/>
              <w:jc w:val="center"/>
              <w:rPr>
                <w:rFonts w:ascii="Calibri" w:eastAsia="Times New Roman" w:hAnsi="Calibri" w:cs="Times New Roman"/>
              </w:rPr>
            </w:pPr>
          </w:p>
        </w:tc>
        <w:tc>
          <w:tcPr>
            <w:tcW w:w="1183" w:type="dxa"/>
            <w:tcBorders>
              <w:top w:val="nil"/>
              <w:left w:val="nil"/>
              <w:right w:val="nil"/>
            </w:tcBorders>
            <w:shd w:val="clear" w:color="auto" w:fill="auto"/>
            <w:noWrap/>
            <w:vAlign w:val="center"/>
            <w:hideMark/>
          </w:tcPr>
          <w:p w14:paraId="2D23F52E" w14:textId="77777777" w:rsidR="0026064C" w:rsidRPr="00EA0DC7" w:rsidRDefault="0026064C" w:rsidP="00CA2778">
            <w:pPr>
              <w:spacing w:line="240" w:lineRule="auto"/>
              <w:jc w:val="center"/>
              <w:rPr>
                <w:rFonts w:ascii="Calibri" w:eastAsia="Times New Roman" w:hAnsi="Calibri" w:cs="Times New Roman"/>
              </w:rPr>
            </w:pPr>
          </w:p>
        </w:tc>
        <w:tc>
          <w:tcPr>
            <w:tcW w:w="1343" w:type="dxa"/>
            <w:tcBorders>
              <w:top w:val="nil"/>
              <w:left w:val="nil"/>
              <w:right w:val="nil"/>
            </w:tcBorders>
            <w:shd w:val="clear" w:color="auto" w:fill="auto"/>
            <w:vAlign w:val="center"/>
            <w:hideMark/>
          </w:tcPr>
          <w:p w14:paraId="5781ABC5"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52768C2D" w14:textId="77777777" w:rsidTr="006B5C6B">
        <w:trPr>
          <w:trHeight w:val="601"/>
        </w:trPr>
        <w:tc>
          <w:tcPr>
            <w:tcW w:w="739" w:type="dxa"/>
            <w:tcBorders>
              <w:top w:val="nil"/>
              <w:left w:val="nil"/>
              <w:bottom w:val="single" w:sz="4" w:space="0" w:color="auto"/>
              <w:right w:val="nil"/>
            </w:tcBorders>
            <w:shd w:val="clear" w:color="auto" w:fill="auto"/>
            <w:noWrap/>
            <w:hideMark/>
          </w:tcPr>
          <w:p w14:paraId="47B4D87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1995</w:t>
            </w:r>
          </w:p>
        </w:tc>
        <w:tc>
          <w:tcPr>
            <w:tcW w:w="2309" w:type="dxa"/>
            <w:tcBorders>
              <w:top w:val="nil"/>
              <w:left w:val="nil"/>
              <w:bottom w:val="single" w:sz="4" w:space="0" w:color="auto"/>
              <w:right w:val="nil"/>
            </w:tcBorders>
            <w:shd w:val="clear" w:color="auto" w:fill="auto"/>
            <w:hideMark/>
          </w:tcPr>
          <w:p w14:paraId="7FE06BD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Clinical Supervision: A systems approach </w:t>
            </w:r>
            <w:r w:rsidRPr="00EA0DC7">
              <w:rPr>
                <w:rFonts w:eastAsia="Times New Roman" w:cs="Arial"/>
                <w:noProof/>
                <w:sz w:val="20"/>
                <w:szCs w:val="20"/>
              </w:rPr>
              <w:t>(Holloway, 1995)</w:t>
            </w:r>
          </w:p>
        </w:tc>
        <w:tc>
          <w:tcPr>
            <w:tcW w:w="1887" w:type="dxa"/>
            <w:tcBorders>
              <w:top w:val="nil"/>
              <w:left w:val="nil"/>
              <w:bottom w:val="single" w:sz="4" w:space="0" w:color="auto"/>
              <w:right w:val="nil"/>
            </w:tcBorders>
            <w:shd w:val="clear" w:color="auto" w:fill="auto"/>
            <w:noWrap/>
            <w:hideMark/>
          </w:tcPr>
          <w:p w14:paraId="5F95526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A Systems Approach Model </w:t>
            </w:r>
          </w:p>
        </w:tc>
        <w:tc>
          <w:tcPr>
            <w:tcW w:w="3809" w:type="dxa"/>
            <w:tcBorders>
              <w:top w:val="nil"/>
              <w:left w:val="nil"/>
              <w:bottom w:val="single" w:sz="4" w:space="0" w:color="auto"/>
              <w:right w:val="nil"/>
            </w:tcBorders>
            <w:shd w:val="clear" w:color="auto" w:fill="auto"/>
            <w:hideMark/>
          </w:tcPr>
          <w:p w14:paraId="7E86D75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seven dimensions of supervision. The supervision relationship is the core dimension, surrounded by the functions of supervision, the tasks of supervision, and four contextual factors (institution, supervisor, supervisee, and client).</w:t>
            </w:r>
          </w:p>
        </w:tc>
        <w:tc>
          <w:tcPr>
            <w:tcW w:w="1450" w:type="dxa"/>
            <w:tcBorders>
              <w:top w:val="nil"/>
              <w:left w:val="nil"/>
              <w:bottom w:val="single" w:sz="4" w:space="0" w:color="auto"/>
              <w:right w:val="nil"/>
            </w:tcBorders>
            <w:shd w:val="clear" w:color="auto" w:fill="auto"/>
            <w:noWrap/>
            <w:vAlign w:val="center"/>
            <w:hideMark/>
          </w:tcPr>
          <w:p w14:paraId="15FF041D"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61" w:type="dxa"/>
            <w:tcBorders>
              <w:top w:val="nil"/>
              <w:left w:val="nil"/>
              <w:bottom w:val="single" w:sz="4" w:space="0" w:color="auto"/>
              <w:right w:val="nil"/>
            </w:tcBorders>
            <w:shd w:val="clear" w:color="auto" w:fill="auto"/>
            <w:noWrap/>
            <w:vAlign w:val="center"/>
            <w:hideMark/>
          </w:tcPr>
          <w:p w14:paraId="734D7D50"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83" w:type="dxa"/>
            <w:tcBorders>
              <w:top w:val="nil"/>
              <w:left w:val="nil"/>
              <w:bottom w:val="single" w:sz="4" w:space="0" w:color="auto"/>
              <w:right w:val="nil"/>
            </w:tcBorders>
            <w:shd w:val="clear" w:color="auto" w:fill="auto"/>
            <w:noWrap/>
            <w:vAlign w:val="center"/>
            <w:hideMark/>
          </w:tcPr>
          <w:p w14:paraId="7ECD496A"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43" w:type="dxa"/>
            <w:tcBorders>
              <w:top w:val="nil"/>
              <w:left w:val="nil"/>
              <w:bottom w:val="single" w:sz="4" w:space="0" w:color="auto"/>
              <w:right w:val="nil"/>
            </w:tcBorders>
            <w:shd w:val="clear" w:color="auto" w:fill="auto"/>
            <w:vAlign w:val="center"/>
            <w:hideMark/>
          </w:tcPr>
          <w:p w14:paraId="24866251"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25</w:t>
            </w:r>
          </w:p>
        </w:tc>
      </w:tr>
    </w:tbl>
    <w:p w14:paraId="28EC7084"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51"/>
        <w:gridCol w:w="1887"/>
        <w:gridCol w:w="3775"/>
        <w:gridCol w:w="1450"/>
        <w:gridCol w:w="1261"/>
        <w:gridCol w:w="1183"/>
        <w:gridCol w:w="1335"/>
      </w:tblGrid>
      <w:tr w:rsidR="0026064C" w:rsidRPr="00EA0DC7" w14:paraId="702561AC" w14:textId="77777777" w:rsidTr="004979A5">
        <w:trPr>
          <w:trHeight w:val="1059"/>
        </w:trPr>
        <w:tc>
          <w:tcPr>
            <w:tcW w:w="739" w:type="dxa"/>
            <w:tcBorders>
              <w:top w:val="single" w:sz="4" w:space="0" w:color="auto"/>
              <w:bottom w:val="single" w:sz="4" w:space="0" w:color="auto"/>
            </w:tcBorders>
            <w:shd w:val="clear" w:color="auto" w:fill="auto"/>
            <w:noWrap/>
            <w:vAlign w:val="center"/>
          </w:tcPr>
          <w:p w14:paraId="11A54D73"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bottom w:val="single" w:sz="4" w:space="0" w:color="auto"/>
            </w:tcBorders>
            <w:shd w:val="clear" w:color="auto" w:fill="auto"/>
            <w:vAlign w:val="center"/>
          </w:tcPr>
          <w:p w14:paraId="0D98F1EC"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bottom w:val="single" w:sz="4" w:space="0" w:color="auto"/>
            </w:tcBorders>
            <w:shd w:val="clear" w:color="auto" w:fill="auto"/>
            <w:vAlign w:val="center"/>
          </w:tcPr>
          <w:p w14:paraId="3F85A69A"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969" w:type="dxa"/>
            <w:tcBorders>
              <w:top w:val="single" w:sz="4" w:space="0" w:color="auto"/>
              <w:bottom w:val="single" w:sz="4" w:space="0" w:color="auto"/>
            </w:tcBorders>
            <w:shd w:val="clear" w:color="auto" w:fill="auto"/>
            <w:vAlign w:val="center"/>
          </w:tcPr>
          <w:p w14:paraId="055540CF"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bottom w:val="single" w:sz="4" w:space="0" w:color="auto"/>
            </w:tcBorders>
            <w:shd w:val="clear" w:color="auto" w:fill="auto"/>
            <w:noWrap/>
            <w:vAlign w:val="center"/>
          </w:tcPr>
          <w:p w14:paraId="32A3F707"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bottom w:val="single" w:sz="4" w:space="0" w:color="auto"/>
            </w:tcBorders>
            <w:shd w:val="clear" w:color="auto" w:fill="auto"/>
            <w:noWrap/>
            <w:vAlign w:val="center"/>
          </w:tcPr>
          <w:p w14:paraId="5748995D"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17306C1D"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bottom w:val="single" w:sz="4" w:space="0" w:color="auto"/>
            </w:tcBorders>
            <w:shd w:val="clear" w:color="auto" w:fill="auto"/>
            <w:noWrap/>
            <w:vAlign w:val="center"/>
          </w:tcPr>
          <w:p w14:paraId="37B05A85"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bottom w:val="single" w:sz="4" w:space="0" w:color="auto"/>
            </w:tcBorders>
            <w:shd w:val="clear" w:color="auto" w:fill="auto"/>
            <w:vAlign w:val="center"/>
          </w:tcPr>
          <w:p w14:paraId="63947939" w14:textId="6D1927BB"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51FB5DBE"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33481A4A"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26B0F22C" w14:textId="77777777" w:rsidTr="004979A5">
        <w:trPr>
          <w:trHeight w:val="1059"/>
        </w:trPr>
        <w:tc>
          <w:tcPr>
            <w:tcW w:w="739" w:type="dxa"/>
            <w:tcBorders>
              <w:top w:val="single" w:sz="4" w:space="0" w:color="auto"/>
            </w:tcBorders>
            <w:shd w:val="clear" w:color="auto" w:fill="auto"/>
            <w:noWrap/>
            <w:hideMark/>
          </w:tcPr>
          <w:p w14:paraId="6520E6B0"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1995</w:t>
            </w:r>
          </w:p>
        </w:tc>
        <w:tc>
          <w:tcPr>
            <w:tcW w:w="2351" w:type="dxa"/>
            <w:tcBorders>
              <w:top w:val="single" w:sz="4" w:space="0" w:color="auto"/>
            </w:tcBorders>
            <w:shd w:val="clear" w:color="auto" w:fill="auto"/>
            <w:hideMark/>
          </w:tcPr>
          <w:p w14:paraId="3A3EDAA9"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The partnership model: A feminist supervision/consultation perspective </w:t>
            </w:r>
            <w:r w:rsidRPr="00EA0DC7">
              <w:rPr>
                <w:rFonts w:eastAsia="Times New Roman" w:cs="Arial"/>
                <w:noProof/>
                <w:sz w:val="20"/>
                <w:szCs w:val="20"/>
              </w:rPr>
              <w:t>(Hipp &amp; Munson, 1995)</w:t>
            </w:r>
          </w:p>
        </w:tc>
        <w:tc>
          <w:tcPr>
            <w:tcW w:w="1887" w:type="dxa"/>
            <w:tcBorders>
              <w:top w:val="single" w:sz="4" w:space="0" w:color="auto"/>
            </w:tcBorders>
            <w:shd w:val="clear" w:color="auto" w:fill="auto"/>
            <w:hideMark/>
          </w:tcPr>
          <w:p w14:paraId="18574E61"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The Partnership Model</w:t>
            </w:r>
          </w:p>
        </w:tc>
        <w:tc>
          <w:tcPr>
            <w:tcW w:w="3969" w:type="dxa"/>
            <w:tcBorders>
              <w:top w:val="single" w:sz="4" w:space="0" w:color="auto"/>
            </w:tcBorders>
            <w:shd w:val="clear" w:color="auto" w:fill="auto"/>
            <w:hideMark/>
          </w:tcPr>
          <w:p w14:paraId="68668F91"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Focuses on equality between men and women in supervision, based on the Partnership Model from </w:t>
            </w:r>
            <w:r w:rsidRPr="00EA0DC7">
              <w:rPr>
                <w:rFonts w:eastAsia="Times New Roman" w:cs="Arial"/>
                <w:noProof/>
                <w:sz w:val="20"/>
                <w:szCs w:val="20"/>
              </w:rPr>
              <w:t>Eisler (1987)</w:t>
            </w:r>
          </w:p>
        </w:tc>
        <w:tc>
          <w:tcPr>
            <w:tcW w:w="1362" w:type="dxa"/>
            <w:tcBorders>
              <w:top w:val="single" w:sz="4" w:space="0" w:color="auto"/>
            </w:tcBorders>
            <w:shd w:val="clear" w:color="auto" w:fill="auto"/>
            <w:noWrap/>
            <w:vAlign w:val="center"/>
            <w:hideMark/>
          </w:tcPr>
          <w:p w14:paraId="419E8D96"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tcBorders>
            <w:shd w:val="clear" w:color="auto" w:fill="auto"/>
            <w:noWrap/>
            <w:vAlign w:val="center"/>
            <w:hideMark/>
          </w:tcPr>
          <w:p w14:paraId="7AAA7A25"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single" w:sz="4" w:space="0" w:color="auto"/>
            </w:tcBorders>
            <w:shd w:val="clear" w:color="auto" w:fill="auto"/>
            <w:noWrap/>
            <w:vAlign w:val="center"/>
            <w:hideMark/>
          </w:tcPr>
          <w:p w14:paraId="791CE8A8"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single" w:sz="4" w:space="0" w:color="auto"/>
            </w:tcBorders>
            <w:shd w:val="clear" w:color="auto" w:fill="auto"/>
            <w:vAlign w:val="center"/>
            <w:hideMark/>
          </w:tcPr>
          <w:p w14:paraId="651661C0"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14</w:t>
            </w:r>
          </w:p>
        </w:tc>
      </w:tr>
      <w:tr w:rsidR="0026064C" w:rsidRPr="00EA0DC7" w14:paraId="728B7B7A" w14:textId="77777777" w:rsidTr="004979A5">
        <w:trPr>
          <w:trHeight w:val="80"/>
        </w:trPr>
        <w:tc>
          <w:tcPr>
            <w:tcW w:w="739" w:type="dxa"/>
            <w:tcBorders>
              <w:left w:val="nil"/>
              <w:right w:val="nil"/>
            </w:tcBorders>
            <w:shd w:val="clear" w:color="auto" w:fill="auto"/>
            <w:noWrap/>
            <w:hideMark/>
          </w:tcPr>
          <w:p w14:paraId="6D47394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1996</w:t>
            </w:r>
          </w:p>
        </w:tc>
        <w:tc>
          <w:tcPr>
            <w:tcW w:w="2351" w:type="dxa"/>
            <w:tcBorders>
              <w:left w:val="nil"/>
              <w:right w:val="nil"/>
            </w:tcBorders>
            <w:shd w:val="clear" w:color="auto" w:fill="auto"/>
            <w:hideMark/>
          </w:tcPr>
          <w:p w14:paraId="606D5AF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Counselling Supervision: Theory, skills and practice </w:t>
            </w:r>
            <w:r w:rsidRPr="00EA0DC7">
              <w:rPr>
                <w:rFonts w:eastAsia="Times New Roman" w:cs="Arial"/>
                <w:noProof/>
                <w:sz w:val="20"/>
                <w:szCs w:val="20"/>
              </w:rPr>
              <w:t>(Carroll, 1996)</w:t>
            </w:r>
          </w:p>
        </w:tc>
        <w:tc>
          <w:tcPr>
            <w:tcW w:w="1887" w:type="dxa"/>
            <w:tcBorders>
              <w:left w:val="nil"/>
              <w:right w:val="nil"/>
            </w:tcBorders>
            <w:shd w:val="clear" w:color="auto" w:fill="auto"/>
            <w:hideMark/>
          </w:tcPr>
          <w:p w14:paraId="5E46BD0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The Seven Tasks of Supervision Model </w:t>
            </w:r>
          </w:p>
        </w:tc>
        <w:tc>
          <w:tcPr>
            <w:tcW w:w="3969" w:type="dxa"/>
            <w:tcBorders>
              <w:left w:val="nil"/>
              <w:right w:val="nil"/>
            </w:tcBorders>
            <w:shd w:val="clear" w:color="auto" w:fill="auto"/>
            <w:hideMark/>
          </w:tcPr>
          <w:p w14:paraId="5ACE511E" w14:textId="3C19C51B"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Focuses on seven generic tasks of supervision: cre</w:t>
            </w:r>
            <w:r w:rsidR="0061557C" w:rsidRPr="00EA0DC7">
              <w:rPr>
                <w:rFonts w:eastAsia="Times New Roman" w:cs="Arial"/>
                <w:sz w:val="20"/>
                <w:szCs w:val="20"/>
              </w:rPr>
              <w:t>ating the learning relationship, teaching, counselling,</w:t>
            </w:r>
            <w:r w:rsidRPr="00EA0DC7">
              <w:rPr>
                <w:rFonts w:eastAsia="Times New Roman" w:cs="Arial"/>
                <w:sz w:val="20"/>
                <w:szCs w:val="20"/>
              </w:rPr>
              <w:t xml:space="preserve"> monitor</w:t>
            </w:r>
            <w:r w:rsidR="0061557C" w:rsidRPr="00EA0DC7">
              <w:rPr>
                <w:rFonts w:eastAsia="Times New Roman" w:cs="Arial"/>
                <w:sz w:val="20"/>
                <w:szCs w:val="20"/>
              </w:rPr>
              <w:t>ing professional/ethical issues, evaluating, consulting,</w:t>
            </w:r>
            <w:r w:rsidRPr="00EA0DC7">
              <w:rPr>
                <w:rFonts w:eastAsia="Times New Roman" w:cs="Arial"/>
                <w:sz w:val="20"/>
                <w:szCs w:val="20"/>
              </w:rPr>
              <w:t xml:space="preserve"> and administrating.</w:t>
            </w:r>
          </w:p>
        </w:tc>
        <w:tc>
          <w:tcPr>
            <w:tcW w:w="1362" w:type="dxa"/>
            <w:tcBorders>
              <w:left w:val="nil"/>
              <w:right w:val="nil"/>
            </w:tcBorders>
            <w:shd w:val="clear" w:color="auto" w:fill="auto"/>
            <w:noWrap/>
            <w:vAlign w:val="center"/>
            <w:hideMark/>
          </w:tcPr>
          <w:p w14:paraId="380ABFBE"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left w:val="nil"/>
              <w:right w:val="nil"/>
            </w:tcBorders>
            <w:shd w:val="clear" w:color="auto" w:fill="auto"/>
            <w:noWrap/>
            <w:vAlign w:val="center"/>
            <w:hideMark/>
          </w:tcPr>
          <w:p w14:paraId="0F6ABFAE"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left w:val="nil"/>
              <w:right w:val="nil"/>
            </w:tcBorders>
            <w:shd w:val="clear" w:color="auto" w:fill="auto"/>
            <w:noWrap/>
            <w:vAlign w:val="center"/>
            <w:hideMark/>
          </w:tcPr>
          <w:p w14:paraId="0D48400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left w:val="nil"/>
              <w:right w:val="nil"/>
            </w:tcBorders>
            <w:shd w:val="clear" w:color="auto" w:fill="auto"/>
            <w:vAlign w:val="center"/>
            <w:hideMark/>
          </w:tcPr>
          <w:p w14:paraId="27CCB012"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1826DB13" w14:textId="77777777" w:rsidTr="004979A5">
        <w:trPr>
          <w:trHeight w:val="709"/>
        </w:trPr>
        <w:tc>
          <w:tcPr>
            <w:tcW w:w="739" w:type="dxa"/>
            <w:tcBorders>
              <w:top w:val="nil"/>
              <w:left w:val="nil"/>
              <w:bottom w:val="nil"/>
              <w:right w:val="nil"/>
            </w:tcBorders>
            <w:shd w:val="clear" w:color="auto" w:fill="auto"/>
            <w:noWrap/>
          </w:tcPr>
          <w:p w14:paraId="6C0CE876"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1996</w:t>
            </w:r>
          </w:p>
        </w:tc>
        <w:tc>
          <w:tcPr>
            <w:tcW w:w="2351" w:type="dxa"/>
            <w:tcBorders>
              <w:top w:val="nil"/>
              <w:left w:val="nil"/>
              <w:bottom w:val="nil"/>
              <w:right w:val="nil"/>
            </w:tcBorders>
            <w:shd w:val="clear" w:color="auto" w:fill="auto"/>
          </w:tcPr>
          <w:p w14:paraId="463EDB7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Counselling Supervision: Theory, skills and practice </w:t>
            </w:r>
            <w:r w:rsidRPr="00EA0DC7">
              <w:rPr>
                <w:rFonts w:eastAsia="Times New Roman" w:cs="Arial"/>
                <w:noProof/>
                <w:sz w:val="20"/>
                <w:szCs w:val="20"/>
              </w:rPr>
              <w:t>(Carroll, 1996)</w:t>
            </w:r>
          </w:p>
        </w:tc>
        <w:tc>
          <w:tcPr>
            <w:tcW w:w="1887" w:type="dxa"/>
            <w:tcBorders>
              <w:top w:val="nil"/>
              <w:left w:val="nil"/>
              <w:bottom w:val="nil"/>
              <w:right w:val="nil"/>
            </w:tcBorders>
            <w:shd w:val="clear" w:color="auto" w:fill="auto"/>
          </w:tcPr>
          <w:p w14:paraId="74776EE0"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bottom w:val="nil"/>
              <w:right w:val="nil"/>
            </w:tcBorders>
            <w:shd w:val="clear" w:color="auto" w:fill="auto"/>
          </w:tcPr>
          <w:p w14:paraId="24E57C1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Focuses on how to manage the supervision process. Five stages of supervision are highlighted: assessing; contracting; engaging in supervision; evaluating; and terminating.</w:t>
            </w:r>
          </w:p>
        </w:tc>
        <w:tc>
          <w:tcPr>
            <w:tcW w:w="1362" w:type="dxa"/>
            <w:tcBorders>
              <w:top w:val="nil"/>
              <w:left w:val="nil"/>
              <w:bottom w:val="nil"/>
              <w:right w:val="nil"/>
            </w:tcBorders>
            <w:shd w:val="clear" w:color="auto" w:fill="auto"/>
            <w:noWrap/>
            <w:vAlign w:val="center"/>
          </w:tcPr>
          <w:p w14:paraId="12D73E61"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nil"/>
              <w:right w:val="nil"/>
            </w:tcBorders>
            <w:shd w:val="clear" w:color="auto" w:fill="auto"/>
            <w:noWrap/>
            <w:vAlign w:val="center"/>
          </w:tcPr>
          <w:p w14:paraId="6680BA8B"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bottom w:val="nil"/>
              <w:right w:val="nil"/>
            </w:tcBorders>
            <w:shd w:val="clear" w:color="auto" w:fill="auto"/>
            <w:noWrap/>
            <w:vAlign w:val="center"/>
          </w:tcPr>
          <w:p w14:paraId="7381663F"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nil"/>
              <w:right w:val="nil"/>
            </w:tcBorders>
            <w:shd w:val="clear" w:color="auto" w:fill="auto"/>
            <w:vAlign w:val="center"/>
          </w:tcPr>
          <w:p w14:paraId="463C737A"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21</w:t>
            </w:r>
          </w:p>
        </w:tc>
      </w:tr>
      <w:tr w:rsidR="0026064C" w:rsidRPr="00EA0DC7" w14:paraId="42A75C51" w14:textId="77777777" w:rsidTr="004979A5">
        <w:trPr>
          <w:trHeight w:val="80"/>
        </w:trPr>
        <w:tc>
          <w:tcPr>
            <w:tcW w:w="739" w:type="dxa"/>
            <w:tcBorders>
              <w:top w:val="nil"/>
              <w:left w:val="nil"/>
              <w:right w:val="nil"/>
            </w:tcBorders>
            <w:shd w:val="clear" w:color="auto" w:fill="auto"/>
            <w:noWrap/>
            <w:hideMark/>
          </w:tcPr>
          <w:p w14:paraId="25AF33E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1996</w:t>
            </w:r>
          </w:p>
        </w:tc>
        <w:tc>
          <w:tcPr>
            <w:tcW w:w="2351" w:type="dxa"/>
            <w:tcBorders>
              <w:top w:val="nil"/>
              <w:left w:val="nil"/>
              <w:right w:val="nil"/>
            </w:tcBorders>
            <w:shd w:val="clear" w:color="auto" w:fill="auto"/>
            <w:hideMark/>
          </w:tcPr>
          <w:p w14:paraId="4D661F9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Dimensions of psychotherapy supervision: Maps and means </w:t>
            </w:r>
            <w:r w:rsidRPr="00EA0DC7">
              <w:rPr>
                <w:rFonts w:eastAsia="Times New Roman" w:cs="Arial"/>
                <w:noProof/>
                <w:sz w:val="20"/>
                <w:szCs w:val="20"/>
              </w:rPr>
              <w:t>(Haber, 1996)</w:t>
            </w:r>
          </w:p>
        </w:tc>
        <w:tc>
          <w:tcPr>
            <w:tcW w:w="1887" w:type="dxa"/>
            <w:tcBorders>
              <w:top w:val="nil"/>
              <w:left w:val="nil"/>
              <w:right w:val="nil"/>
            </w:tcBorders>
            <w:shd w:val="clear" w:color="auto" w:fill="auto"/>
            <w:hideMark/>
          </w:tcPr>
          <w:p w14:paraId="61D7EB47" w14:textId="77777777" w:rsidR="0026064C" w:rsidRPr="00EA0DC7" w:rsidRDefault="0026064C" w:rsidP="00CA2778">
            <w:pPr>
              <w:spacing w:line="240" w:lineRule="auto"/>
              <w:jc w:val="left"/>
              <w:rPr>
                <w:rFonts w:ascii="Calibri" w:eastAsia="Times New Roman" w:hAnsi="Calibri" w:cs="Times New Roman"/>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3369FEC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Considers the internal processes of the supervisee combined with the external therapeutic context.</w:t>
            </w:r>
          </w:p>
        </w:tc>
        <w:tc>
          <w:tcPr>
            <w:tcW w:w="1362" w:type="dxa"/>
            <w:tcBorders>
              <w:top w:val="nil"/>
              <w:left w:val="nil"/>
              <w:right w:val="nil"/>
            </w:tcBorders>
            <w:shd w:val="clear" w:color="auto" w:fill="auto"/>
            <w:noWrap/>
            <w:vAlign w:val="center"/>
            <w:hideMark/>
          </w:tcPr>
          <w:p w14:paraId="0460C98E"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10210037"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5D11F739"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15463D38"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30</w:t>
            </w:r>
          </w:p>
        </w:tc>
      </w:tr>
      <w:tr w:rsidR="0026064C" w:rsidRPr="00EA0DC7" w14:paraId="18E5CDB1" w14:textId="77777777" w:rsidTr="004979A5">
        <w:trPr>
          <w:trHeight w:val="341"/>
        </w:trPr>
        <w:tc>
          <w:tcPr>
            <w:tcW w:w="739" w:type="dxa"/>
            <w:tcBorders>
              <w:top w:val="nil"/>
              <w:left w:val="nil"/>
              <w:bottom w:val="single" w:sz="4" w:space="0" w:color="auto"/>
              <w:right w:val="nil"/>
            </w:tcBorders>
            <w:shd w:val="clear" w:color="auto" w:fill="auto"/>
            <w:noWrap/>
            <w:hideMark/>
          </w:tcPr>
          <w:p w14:paraId="298D7A8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1997</w:t>
            </w:r>
          </w:p>
        </w:tc>
        <w:tc>
          <w:tcPr>
            <w:tcW w:w="2351" w:type="dxa"/>
            <w:tcBorders>
              <w:top w:val="nil"/>
              <w:left w:val="nil"/>
              <w:bottom w:val="single" w:sz="4" w:space="0" w:color="auto"/>
              <w:right w:val="nil"/>
            </w:tcBorders>
            <w:shd w:val="clear" w:color="auto" w:fill="auto"/>
            <w:hideMark/>
          </w:tcPr>
          <w:p w14:paraId="33A149A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Cognitive therapy supervision </w:t>
            </w:r>
            <w:r w:rsidRPr="00EA0DC7">
              <w:rPr>
                <w:rFonts w:eastAsia="Times New Roman" w:cs="Arial"/>
                <w:noProof/>
                <w:sz w:val="20"/>
                <w:szCs w:val="20"/>
              </w:rPr>
              <w:t>(Liese &amp; Beck, 1997)</w:t>
            </w:r>
          </w:p>
        </w:tc>
        <w:tc>
          <w:tcPr>
            <w:tcW w:w="1887" w:type="dxa"/>
            <w:tcBorders>
              <w:top w:val="nil"/>
              <w:left w:val="nil"/>
              <w:bottom w:val="single" w:sz="4" w:space="0" w:color="auto"/>
              <w:right w:val="nil"/>
            </w:tcBorders>
            <w:shd w:val="clear" w:color="auto" w:fill="auto"/>
            <w:noWrap/>
            <w:hideMark/>
          </w:tcPr>
          <w:p w14:paraId="4D928A1E"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Cognitive Therapy Supervision </w:t>
            </w:r>
          </w:p>
        </w:tc>
        <w:tc>
          <w:tcPr>
            <w:tcW w:w="3969" w:type="dxa"/>
            <w:tcBorders>
              <w:top w:val="nil"/>
              <w:left w:val="nil"/>
              <w:bottom w:val="single" w:sz="4" w:space="0" w:color="auto"/>
              <w:right w:val="nil"/>
            </w:tcBorders>
            <w:shd w:val="clear" w:color="auto" w:fill="auto"/>
            <w:hideMark/>
          </w:tcPr>
          <w:p w14:paraId="09C9789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An approach to clinical supervision based on cognitive therapy.</w:t>
            </w:r>
          </w:p>
        </w:tc>
        <w:tc>
          <w:tcPr>
            <w:tcW w:w="1362" w:type="dxa"/>
            <w:tcBorders>
              <w:top w:val="nil"/>
              <w:left w:val="nil"/>
              <w:bottom w:val="single" w:sz="4" w:space="0" w:color="auto"/>
              <w:right w:val="nil"/>
            </w:tcBorders>
            <w:shd w:val="clear" w:color="auto" w:fill="auto"/>
            <w:noWrap/>
            <w:vAlign w:val="center"/>
            <w:hideMark/>
          </w:tcPr>
          <w:p w14:paraId="11231A16"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hideMark/>
          </w:tcPr>
          <w:p w14:paraId="0AAC7571"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bottom w:val="single" w:sz="4" w:space="0" w:color="auto"/>
              <w:right w:val="nil"/>
            </w:tcBorders>
            <w:shd w:val="clear" w:color="auto" w:fill="auto"/>
            <w:noWrap/>
            <w:vAlign w:val="center"/>
            <w:hideMark/>
          </w:tcPr>
          <w:p w14:paraId="1522336A"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5C1B284C"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11</w:t>
            </w:r>
          </w:p>
        </w:tc>
      </w:tr>
    </w:tbl>
    <w:p w14:paraId="4310D039"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295"/>
        <w:gridCol w:w="1887"/>
        <w:gridCol w:w="3821"/>
        <w:gridCol w:w="1450"/>
        <w:gridCol w:w="1261"/>
        <w:gridCol w:w="1183"/>
        <w:gridCol w:w="1345"/>
      </w:tblGrid>
      <w:tr w:rsidR="0026064C" w:rsidRPr="00EA0DC7" w14:paraId="240824C5" w14:textId="77777777" w:rsidTr="004979A5">
        <w:trPr>
          <w:trHeight w:val="836"/>
        </w:trPr>
        <w:tc>
          <w:tcPr>
            <w:tcW w:w="739" w:type="dxa"/>
            <w:tcBorders>
              <w:top w:val="single" w:sz="4" w:space="0" w:color="auto"/>
              <w:left w:val="nil"/>
              <w:bottom w:val="nil"/>
              <w:right w:val="nil"/>
            </w:tcBorders>
            <w:shd w:val="clear" w:color="auto" w:fill="auto"/>
            <w:noWrap/>
            <w:vAlign w:val="center"/>
          </w:tcPr>
          <w:p w14:paraId="7710FB23"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nil"/>
              <w:right w:val="nil"/>
            </w:tcBorders>
            <w:shd w:val="clear" w:color="auto" w:fill="auto"/>
            <w:vAlign w:val="center"/>
          </w:tcPr>
          <w:p w14:paraId="617F6526"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nil"/>
              <w:right w:val="nil"/>
            </w:tcBorders>
            <w:shd w:val="clear" w:color="auto" w:fill="auto"/>
            <w:noWrap/>
            <w:vAlign w:val="center"/>
          </w:tcPr>
          <w:p w14:paraId="6F585152" w14:textId="77777777" w:rsidR="0026064C" w:rsidRPr="00EA0DC7" w:rsidRDefault="0026064C" w:rsidP="005B79F7">
            <w:pPr>
              <w:spacing w:before="240"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nil"/>
              <w:right w:val="nil"/>
            </w:tcBorders>
            <w:shd w:val="clear" w:color="auto" w:fill="auto"/>
            <w:vAlign w:val="center"/>
          </w:tcPr>
          <w:p w14:paraId="2A34B3EC"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nil"/>
              <w:right w:val="nil"/>
            </w:tcBorders>
            <w:shd w:val="clear" w:color="auto" w:fill="auto"/>
            <w:noWrap/>
            <w:vAlign w:val="center"/>
          </w:tcPr>
          <w:p w14:paraId="42E72566"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nil"/>
              <w:right w:val="nil"/>
            </w:tcBorders>
            <w:shd w:val="clear" w:color="auto" w:fill="auto"/>
            <w:noWrap/>
            <w:vAlign w:val="center"/>
          </w:tcPr>
          <w:p w14:paraId="38928A87"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68D93A07"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left w:val="nil"/>
              <w:bottom w:val="nil"/>
              <w:right w:val="nil"/>
            </w:tcBorders>
            <w:shd w:val="clear" w:color="auto" w:fill="auto"/>
            <w:noWrap/>
            <w:vAlign w:val="center"/>
          </w:tcPr>
          <w:p w14:paraId="70940857"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nil"/>
              <w:right w:val="nil"/>
            </w:tcBorders>
            <w:shd w:val="clear" w:color="auto" w:fill="auto"/>
            <w:vAlign w:val="center"/>
          </w:tcPr>
          <w:p w14:paraId="7417069A" w14:textId="25615454"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326540A6"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716E0023"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30ED9F1A" w14:textId="77777777" w:rsidTr="004979A5">
        <w:trPr>
          <w:trHeight w:val="836"/>
        </w:trPr>
        <w:tc>
          <w:tcPr>
            <w:tcW w:w="739" w:type="dxa"/>
            <w:tcBorders>
              <w:top w:val="single" w:sz="4" w:space="0" w:color="auto"/>
              <w:left w:val="nil"/>
              <w:bottom w:val="nil"/>
              <w:right w:val="nil"/>
            </w:tcBorders>
            <w:shd w:val="clear" w:color="auto" w:fill="auto"/>
            <w:noWrap/>
            <w:hideMark/>
          </w:tcPr>
          <w:p w14:paraId="67775C53"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1998</w:t>
            </w:r>
          </w:p>
        </w:tc>
        <w:tc>
          <w:tcPr>
            <w:tcW w:w="2351" w:type="dxa"/>
            <w:tcBorders>
              <w:top w:val="single" w:sz="4" w:space="0" w:color="auto"/>
              <w:left w:val="nil"/>
              <w:bottom w:val="nil"/>
              <w:right w:val="nil"/>
            </w:tcBorders>
            <w:shd w:val="clear" w:color="auto" w:fill="auto"/>
            <w:hideMark/>
          </w:tcPr>
          <w:p w14:paraId="691DD649"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Counseling supervision: A reflective model </w:t>
            </w:r>
            <w:r w:rsidRPr="00EA0DC7">
              <w:rPr>
                <w:rFonts w:eastAsia="Times New Roman" w:cs="Arial"/>
                <w:noProof/>
                <w:sz w:val="20"/>
                <w:szCs w:val="20"/>
              </w:rPr>
              <w:t>(Ward &amp; House, 1998)</w:t>
            </w:r>
          </w:p>
        </w:tc>
        <w:tc>
          <w:tcPr>
            <w:tcW w:w="1887" w:type="dxa"/>
            <w:tcBorders>
              <w:top w:val="single" w:sz="4" w:space="0" w:color="auto"/>
              <w:left w:val="nil"/>
              <w:bottom w:val="nil"/>
              <w:right w:val="nil"/>
            </w:tcBorders>
            <w:shd w:val="clear" w:color="auto" w:fill="auto"/>
            <w:noWrap/>
            <w:hideMark/>
          </w:tcPr>
          <w:p w14:paraId="38B28B35" w14:textId="77777777" w:rsidR="0026064C" w:rsidRPr="00EA0DC7" w:rsidRDefault="0026064C" w:rsidP="005B79F7">
            <w:pPr>
              <w:spacing w:before="240"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single" w:sz="4" w:space="0" w:color="auto"/>
              <w:left w:val="nil"/>
              <w:bottom w:val="nil"/>
              <w:right w:val="nil"/>
            </w:tcBorders>
            <w:shd w:val="clear" w:color="auto" w:fill="auto"/>
            <w:hideMark/>
          </w:tcPr>
          <w:p w14:paraId="34933E2E"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Integrates reflective learning theory with concurrent development of supervisees and the supervisory relationship.</w:t>
            </w:r>
          </w:p>
        </w:tc>
        <w:tc>
          <w:tcPr>
            <w:tcW w:w="1362" w:type="dxa"/>
            <w:tcBorders>
              <w:top w:val="single" w:sz="4" w:space="0" w:color="auto"/>
              <w:left w:val="nil"/>
              <w:bottom w:val="nil"/>
              <w:right w:val="nil"/>
            </w:tcBorders>
            <w:shd w:val="clear" w:color="auto" w:fill="auto"/>
            <w:noWrap/>
            <w:vAlign w:val="center"/>
            <w:hideMark/>
          </w:tcPr>
          <w:p w14:paraId="0FC540F5"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bottom w:val="nil"/>
              <w:right w:val="nil"/>
            </w:tcBorders>
            <w:shd w:val="clear" w:color="auto" w:fill="auto"/>
            <w:noWrap/>
            <w:vAlign w:val="center"/>
            <w:hideMark/>
          </w:tcPr>
          <w:p w14:paraId="1D59AD1B" w14:textId="77777777" w:rsidR="0026064C" w:rsidRPr="00EA0DC7" w:rsidRDefault="0026064C" w:rsidP="005B79F7">
            <w:pPr>
              <w:spacing w:before="240" w:line="240" w:lineRule="auto"/>
              <w:jc w:val="center"/>
              <w:rPr>
                <w:rFonts w:ascii="Wingdings" w:eastAsia="Times New Roman" w:hAnsi="Wingdings" w:cs="Times New Roman"/>
                <w:sz w:val="20"/>
                <w:szCs w:val="20"/>
              </w:rPr>
            </w:pPr>
          </w:p>
        </w:tc>
        <w:tc>
          <w:tcPr>
            <w:tcW w:w="1106" w:type="dxa"/>
            <w:tcBorders>
              <w:top w:val="single" w:sz="4" w:space="0" w:color="auto"/>
              <w:left w:val="nil"/>
              <w:bottom w:val="nil"/>
              <w:right w:val="nil"/>
            </w:tcBorders>
            <w:shd w:val="clear" w:color="auto" w:fill="auto"/>
            <w:noWrap/>
            <w:vAlign w:val="center"/>
            <w:hideMark/>
          </w:tcPr>
          <w:p w14:paraId="14529DD5"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single" w:sz="4" w:space="0" w:color="auto"/>
              <w:left w:val="nil"/>
              <w:bottom w:val="nil"/>
              <w:right w:val="nil"/>
            </w:tcBorders>
            <w:shd w:val="clear" w:color="auto" w:fill="auto"/>
            <w:vAlign w:val="center"/>
            <w:hideMark/>
          </w:tcPr>
          <w:p w14:paraId="407DB09F"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10</w:t>
            </w:r>
          </w:p>
        </w:tc>
      </w:tr>
      <w:tr w:rsidR="0026064C" w:rsidRPr="00EA0DC7" w14:paraId="3801B261" w14:textId="77777777" w:rsidTr="004979A5">
        <w:trPr>
          <w:trHeight w:val="80"/>
        </w:trPr>
        <w:tc>
          <w:tcPr>
            <w:tcW w:w="739" w:type="dxa"/>
            <w:tcBorders>
              <w:top w:val="nil"/>
              <w:left w:val="nil"/>
              <w:right w:val="nil"/>
            </w:tcBorders>
            <w:shd w:val="clear" w:color="auto" w:fill="auto"/>
            <w:noWrap/>
            <w:hideMark/>
          </w:tcPr>
          <w:p w14:paraId="26FD6C08"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1999</w:t>
            </w:r>
          </w:p>
        </w:tc>
        <w:tc>
          <w:tcPr>
            <w:tcW w:w="2351" w:type="dxa"/>
            <w:tcBorders>
              <w:top w:val="nil"/>
              <w:left w:val="nil"/>
              <w:right w:val="nil"/>
            </w:tcBorders>
            <w:shd w:val="clear" w:color="auto" w:fill="auto"/>
            <w:hideMark/>
          </w:tcPr>
          <w:p w14:paraId="6326429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Narrative approaches to supervision and case formulation </w:t>
            </w:r>
            <w:r w:rsidRPr="00EA0DC7">
              <w:rPr>
                <w:rFonts w:eastAsia="Times New Roman" w:cs="Arial"/>
                <w:noProof/>
                <w:sz w:val="20"/>
                <w:szCs w:val="20"/>
              </w:rPr>
              <w:t>(Bob, 1999)</w:t>
            </w:r>
          </w:p>
        </w:tc>
        <w:tc>
          <w:tcPr>
            <w:tcW w:w="1887" w:type="dxa"/>
            <w:tcBorders>
              <w:top w:val="nil"/>
              <w:left w:val="nil"/>
              <w:right w:val="nil"/>
            </w:tcBorders>
            <w:shd w:val="clear" w:color="auto" w:fill="auto"/>
            <w:noWrap/>
            <w:hideMark/>
          </w:tcPr>
          <w:p w14:paraId="4DD5E3AA"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w:t>
            </w:r>
          </w:p>
        </w:tc>
        <w:tc>
          <w:tcPr>
            <w:tcW w:w="3969" w:type="dxa"/>
            <w:tcBorders>
              <w:top w:val="nil"/>
              <w:left w:val="nil"/>
              <w:right w:val="nil"/>
            </w:tcBorders>
            <w:shd w:val="clear" w:color="auto" w:fill="auto"/>
            <w:hideMark/>
          </w:tcPr>
          <w:p w14:paraId="218BC2C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use of meaning and narrative in interpersonal discourse within supervision.</w:t>
            </w:r>
          </w:p>
        </w:tc>
        <w:tc>
          <w:tcPr>
            <w:tcW w:w="1362" w:type="dxa"/>
            <w:tcBorders>
              <w:top w:val="nil"/>
              <w:left w:val="nil"/>
              <w:right w:val="nil"/>
            </w:tcBorders>
            <w:shd w:val="clear" w:color="auto" w:fill="auto"/>
            <w:noWrap/>
            <w:vAlign w:val="center"/>
            <w:hideMark/>
          </w:tcPr>
          <w:p w14:paraId="09BD2EB5"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206" w:type="dxa"/>
            <w:tcBorders>
              <w:top w:val="nil"/>
              <w:left w:val="nil"/>
              <w:right w:val="nil"/>
            </w:tcBorders>
            <w:shd w:val="clear" w:color="auto" w:fill="auto"/>
            <w:noWrap/>
            <w:vAlign w:val="center"/>
            <w:hideMark/>
          </w:tcPr>
          <w:p w14:paraId="39B58F60" w14:textId="00E4367F" w:rsidR="0026064C" w:rsidRPr="00EA0DC7" w:rsidRDefault="0026064C" w:rsidP="00CA2778">
            <w:pPr>
              <w:spacing w:line="240" w:lineRule="auto"/>
              <w:jc w:val="center"/>
              <w:rPr>
                <w:rFonts w:ascii="Calibri" w:eastAsia="Times New Roman" w:hAnsi="Calibri" w:cs="Times New Roman"/>
              </w:rPr>
            </w:pPr>
          </w:p>
        </w:tc>
        <w:tc>
          <w:tcPr>
            <w:tcW w:w="1106" w:type="dxa"/>
            <w:tcBorders>
              <w:top w:val="nil"/>
              <w:left w:val="nil"/>
              <w:right w:val="nil"/>
            </w:tcBorders>
            <w:shd w:val="clear" w:color="auto" w:fill="auto"/>
            <w:noWrap/>
            <w:vAlign w:val="center"/>
            <w:hideMark/>
          </w:tcPr>
          <w:p w14:paraId="054A2381"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61" w:type="dxa"/>
            <w:tcBorders>
              <w:top w:val="nil"/>
              <w:left w:val="nil"/>
              <w:right w:val="nil"/>
            </w:tcBorders>
            <w:shd w:val="clear" w:color="auto" w:fill="auto"/>
            <w:vAlign w:val="center"/>
            <w:hideMark/>
          </w:tcPr>
          <w:p w14:paraId="0840C63C"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12</w:t>
            </w:r>
          </w:p>
        </w:tc>
      </w:tr>
      <w:tr w:rsidR="0026064C" w:rsidRPr="00EA0DC7" w14:paraId="17ED5717" w14:textId="77777777" w:rsidTr="004979A5">
        <w:trPr>
          <w:trHeight w:val="80"/>
        </w:trPr>
        <w:tc>
          <w:tcPr>
            <w:tcW w:w="739" w:type="dxa"/>
            <w:tcBorders>
              <w:top w:val="nil"/>
              <w:left w:val="nil"/>
              <w:right w:val="nil"/>
            </w:tcBorders>
            <w:shd w:val="clear" w:color="auto" w:fill="auto"/>
            <w:noWrap/>
            <w:hideMark/>
          </w:tcPr>
          <w:p w14:paraId="3425112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1999</w:t>
            </w:r>
          </w:p>
        </w:tc>
        <w:tc>
          <w:tcPr>
            <w:tcW w:w="2351" w:type="dxa"/>
            <w:tcBorders>
              <w:top w:val="nil"/>
              <w:left w:val="nil"/>
              <w:right w:val="nil"/>
            </w:tcBorders>
            <w:shd w:val="clear" w:color="auto" w:fill="auto"/>
            <w:hideMark/>
          </w:tcPr>
          <w:p w14:paraId="0D0EC2F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School counselors and supervisors: An integrated approach for supervising school counseling interns </w:t>
            </w:r>
            <w:r w:rsidRPr="00EA0DC7">
              <w:rPr>
                <w:rFonts w:eastAsia="Times New Roman" w:cs="Arial"/>
                <w:noProof/>
                <w:sz w:val="20"/>
                <w:szCs w:val="20"/>
              </w:rPr>
              <w:t>(Nelson &amp; Johnson, 1999)</w:t>
            </w:r>
          </w:p>
        </w:tc>
        <w:tc>
          <w:tcPr>
            <w:tcW w:w="1887" w:type="dxa"/>
            <w:tcBorders>
              <w:top w:val="nil"/>
              <w:left w:val="nil"/>
              <w:right w:val="nil"/>
            </w:tcBorders>
            <w:shd w:val="clear" w:color="auto" w:fill="auto"/>
            <w:noWrap/>
            <w:hideMark/>
          </w:tcPr>
          <w:p w14:paraId="0A59EBAD"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nil"/>
              <w:left w:val="nil"/>
              <w:right w:val="nil"/>
            </w:tcBorders>
            <w:shd w:val="clear" w:color="auto" w:fill="auto"/>
            <w:hideMark/>
          </w:tcPr>
          <w:p w14:paraId="36B307F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Combines models of </w:t>
            </w:r>
            <w:r w:rsidRPr="00EA0DC7">
              <w:rPr>
                <w:rFonts w:eastAsia="Times New Roman" w:cs="Arial"/>
                <w:noProof/>
                <w:sz w:val="20"/>
                <w:szCs w:val="20"/>
              </w:rPr>
              <w:t>Bernard (1979)</w:t>
            </w:r>
            <w:r w:rsidRPr="00EA0DC7">
              <w:rPr>
                <w:rFonts w:eastAsia="Times New Roman" w:cs="Arial"/>
                <w:sz w:val="20"/>
                <w:szCs w:val="20"/>
              </w:rPr>
              <w:t xml:space="preserve"> and </w:t>
            </w:r>
            <w:r w:rsidRPr="00EA0DC7">
              <w:rPr>
                <w:rFonts w:eastAsia="Times New Roman" w:cs="Arial"/>
                <w:noProof/>
                <w:sz w:val="20"/>
                <w:szCs w:val="20"/>
              </w:rPr>
              <w:t>Littrell et al. (1979)</w:t>
            </w:r>
            <w:r w:rsidRPr="00EA0DC7">
              <w:rPr>
                <w:rFonts w:eastAsia="Times New Roman" w:cs="Arial"/>
                <w:sz w:val="20"/>
                <w:szCs w:val="20"/>
              </w:rPr>
              <w:t xml:space="preserve"> to create an integrated model specifically for school counsellors. Four stages are outlined (orientation, working, transition, and integration).</w:t>
            </w:r>
          </w:p>
        </w:tc>
        <w:tc>
          <w:tcPr>
            <w:tcW w:w="1362" w:type="dxa"/>
            <w:tcBorders>
              <w:top w:val="nil"/>
              <w:left w:val="nil"/>
              <w:right w:val="nil"/>
            </w:tcBorders>
            <w:shd w:val="clear" w:color="auto" w:fill="auto"/>
            <w:noWrap/>
            <w:vAlign w:val="center"/>
            <w:hideMark/>
          </w:tcPr>
          <w:p w14:paraId="0D4475F5"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166DDD79"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0FD6178B"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2351E5E5"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14</w:t>
            </w:r>
          </w:p>
        </w:tc>
      </w:tr>
      <w:tr w:rsidR="0026064C" w:rsidRPr="00EA0DC7" w14:paraId="4F564D35" w14:textId="77777777" w:rsidTr="004979A5">
        <w:trPr>
          <w:trHeight w:val="709"/>
        </w:trPr>
        <w:tc>
          <w:tcPr>
            <w:tcW w:w="739" w:type="dxa"/>
            <w:tcBorders>
              <w:top w:val="nil"/>
              <w:left w:val="nil"/>
              <w:bottom w:val="single" w:sz="4" w:space="0" w:color="auto"/>
              <w:right w:val="nil"/>
            </w:tcBorders>
            <w:shd w:val="clear" w:color="auto" w:fill="auto"/>
            <w:noWrap/>
          </w:tcPr>
          <w:p w14:paraId="0732B91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1999</w:t>
            </w:r>
          </w:p>
        </w:tc>
        <w:tc>
          <w:tcPr>
            <w:tcW w:w="2351" w:type="dxa"/>
            <w:tcBorders>
              <w:top w:val="nil"/>
              <w:left w:val="nil"/>
              <w:bottom w:val="single" w:sz="4" w:space="0" w:color="auto"/>
              <w:right w:val="nil"/>
            </w:tcBorders>
            <w:shd w:val="clear" w:color="auto" w:fill="auto"/>
          </w:tcPr>
          <w:p w14:paraId="3FF46A5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Strength-based supervision: Frameworks, current practice, and future directions </w:t>
            </w:r>
            <w:r w:rsidRPr="00EA0DC7">
              <w:rPr>
                <w:rFonts w:eastAsia="Times New Roman" w:cs="Arial"/>
                <w:noProof/>
                <w:sz w:val="20"/>
                <w:szCs w:val="20"/>
              </w:rPr>
              <w:t>(Edwards &amp; Chen, 1999)</w:t>
            </w:r>
          </w:p>
        </w:tc>
        <w:tc>
          <w:tcPr>
            <w:tcW w:w="1887" w:type="dxa"/>
            <w:tcBorders>
              <w:top w:val="nil"/>
              <w:left w:val="nil"/>
              <w:bottom w:val="single" w:sz="4" w:space="0" w:color="auto"/>
              <w:right w:val="nil"/>
            </w:tcBorders>
            <w:shd w:val="clear" w:color="auto" w:fill="auto"/>
          </w:tcPr>
          <w:p w14:paraId="1EA19A60"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A Strength Based ‘Wu-wei’ Method</w:t>
            </w:r>
          </w:p>
        </w:tc>
        <w:tc>
          <w:tcPr>
            <w:tcW w:w="3969" w:type="dxa"/>
            <w:tcBorders>
              <w:top w:val="nil"/>
              <w:left w:val="nil"/>
              <w:bottom w:val="single" w:sz="4" w:space="0" w:color="auto"/>
              <w:right w:val="nil"/>
            </w:tcBorders>
            <w:shd w:val="clear" w:color="auto" w:fill="auto"/>
          </w:tcPr>
          <w:p w14:paraId="38AC22E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supervisees' strengths rather than weaknesses.</w:t>
            </w:r>
          </w:p>
        </w:tc>
        <w:tc>
          <w:tcPr>
            <w:tcW w:w="1362" w:type="dxa"/>
            <w:tcBorders>
              <w:top w:val="nil"/>
              <w:left w:val="nil"/>
              <w:bottom w:val="single" w:sz="4" w:space="0" w:color="auto"/>
              <w:right w:val="nil"/>
            </w:tcBorders>
            <w:shd w:val="clear" w:color="auto" w:fill="auto"/>
            <w:noWrap/>
            <w:vAlign w:val="center"/>
          </w:tcPr>
          <w:p w14:paraId="3EC2C896"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tcPr>
          <w:p w14:paraId="5195FAD5"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06" w:type="dxa"/>
            <w:tcBorders>
              <w:top w:val="nil"/>
              <w:left w:val="nil"/>
              <w:bottom w:val="single" w:sz="4" w:space="0" w:color="auto"/>
              <w:right w:val="nil"/>
            </w:tcBorders>
            <w:shd w:val="clear" w:color="auto" w:fill="auto"/>
            <w:noWrap/>
            <w:vAlign w:val="center"/>
          </w:tcPr>
          <w:p w14:paraId="01C49D24"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tcPr>
          <w:p w14:paraId="6ECD26CC"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8</w:t>
            </w:r>
          </w:p>
        </w:tc>
      </w:tr>
    </w:tbl>
    <w:p w14:paraId="3CDCC6CA"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01"/>
        <w:gridCol w:w="1887"/>
        <w:gridCol w:w="3817"/>
        <w:gridCol w:w="1450"/>
        <w:gridCol w:w="1261"/>
        <w:gridCol w:w="1183"/>
        <w:gridCol w:w="1343"/>
      </w:tblGrid>
      <w:tr w:rsidR="0026064C" w:rsidRPr="00EA0DC7" w14:paraId="1C9DB317" w14:textId="77777777" w:rsidTr="004979A5">
        <w:trPr>
          <w:trHeight w:val="1058"/>
        </w:trPr>
        <w:tc>
          <w:tcPr>
            <w:tcW w:w="739" w:type="dxa"/>
            <w:tcBorders>
              <w:top w:val="single" w:sz="4" w:space="0" w:color="auto"/>
              <w:left w:val="nil"/>
              <w:bottom w:val="single" w:sz="4" w:space="0" w:color="auto"/>
              <w:right w:val="nil"/>
            </w:tcBorders>
            <w:shd w:val="clear" w:color="auto" w:fill="auto"/>
            <w:noWrap/>
            <w:vAlign w:val="center"/>
          </w:tcPr>
          <w:p w14:paraId="7CC319BB"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tcPr>
          <w:p w14:paraId="63BF1FC8"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noWrap/>
            <w:vAlign w:val="center"/>
          </w:tcPr>
          <w:p w14:paraId="36331772" w14:textId="77777777" w:rsidR="0026064C" w:rsidRPr="00EA0DC7" w:rsidRDefault="0026064C" w:rsidP="005B79F7">
            <w:pPr>
              <w:spacing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61173772"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tcPr>
          <w:p w14:paraId="52B6F1BF"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tcPr>
          <w:p w14:paraId="4F65045A"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7164D3F9" w14:textId="77777777" w:rsidR="0026064C" w:rsidRPr="00EA0DC7" w:rsidRDefault="0026064C" w:rsidP="005B79F7">
            <w:pPr>
              <w:spacing w:line="240" w:lineRule="auto"/>
              <w:jc w:val="center"/>
              <w:rPr>
                <w:rFonts w:ascii="Calibri" w:eastAsia="Times New Roman" w:hAnsi="Calibri" w:cs="Times New Roman"/>
                <w:b/>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tcPr>
          <w:p w14:paraId="4424EB25"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tcPr>
          <w:p w14:paraId="45DAB1D3" w14:textId="7AAFF593" w:rsidR="0026064C" w:rsidRPr="00EA0DC7" w:rsidRDefault="005B79F7" w:rsidP="005B79F7">
            <w:pPr>
              <w:spacing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71E4C809"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70DB000C"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17420B26" w14:textId="77777777" w:rsidTr="004979A5">
        <w:trPr>
          <w:trHeight w:val="1058"/>
        </w:trPr>
        <w:tc>
          <w:tcPr>
            <w:tcW w:w="739" w:type="dxa"/>
            <w:tcBorders>
              <w:top w:val="single" w:sz="4" w:space="0" w:color="auto"/>
              <w:left w:val="nil"/>
              <w:bottom w:val="nil"/>
              <w:right w:val="nil"/>
            </w:tcBorders>
            <w:shd w:val="clear" w:color="auto" w:fill="auto"/>
            <w:noWrap/>
            <w:hideMark/>
          </w:tcPr>
          <w:p w14:paraId="68EC2E0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2000</w:t>
            </w:r>
          </w:p>
        </w:tc>
        <w:tc>
          <w:tcPr>
            <w:tcW w:w="2351" w:type="dxa"/>
            <w:tcBorders>
              <w:top w:val="single" w:sz="4" w:space="0" w:color="auto"/>
              <w:left w:val="nil"/>
              <w:bottom w:val="nil"/>
              <w:right w:val="nil"/>
            </w:tcBorders>
            <w:shd w:val="clear" w:color="auto" w:fill="auto"/>
            <w:hideMark/>
          </w:tcPr>
          <w:p w14:paraId="47AEB6FB"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Encouraging the cognitive development of supervisees: Using Bloom's Taxonomy in supervision </w:t>
            </w:r>
            <w:r w:rsidRPr="00EA0DC7">
              <w:rPr>
                <w:rFonts w:eastAsia="Times New Roman" w:cs="Arial"/>
                <w:noProof/>
                <w:sz w:val="20"/>
                <w:szCs w:val="20"/>
              </w:rPr>
              <w:t>(Granello, 2000)</w:t>
            </w:r>
          </w:p>
        </w:tc>
        <w:tc>
          <w:tcPr>
            <w:tcW w:w="1887" w:type="dxa"/>
            <w:tcBorders>
              <w:top w:val="single" w:sz="4" w:space="0" w:color="auto"/>
              <w:left w:val="nil"/>
              <w:bottom w:val="nil"/>
              <w:right w:val="nil"/>
            </w:tcBorders>
            <w:shd w:val="clear" w:color="auto" w:fill="auto"/>
            <w:noWrap/>
            <w:hideMark/>
          </w:tcPr>
          <w:p w14:paraId="14AE9F5E"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single" w:sz="4" w:space="0" w:color="auto"/>
              <w:left w:val="nil"/>
              <w:bottom w:val="nil"/>
              <w:right w:val="nil"/>
            </w:tcBorders>
            <w:shd w:val="clear" w:color="auto" w:fill="auto"/>
            <w:hideMark/>
          </w:tcPr>
          <w:p w14:paraId="0A24870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Uses Bloom's Taxonomy </w:t>
            </w:r>
            <w:r w:rsidRPr="00EA0DC7">
              <w:rPr>
                <w:rFonts w:eastAsia="Times New Roman" w:cs="Arial"/>
                <w:noProof/>
                <w:sz w:val="20"/>
                <w:szCs w:val="20"/>
              </w:rPr>
              <w:t>(Bloom, Engelhard, Furst, Hill, &amp; Krathwohl, 1956)</w:t>
            </w:r>
            <w:r w:rsidRPr="00EA0DC7">
              <w:rPr>
                <w:rFonts w:eastAsia="Times New Roman" w:cs="Arial"/>
                <w:sz w:val="20"/>
                <w:szCs w:val="20"/>
              </w:rPr>
              <w:t xml:space="preserve"> to assess the cognitive level of the supervisee. Six levels are outlined: knowledge, comprehension, application, analysis, synthesis, and evaluation.</w:t>
            </w:r>
          </w:p>
        </w:tc>
        <w:tc>
          <w:tcPr>
            <w:tcW w:w="1362" w:type="dxa"/>
            <w:tcBorders>
              <w:top w:val="single" w:sz="4" w:space="0" w:color="auto"/>
              <w:left w:val="nil"/>
              <w:bottom w:val="nil"/>
              <w:right w:val="nil"/>
            </w:tcBorders>
            <w:shd w:val="clear" w:color="auto" w:fill="auto"/>
            <w:noWrap/>
            <w:vAlign w:val="center"/>
            <w:hideMark/>
          </w:tcPr>
          <w:p w14:paraId="365C117F"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bottom w:val="nil"/>
              <w:right w:val="nil"/>
            </w:tcBorders>
            <w:shd w:val="clear" w:color="auto" w:fill="auto"/>
            <w:noWrap/>
            <w:vAlign w:val="center"/>
            <w:hideMark/>
          </w:tcPr>
          <w:p w14:paraId="051810B4" w14:textId="77777777" w:rsidR="0026064C" w:rsidRPr="00EA0DC7" w:rsidRDefault="0026064C" w:rsidP="00CA2778">
            <w:pPr>
              <w:spacing w:line="240" w:lineRule="auto"/>
              <w:jc w:val="center"/>
              <w:rPr>
                <w:rFonts w:ascii="Calibri" w:eastAsia="Times New Roman" w:hAnsi="Calibri" w:cs="Times New Roman"/>
              </w:rPr>
            </w:pPr>
          </w:p>
        </w:tc>
        <w:tc>
          <w:tcPr>
            <w:tcW w:w="1106" w:type="dxa"/>
            <w:tcBorders>
              <w:top w:val="single" w:sz="4" w:space="0" w:color="auto"/>
              <w:left w:val="nil"/>
              <w:bottom w:val="nil"/>
              <w:right w:val="nil"/>
            </w:tcBorders>
            <w:shd w:val="clear" w:color="auto" w:fill="auto"/>
            <w:noWrap/>
            <w:vAlign w:val="center"/>
            <w:hideMark/>
          </w:tcPr>
          <w:p w14:paraId="07457B85"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361" w:type="dxa"/>
            <w:tcBorders>
              <w:top w:val="single" w:sz="4" w:space="0" w:color="auto"/>
              <w:left w:val="nil"/>
              <w:bottom w:val="nil"/>
              <w:right w:val="nil"/>
            </w:tcBorders>
            <w:shd w:val="clear" w:color="auto" w:fill="auto"/>
            <w:vAlign w:val="center"/>
            <w:hideMark/>
          </w:tcPr>
          <w:p w14:paraId="0FA064A7"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13</w:t>
            </w:r>
          </w:p>
        </w:tc>
      </w:tr>
      <w:tr w:rsidR="0026064C" w:rsidRPr="00EA0DC7" w14:paraId="225CE222" w14:textId="77777777" w:rsidTr="004979A5">
        <w:trPr>
          <w:trHeight w:val="284"/>
        </w:trPr>
        <w:tc>
          <w:tcPr>
            <w:tcW w:w="739" w:type="dxa"/>
            <w:tcBorders>
              <w:top w:val="nil"/>
              <w:left w:val="nil"/>
              <w:right w:val="nil"/>
            </w:tcBorders>
            <w:shd w:val="clear" w:color="auto" w:fill="auto"/>
            <w:noWrap/>
            <w:hideMark/>
          </w:tcPr>
          <w:p w14:paraId="5BB2784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2000</w:t>
            </w:r>
          </w:p>
        </w:tc>
        <w:tc>
          <w:tcPr>
            <w:tcW w:w="2351" w:type="dxa"/>
            <w:tcBorders>
              <w:top w:val="nil"/>
              <w:left w:val="nil"/>
              <w:right w:val="nil"/>
            </w:tcBorders>
            <w:shd w:val="clear" w:color="auto" w:fill="auto"/>
            <w:hideMark/>
          </w:tcPr>
          <w:p w14:paraId="68BD6D4C"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Psychotherapy supervision: An integrative relational approach to psychotherapy supervision </w:t>
            </w:r>
            <w:r w:rsidRPr="00EA0DC7">
              <w:rPr>
                <w:rFonts w:eastAsia="Times New Roman" w:cs="Arial"/>
                <w:noProof/>
                <w:sz w:val="20"/>
                <w:szCs w:val="20"/>
              </w:rPr>
              <w:t>(Gilbert &amp; Evans, 2000)</w:t>
            </w:r>
          </w:p>
        </w:tc>
        <w:tc>
          <w:tcPr>
            <w:tcW w:w="1887" w:type="dxa"/>
            <w:tcBorders>
              <w:top w:val="nil"/>
              <w:left w:val="nil"/>
              <w:right w:val="nil"/>
            </w:tcBorders>
            <w:shd w:val="clear" w:color="auto" w:fill="auto"/>
            <w:noWrap/>
            <w:hideMark/>
          </w:tcPr>
          <w:p w14:paraId="4616E236"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An Integrative Relational Model of Supervision </w:t>
            </w:r>
          </w:p>
        </w:tc>
        <w:tc>
          <w:tcPr>
            <w:tcW w:w="3969" w:type="dxa"/>
            <w:tcBorders>
              <w:top w:val="nil"/>
              <w:left w:val="nil"/>
              <w:right w:val="nil"/>
            </w:tcBorders>
            <w:shd w:val="clear" w:color="auto" w:fill="auto"/>
            <w:hideMark/>
          </w:tcPr>
          <w:p w14:paraId="76F11724"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the interpersonal nature of supervision and the co-creation of a 'new' narrative by the supervisor and supervisee that informs work with the client.</w:t>
            </w:r>
          </w:p>
        </w:tc>
        <w:tc>
          <w:tcPr>
            <w:tcW w:w="1362" w:type="dxa"/>
            <w:tcBorders>
              <w:top w:val="nil"/>
              <w:left w:val="nil"/>
              <w:right w:val="nil"/>
            </w:tcBorders>
            <w:shd w:val="clear" w:color="auto" w:fill="auto"/>
            <w:noWrap/>
            <w:vAlign w:val="center"/>
            <w:hideMark/>
          </w:tcPr>
          <w:p w14:paraId="1A11C501"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36BF73D5"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69CB7C42" w14:textId="77777777" w:rsidR="0026064C" w:rsidRPr="00EA0DC7" w:rsidRDefault="0026064C" w:rsidP="00CA2778">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3E6ACD90"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34</w:t>
            </w:r>
          </w:p>
        </w:tc>
      </w:tr>
      <w:tr w:rsidR="0026064C" w:rsidRPr="00EA0DC7" w14:paraId="28B670D5" w14:textId="77777777" w:rsidTr="004979A5">
        <w:trPr>
          <w:trHeight w:val="1168"/>
        </w:trPr>
        <w:tc>
          <w:tcPr>
            <w:tcW w:w="739" w:type="dxa"/>
            <w:tcBorders>
              <w:top w:val="nil"/>
              <w:left w:val="nil"/>
              <w:right w:val="nil"/>
            </w:tcBorders>
            <w:shd w:val="clear" w:color="auto" w:fill="auto"/>
            <w:noWrap/>
            <w:hideMark/>
          </w:tcPr>
          <w:p w14:paraId="605BFD8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2001*</w:t>
            </w:r>
          </w:p>
        </w:tc>
        <w:tc>
          <w:tcPr>
            <w:tcW w:w="2351" w:type="dxa"/>
            <w:tcBorders>
              <w:top w:val="nil"/>
              <w:left w:val="nil"/>
              <w:right w:val="nil"/>
            </w:tcBorders>
            <w:shd w:val="clear" w:color="auto" w:fill="auto"/>
            <w:hideMark/>
          </w:tcPr>
          <w:p w14:paraId="44191ED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Supervision in mental health professions: A practitioner's guide </w:t>
            </w:r>
            <w:r w:rsidRPr="00EA0DC7">
              <w:rPr>
                <w:rFonts w:eastAsia="Times New Roman" w:cs="Arial"/>
                <w:noProof/>
                <w:sz w:val="20"/>
                <w:szCs w:val="20"/>
              </w:rPr>
              <w:t>(Scaife, 2001)</w:t>
            </w:r>
          </w:p>
        </w:tc>
        <w:tc>
          <w:tcPr>
            <w:tcW w:w="1887" w:type="dxa"/>
            <w:tcBorders>
              <w:top w:val="nil"/>
              <w:left w:val="nil"/>
              <w:right w:val="nil"/>
            </w:tcBorders>
            <w:shd w:val="clear" w:color="auto" w:fill="auto"/>
            <w:noWrap/>
            <w:hideMark/>
          </w:tcPr>
          <w:p w14:paraId="12C039C8"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General Supervision Framework </w:t>
            </w:r>
          </w:p>
        </w:tc>
        <w:tc>
          <w:tcPr>
            <w:tcW w:w="3969" w:type="dxa"/>
            <w:tcBorders>
              <w:top w:val="nil"/>
              <w:left w:val="nil"/>
              <w:right w:val="nil"/>
            </w:tcBorders>
            <w:shd w:val="clear" w:color="auto" w:fill="auto"/>
            <w:hideMark/>
          </w:tcPr>
          <w:p w14:paraId="737558D0"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Lays out supervisor role (inform-assess; enquire; listen-reflect), supervisor focus (actions, events and responses; knowledge, thinking and planning; feelings and personal qualities) and medium providing data for supervision.</w:t>
            </w:r>
          </w:p>
        </w:tc>
        <w:tc>
          <w:tcPr>
            <w:tcW w:w="1362" w:type="dxa"/>
            <w:tcBorders>
              <w:top w:val="nil"/>
              <w:left w:val="nil"/>
              <w:right w:val="nil"/>
            </w:tcBorders>
            <w:shd w:val="clear" w:color="auto" w:fill="auto"/>
            <w:noWrap/>
            <w:vAlign w:val="center"/>
            <w:hideMark/>
          </w:tcPr>
          <w:p w14:paraId="77DD1560"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778A00C7"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06" w:type="dxa"/>
            <w:tcBorders>
              <w:top w:val="nil"/>
              <w:left w:val="nil"/>
              <w:right w:val="nil"/>
            </w:tcBorders>
            <w:shd w:val="clear" w:color="auto" w:fill="auto"/>
            <w:noWrap/>
            <w:vAlign w:val="center"/>
            <w:hideMark/>
          </w:tcPr>
          <w:p w14:paraId="044CCAB5"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11093156"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16</w:t>
            </w:r>
          </w:p>
        </w:tc>
      </w:tr>
      <w:tr w:rsidR="0026064C" w:rsidRPr="00EA0DC7" w14:paraId="688B0CB7" w14:textId="77777777" w:rsidTr="004979A5">
        <w:trPr>
          <w:trHeight w:val="709"/>
        </w:trPr>
        <w:tc>
          <w:tcPr>
            <w:tcW w:w="739" w:type="dxa"/>
            <w:tcBorders>
              <w:top w:val="nil"/>
              <w:left w:val="nil"/>
              <w:bottom w:val="single" w:sz="4" w:space="0" w:color="auto"/>
              <w:right w:val="nil"/>
            </w:tcBorders>
            <w:shd w:val="clear" w:color="auto" w:fill="auto"/>
            <w:noWrap/>
          </w:tcPr>
          <w:p w14:paraId="7A1364E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2001</w:t>
            </w:r>
          </w:p>
        </w:tc>
        <w:tc>
          <w:tcPr>
            <w:tcW w:w="2351" w:type="dxa"/>
            <w:tcBorders>
              <w:top w:val="nil"/>
              <w:left w:val="nil"/>
              <w:bottom w:val="single" w:sz="4" w:space="0" w:color="auto"/>
              <w:right w:val="nil"/>
            </w:tcBorders>
            <w:shd w:val="clear" w:color="auto" w:fill="auto"/>
          </w:tcPr>
          <w:p w14:paraId="5512133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The Supervisory Relationship: A contemporary psychodynamic approach </w:t>
            </w:r>
            <w:r w:rsidRPr="00EA0DC7">
              <w:rPr>
                <w:rFonts w:eastAsia="Times New Roman" w:cs="Arial"/>
                <w:noProof/>
                <w:sz w:val="20"/>
                <w:szCs w:val="20"/>
              </w:rPr>
              <w:t>(Frawley-O’Dea &amp; Sarnat, 2001)</w:t>
            </w:r>
          </w:p>
        </w:tc>
        <w:tc>
          <w:tcPr>
            <w:tcW w:w="1887" w:type="dxa"/>
            <w:tcBorders>
              <w:top w:val="nil"/>
              <w:left w:val="nil"/>
              <w:bottom w:val="single" w:sz="4" w:space="0" w:color="auto"/>
              <w:right w:val="nil"/>
            </w:tcBorders>
            <w:shd w:val="clear" w:color="auto" w:fill="auto"/>
          </w:tcPr>
          <w:p w14:paraId="3177C1AE"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A Relational Model of Supervision </w:t>
            </w:r>
          </w:p>
        </w:tc>
        <w:tc>
          <w:tcPr>
            <w:tcW w:w="3969" w:type="dxa"/>
            <w:tcBorders>
              <w:top w:val="nil"/>
              <w:left w:val="nil"/>
              <w:bottom w:val="single" w:sz="4" w:space="0" w:color="auto"/>
              <w:right w:val="nil"/>
            </w:tcBorders>
            <w:shd w:val="clear" w:color="auto" w:fill="auto"/>
          </w:tcPr>
          <w:p w14:paraId="5A4DF97D"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Highlights the importance of relationships and the embeddedness of supervision in a work context. The model has three dimensions: the nature of the supervisor's authority; the supervisory focus; and the supervisor's primary mode of participation.</w:t>
            </w:r>
          </w:p>
        </w:tc>
        <w:tc>
          <w:tcPr>
            <w:tcW w:w="1362" w:type="dxa"/>
            <w:tcBorders>
              <w:top w:val="nil"/>
              <w:left w:val="nil"/>
              <w:bottom w:val="single" w:sz="4" w:space="0" w:color="auto"/>
              <w:right w:val="nil"/>
            </w:tcBorders>
            <w:shd w:val="clear" w:color="auto" w:fill="auto"/>
            <w:noWrap/>
            <w:vAlign w:val="center"/>
          </w:tcPr>
          <w:p w14:paraId="7C6922F9"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206" w:type="dxa"/>
            <w:tcBorders>
              <w:top w:val="nil"/>
              <w:left w:val="nil"/>
              <w:bottom w:val="single" w:sz="4" w:space="0" w:color="auto"/>
              <w:right w:val="nil"/>
            </w:tcBorders>
            <w:shd w:val="clear" w:color="auto" w:fill="auto"/>
            <w:noWrap/>
            <w:vAlign w:val="center"/>
          </w:tcPr>
          <w:p w14:paraId="686FA03E" w14:textId="77777777" w:rsidR="0026064C" w:rsidRPr="00EA0DC7" w:rsidRDefault="0026064C" w:rsidP="00CA2778">
            <w:pPr>
              <w:spacing w:line="240" w:lineRule="auto"/>
              <w:jc w:val="center"/>
              <w:rPr>
                <w:rFonts w:ascii="Wingdings" w:eastAsia="Times New Roman" w:hAnsi="Wingdings" w:cs="Times New Roman"/>
                <w:sz w:val="20"/>
                <w:szCs w:val="20"/>
              </w:rPr>
            </w:pPr>
          </w:p>
        </w:tc>
        <w:tc>
          <w:tcPr>
            <w:tcW w:w="1106" w:type="dxa"/>
            <w:tcBorders>
              <w:top w:val="nil"/>
              <w:left w:val="nil"/>
              <w:bottom w:val="single" w:sz="4" w:space="0" w:color="auto"/>
              <w:right w:val="nil"/>
            </w:tcBorders>
            <w:shd w:val="clear" w:color="auto" w:fill="auto"/>
            <w:noWrap/>
            <w:vAlign w:val="center"/>
          </w:tcPr>
          <w:p w14:paraId="1D63590C" w14:textId="77777777" w:rsidR="0026064C" w:rsidRPr="00EA0DC7" w:rsidRDefault="0026064C" w:rsidP="00CA2778">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tcPr>
          <w:p w14:paraId="075BD1C4" w14:textId="77777777" w:rsidR="0026064C" w:rsidRPr="00EA0DC7" w:rsidRDefault="0026064C" w:rsidP="00CA2778">
            <w:pPr>
              <w:spacing w:line="240" w:lineRule="auto"/>
              <w:jc w:val="center"/>
              <w:rPr>
                <w:rFonts w:eastAsia="Times New Roman" w:cs="Arial"/>
                <w:sz w:val="20"/>
                <w:szCs w:val="20"/>
              </w:rPr>
            </w:pPr>
            <w:r w:rsidRPr="00EA0DC7">
              <w:rPr>
                <w:rFonts w:eastAsia="Times New Roman" w:cs="Arial"/>
                <w:sz w:val="20"/>
                <w:szCs w:val="20"/>
              </w:rPr>
              <w:t>18</w:t>
            </w:r>
          </w:p>
        </w:tc>
      </w:tr>
    </w:tbl>
    <w:p w14:paraId="3973B161" w14:textId="77777777" w:rsidR="0026064C" w:rsidRPr="00EA0DC7" w:rsidRDefault="0026064C" w:rsidP="0026064C">
      <w:pPr>
        <w:spacing w:line="240" w:lineRule="auto"/>
        <w:rPr>
          <w:rFonts w:eastAsia="Times New Roman" w:cs="Arial"/>
          <w:sz w:val="20"/>
          <w:szCs w:val="20"/>
        </w:rPr>
        <w:sectPr w:rsidR="0026064C" w:rsidRPr="00EA0DC7" w:rsidSect="002A29D3">
          <w:pgSz w:w="16838" w:h="11906" w:orient="landscape" w:code="9"/>
          <w:pgMar w:top="1440" w:right="1440" w:bottom="2268"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06"/>
        <w:gridCol w:w="1887"/>
        <w:gridCol w:w="3811"/>
        <w:gridCol w:w="1450"/>
        <w:gridCol w:w="1261"/>
        <w:gridCol w:w="1183"/>
        <w:gridCol w:w="1344"/>
      </w:tblGrid>
      <w:tr w:rsidR="0026064C" w:rsidRPr="00EA0DC7" w14:paraId="652C2C46" w14:textId="77777777" w:rsidTr="004979A5">
        <w:trPr>
          <w:trHeight w:val="80"/>
        </w:trPr>
        <w:tc>
          <w:tcPr>
            <w:tcW w:w="739" w:type="dxa"/>
            <w:tcBorders>
              <w:top w:val="single" w:sz="4" w:space="0" w:color="auto"/>
              <w:left w:val="nil"/>
              <w:bottom w:val="single" w:sz="4" w:space="0" w:color="auto"/>
              <w:right w:val="nil"/>
            </w:tcBorders>
            <w:shd w:val="clear" w:color="auto" w:fill="auto"/>
            <w:noWrap/>
            <w:vAlign w:val="center"/>
          </w:tcPr>
          <w:p w14:paraId="2668BB78"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tcPr>
          <w:p w14:paraId="1AECAD48"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vAlign w:val="center"/>
          </w:tcPr>
          <w:p w14:paraId="04C06FF6" w14:textId="77777777" w:rsidR="0026064C" w:rsidRPr="00EA0DC7" w:rsidRDefault="0026064C" w:rsidP="005B79F7">
            <w:pPr>
              <w:spacing w:before="240" w:line="240" w:lineRule="auto"/>
              <w:jc w:val="center"/>
              <w:rPr>
                <w:rFonts w:ascii="Calibri" w:eastAsia="Times New Roman" w:hAnsi="Calibri" w:cs="Times New Roman"/>
                <w:b/>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6593EACF"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tcPr>
          <w:p w14:paraId="76A3FB1C"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tcPr>
          <w:p w14:paraId="0BE5614E"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79D291D3"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tcPr>
          <w:p w14:paraId="1E31371A"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tcPr>
          <w:p w14:paraId="7CC3F6D9" w14:textId="610070D3"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04E1DA7F"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6787F0C2"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75213544" w14:textId="77777777" w:rsidTr="004979A5">
        <w:trPr>
          <w:trHeight w:val="80"/>
        </w:trPr>
        <w:tc>
          <w:tcPr>
            <w:tcW w:w="739" w:type="dxa"/>
            <w:tcBorders>
              <w:top w:val="single" w:sz="4" w:space="0" w:color="auto"/>
              <w:left w:val="nil"/>
              <w:bottom w:val="nil"/>
              <w:right w:val="nil"/>
            </w:tcBorders>
            <w:shd w:val="clear" w:color="auto" w:fill="auto"/>
            <w:noWrap/>
            <w:hideMark/>
          </w:tcPr>
          <w:p w14:paraId="6AAB658D"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2004</w:t>
            </w:r>
          </w:p>
        </w:tc>
        <w:tc>
          <w:tcPr>
            <w:tcW w:w="2351" w:type="dxa"/>
            <w:tcBorders>
              <w:top w:val="single" w:sz="4" w:space="0" w:color="auto"/>
              <w:left w:val="nil"/>
              <w:bottom w:val="nil"/>
              <w:right w:val="nil"/>
            </w:tcBorders>
            <w:shd w:val="clear" w:color="auto" w:fill="auto"/>
            <w:hideMark/>
          </w:tcPr>
          <w:p w14:paraId="4C63B02F"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The integrative family therapy supervisor </w:t>
            </w:r>
            <w:r w:rsidRPr="00EA0DC7">
              <w:rPr>
                <w:rFonts w:eastAsia="Times New Roman" w:cs="Arial"/>
                <w:noProof/>
                <w:sz w:val="20"/>
                <w:szCs w:val="20"/>
              </w:rPr>
              <w:t>(Lee &amp; Everett, 2004)</w:t>
            </w:r>
          </w:p>
        </w:tc>
        <w:tc>
          <w:tcPr>
            <w:tcW w:w="1887" w:type="dxa"/>
            <w:tcBorders>
              <w:top w:val="single" w:sz="4" w:space="0" w:color="auto"/>
              <w:left w:val="nil"/>
              <w:bottom w:val="nil"/>
              <w:right w:val="nil"/>
            </w:tcBorders>
            <w:shd w:val="clear" w:color="auto" w:fill="auto"/>
            <w:hideMark/>
          </w:tcPr>
          <w:p w14:paraId="276ACC60" w14:textId="77777777" w:rsidR="0026064C" w:rsidRPr="00EA0DC7" w:rsidRDefault="0026064C" w:rsidP="005B79F7">
            <w:pPr>
              <w:spacing w:before="240"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single" w:sz="4" w:space="0" w:color="auto"/>
              <w:left w:val="nil"/>
              <w:bottom w:val="nil"/>
              <w:right w:val="nil"/>
            </w:tcBorders>
            <w:shd w:val="clear" w:color="auto" w:fill="auto"/>
            <w:hideMark/>
          </w:tcPr>
          <w:p w14:paraId="472F356C"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Highlights the importance of integration of aspects of different approaches to supervision.</w:t>
            </w:r>
          </w:p>
        </w:tc>
        <w:tc>
          <w:tcPr>
            <w:tcW w:w="1362" w:type="dxa"/>
            <w:tcBorders>
              <w:top w:val="single" w:sz="4" w:space="0" w:color="auto"/>
              <w:left w:val="nil"/>
              <w:bottom w:val="nil"/>
              <w:right w:val="nil"/>
            </w:tcBorders>
            <w:shd w:val="clear" w:color="auto" w:fill="auto"/>
            <w:noWrap/>
            <w:vAlign w:val="center"/>
            <w:hideMark/>
          </w:tcPr>
          <w:p w14:paraId="79215310" w14:textId="77777777" w:rsidR="0026064C" w:rsidRPr="00EA0DC7" w:rsidRDefault="0026064C" w:rsidP="005B79F7">
            <w:pPr>
              <w:spacing w:before="240"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bottom w:val="nil"/>
              <w:right w:val="nil"/>
            </w:tcBorders>
            <w:shd w:val="clear" w:color="auto" w:fill="auto"/>
            <w:noWrap/>
            <w:vAlign w:val="center"/>
            <w:hideMark/>
          </w:tcPr>
          <w:p w14:paraId="0E7C7D0F" w14:textId="77777777" w:rsidR="0026064C" w:rsidRPr="00EA0DC7" w:rsidRDefault="0026064C" w:rsidP="005B79F7">
            <w:pPr>
              <w:spacing w:before="240"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single" w:sz="4" w:space="0" w:color="auto"/>
              <w:left w:val="nil"/>
              <w:bottom w:val="nil"/>
              <w:right w:val="nil"/>
            </w:tcBorders>
            <w:shd w:val="clear" w:color="auto" w:fill="auto"/>
            <w:noWrap/>
            <w:vAlign w:val="center"/>
            <w:hideMark/>
          </w:tcPr>
          <w:p w14:paraId="58D65FD2"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single" w:sz="4" w:space="0" w:color="auto"/>
              <w:left w:val="nil"/>
              <w:bottom w:val="nil"/>
              <w:right w:val="nil"/>
            </w:tcBorders>
            <w:shd w:val="clear" w:color="auto" w:fill="auto"/>
            <w:vAlign w:val="center"/>
            <w:hideMark/>
          </w:tcPr>
          <w:p w14:paraId="3326DE0C"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30</w:t>
            </w:r>
          </w:p>
        </w:tc>
      </w:tr>
      <w:tr w:rsidR="0026064C" w:rsidRPr="00EA0DC7" w14:paraId="0E6857CF" w14:textId="77777777" w:rsidTr="004979A5">
        <w:trPr>
          <w:trHeight w:val="80"/>
        </w:trPr>
        <w:tc>
          <w:tcPr>
            <w:tcW w:w="739" w:type="dxa"/>
            <w:tcBorders>
              <w:top w:val="nil"/>
              <w:left w:val="nil"/>
              <w:right w:val="nil"/>
            </w:tcBorders>
            <w:shd w:val="clear" w:color="auto" w:fill="auto"/>
            <w:noWrap/>
            <w:hideMark/>
          </w:tcPr>
          <w:p w14:paraId="160579C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2005</w:t>
            </w:r>
          </w:p>
        </w:tc>
        <w:tc>
          <w:tcPr>
            <w:tcW w:w="2351" w:type="dxa"/>
            <w:tcBorders>
              <w:top w:val="nil"/>
              <w:left w:val="nil"/>
              <w:right w:val="nil"/>
            </w:tcBorders>
            <w:shd w:val="clear" w:color="auto" w:fill="auto"/>
            <w:hideMark/>
          </w:tcPr>
          <w:p w14:paraId="6B1D755F"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Critical events in psychotherapy supervision: An interpersonal approach </w:t>
            </w:r>
            <w:r w:rsidRPr="00EA0DC7">
              <w:rPr>
                <w:rFonts w:eastAsia="Times New Roman" w:cs="Arial"/>
                <w:noProof/>
                <w:sz w:val="20"/>
                <w:szCs w:val="20"/>
              </w:rPr>
              <w:t>(Ladany, Friedlander, &amp; Nelson, 2005)</w:t>
            </w:r>
          </w:p>
        </w:tc>
        <w:tc>
          <w:tcPr>
            <w:tcW w:w="1887" w:type="dxa"/>
            <w:tcBorders>
              <w:top w:val="nil"/>
              <w:left w:val="nil"/>
              <w:right w:val="nil"/>
            </w:tcBorders>
            <w:shd w:val="clear" w:color="auto" w:fill="auto"/>
            <w:noWrap/>
            <w:hideMark/>
          </w:tcPr>
          <w:p w14:paraId="642CB28C" w14:textId="77777777" w:rsidR="0026064C" w:rsidRPr="00EA0DC7" w:rsidRDefault="0026064C" w:rsidP="00CA2778">
            <w:pPr>
              <w:spacing w:line="240" w:lineRule="auto"/>
              <w:jc w:val="left"/>
              <w:rPr>
                <w:rFonts w:ascii="Calibri" w:eastAsia="Times New Roman" w:hAnsi="Calibri" w:cs="Times New Roman"/>
              </w:rPr>
            </w:pPr>
            <w:r w:rsidRPr="00EA0DC7">
              <w:rPr>
                <w:rFonts w:eastAsia="Times New Roman" w:cs="Arial"/>
                <w:sz w:val="20"/>
                <w:szCs w:val="20"/>
              </w:rPr>
              <w:t xml:space="preserve">An Events-Based Model of Supervision </w:t>
            </w:r>
          </w:p>
        </w:tc>
        <w:tc>
          <w:tcPr>
            <w:tcW w:w="3969" w:type="dxa"/>
            <w:tcBorders>
              <w:top w:val="nil"/>
              <w:left w:val="nil"/>
              <w:right w:val="nil"/>
            </w:tcBorders>
            <w:shd w:val="clear" w:color="auto" w:fill="auto"/>
            <w:hideMark/>
          </w:tcPr>
          <w:p w14:paraId="21CA9A93"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Identifies critical events in supervision.  'Markers' can be identified within the supervisory working alliance then worked through in the 'task environment' to resolution.</w:t>
            </w:r>
          </w:p>
        </w:tc>
        <w:tc>
          <w:tcPr>
            <w:tcW w:w="1362" w:type="dxa"/>
            <w:tcBorders>
              <w:top w:val="nil"/>
              <w:left w:val="nil"/>
              <w:right w:val="nil"/>
            </w:tcBorders>
            <w:shd w:val="clear" w:color="auto" w:fill="auto"/>
            <w:noWrap/>
            <w:vAlign w:val="center"/>
            <w:hideMark/>
          </w:tcPr>
          <w:p w14:paraId="7498BA96"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223B0DBF"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right w:val="nil"/>
            </w:tcBorders>
            <w:shd w:val="clear" w:color="auto" w:fill="auto"/>
            <w:noWrap/>
            <w:vAlign w:val="center"/>
            <w:hideMark/>
          </w:tcPr>
          <w:p w14:paraId="4E8B189A"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right w:val="nil"/>
            </w:tcBorders>
            <w:shd w:val="clear" w:color="auto" w:fill="auto"/>
            <w:vAlign w:val="center"/>
            <w:hideMark/>
          </w:tcPr>
          <w:p w14:paraId="493B98F9"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31</w:t>
            </w:r>
          </w:p>
        </w:tc>
      </w:tr>
      <w:tr w:rsidR="0026064C" w:rsidRPr="00EA0DC7" w14:paraId="7A247898" w14:textId="77777777" w:rsidTr="004979A5">
        <w:trPr>
          <w:trHeight w:val="1401"/>
        </w:trPr>
        <w:tc>
          <w:tcPr>
            <w:tcW w:w="739" w:type="dxa"/>
            <w:tcBorders>
              <w:top w:val="nil"/>
              <w:left w:val="nil"/>
              <w:bottom w:val="nil"/>
              <w:right w:val="nil"/>
            </w:tcBorders>
            <w:shd w:val="clear" w:color="auto" w:fill="auto"/>
            <w:noWrap/>
            <w:hideMark/>
          </w:tcPr>
          <w:p w14:paraId="53FD6163"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2006</w:t>
            </w:r>
          </w:p>
        </w:tc>
        <w:tc>
          <w:tcPr>
            <w:tcW w:w="2351" w:type="dxa"/>
            <w:tcBorders>
              <w:top w:val="nil"/>
              <w:left w:val="nil"/>
              <w:bottom w:val="nil"/>
              <w:right w:val="nil"/>
            </w:tcBorders>
            <w:shd w:val="clear" w:color="auto" w:fill="auto"/>
            <w:hideMark/>
          </w:tcPr>
          <w:p w14:paraId="3A8DEDDB"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Conceptualising and formulating cognitive therapy supervision </w:t>
            </w:r>
            <w:r w:rsidRPr="00EA0DC7">
              <w:rPr>
                <w:rFonts w:eastAsia="Times New Roman" w:cs="Arial"/>
                <w:noProof/>
                <w:sz w:val="20"/>
                <w:szCs w:val="20"/>
              </w:rPr>
              <w:t>(Armstrong &amp; Freeston, 2006)</w:t>
            </w:r>
          </w:p>
        </w:tc>
        <w:tc>
          <w:tcPr>
            <w:tcW w:w="1887" w:type="dxa"/>
            <w:tcBorders>
              <w:top w:val="nil"/>
              <w:left w:val="nil"/>
              <w:bottom w:val="nil"/>
              <w:right w:val="nil"/>
            </w:tcBorders>
            <w:shd w:val="clear" w:color="auto" w:fill="auto"/>
            <w:noWrap/>
            <w:hideMark/>
          </w:tcPr>
          <w:p w14:paraId="71EAAAB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Newcastle Supervision Framework</w:t>
            </w:r>
          </w:p>
        </w:tc>
        <w:tc>
          <w:tcPr>
            <w:tcW w:w="3969" w:type="dxa"/>
            <w:tcBorders>
              <w:top w:val="nil"/>
              <w:left w:val="nil"/>
              <w:bottom w:val="nil"/>
              <w:right w:val="nil"/>
            </w:tcBorders>
            <w:shd w:val="clear" w:color="auto" w:fill="auto"/>
            <w:hideMark/>
          </w:tcPr>
          <w:p w14:paraId="52A35B16"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Identifies four interactive levels of supervision: learning process, dynamic focus, parameters, and primary inputs.</w:t>
            </w:r>
          </w:p>
        </w:tc>
        <w:tc>
          <w:tcPr>
            <w:tcW w:w="1362" w:type="dxa"/>
            <w:tcBorders>
              <w:top w:val="nil"/>
              <w:left w:val="nil"/>
              <w:bottom w:val="nil"/>
              <w:right w:val="nil"/>
            </w:tcBorders>
            <w:shd w:val="clear" w:color="auto" w:fill="auto"/>
            <w:noWrap/>
            <w:vAlign w:val="center"/>
            <w:hideMark/>
          </w:tcPr>
          <w:p w14:paraId="5FEA2E89"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right w:val="nil"/>
            </w:tcBorders>
            <w:shd w:val="clear" w:color="auto" w:fill="auto"/>
            <w:noWrap/>
            <w:vAlign w:val="center"/>
            <w:hideMark/>
          </w:tcPr>
          <w:p w14:paraId="36082BEA" w14:textId="77777777" w:rsidR="0026064C" w:rsidRPr="00EA0DC7" w:rsidRDefault="0026064C" w:rsidP="004979A5">
            <w:pPr>
              <w:spacing w:line="240" w:lineRule="auto"/>
              <w:jc w:val="center"/>
              <w:rPr>
                <w:rFonts w:ascii="Wingdings" w:eastAsia="Times New Roman" w:hAnsi="Wingdings" w:cs="Times New Roman"/>
                <w:sz w:val="20"/>
                <w:szCs w:val="20"/>
              </w:rPr>
            </w:pPr>
          </w:p>
        </w:tc>
        <w:tc>
          <w:tcPr>
            <w:tcW w:w="1106" w:type="dxa"/>
            <w:tcBorders>
              <w:top w:val="nil"/>
              <w:left w:val="nil"/>
              <w:bottom w:val="nil"/>
              <w:right w:val="nil"/>
            </w:tcBorders>
            <w:shd w:val="clear" w:color="auto" w:fill="auto"/>
            <w:noWrap/>
            <w:vAlign w:val="center"/>
            <w:hideMark/>
          </w:tcPr>
          <w:p w14:paraId="72898A4B" w14:textId="77777777" w:rsidR="0026064C" w:rsidRPr="00EA0DC7" w:rsidRDefault="0026064C" w:rsidP="004979A5">
            <w:pPr>
              <w:spacing w:line="240" w:lineRule="auto"/>
              <w:jc w:val="center"/>
              <w:rPr>
                <w:rFonts w:ascii="Wingdings" w:eastAsia="Times New Roman" w:hAnsi="Wingdings" w:cs="Times New Roman"/>
                <w:sz w:val="20"/>
                <w:szCs w:val="20"/>
              </w:rPr>
            </w:pPr>
          </w:p>
        </w:tc>
        <w:tc>
          <w:tcPr>
            <w:tcW w:w="1361" w:type="dxa"/>
            <w:tcBorders>
              <w:top w:val="nil"/>
              <w:left w:val="nil"/>
              <w:bottom w:val="nil"/>
              <w:right w:val="nil"/>
            </w:tcBorders>
            <w:shd w:val="clear" w:color="auto" w:fill="auto"/>
            <w:vAlign w:val="center"/>
            <w:hideMark/>
          </w:tcPr>
          <w:p w14:paraId="218B5ABB"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17</w:t>
            </w:r>
          </w:p>
        </w:tc>
      </w:tr>
      <w:tr w:rsidR="0026064C" w:rsidRPr="00EA0DC7" w14:paraId="3C2C0C77" w14:textId="77777777" w:rsidTr="004979A5">
        <w:trPr>
          <w:trHeight w:val="851"/>
        </w:trPr>
        <w:tc>
          <w:tcPr>
            <w:tcW w:w="739" w:type="dxa"/>
            <w:tcBorders>
              <w:top w:val="nil"/>
              <w:left w:val="nil"/>
              <w:bottom w:val="single" w:sz="4" w:space="0" w:color="auto"/>
              <w:right w:val="nil"/>
            </w:tcBorders>
            <w:shd w:val="clear" w:color="auto" w:fill="auto"/>
            <w:noWrap/>
            <w:hideMark/>
          </w:tcPr>
          <w:p w14:paraId="6433560E"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2007</w:t>
            </w:r>
          </w:p>
        </w:tc>
        <w:tc>
          <w:tcPr>
            <w:tcW w:w="2351" w:type="dxa"/>
            <w:tcBorders>
              <w:top w:val="nil"/>
              <w:left w:val="nil"/>
              <w:bottom w:val="single" w:sz="4" w:space="0" w:color="auto"/>
              <w:right w:val="nil"/>
            </w:tcBorders>
            <w:shd w:val="clear" w:color="auto" w:fill="auto"/>
            <w:hideMark/>
          </w:tcPr>
          <w:p w14:paraId="20793439"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Toward a common-factors approach to supervision </w:t>
            </w:r>
            <w:r w:rsidRPr="00EA0DC7">
              <w:rPr>
                <w:rFonts w:eastAsia="Times New Roman" w:cs="Arial"/>
                <w:noProof/>
                <w:sz w:val="20"/>
                <w:szCs w:val="20"/>
              </w:rPr>
              <w:t>(Morgan &amp; Sprenkle, 2007)</w:t>
            </w:r>
          </w:p>
        </w:tc>
        <w:tc>
          <w:tcPr>
            <w:tcW w:w="1887" w:type="dxa"/>
            <w:tcBorders>
              <w:top w:val="nil"/>
              <w:left w:val="nil"/>
              <w:bottom w:val="single" w:sz="4" w:space="0" w:color="auto"/>
              <w:right w:val="nil"/>
            </w:tcBorders>
            <w:shd w:val="clear" w:color="auto" w:fill="auto"/>
            <w:hideMark/>
          </w:tcPr>
          <w:p w14:paraId="64D54014" w14:textId="77777777" w:rsidR="0026064C" w:rsidRPr="00EA0DC7" w:rsidRDefault="0026064C" w:rsidP="00CA2778">
            <w:pPr>
              <w:spacing w:line="240" w:lineRule="auto"/>
              <w:jc w:val="left"/>
              <w:rPr>
                <w:rFonts w:eastAsia="Times New Roman" w:cs="Arial"/>
                <w:sz w:val="20"/>
                <w:szCs w:val="20"/>
              </w:rPr>
            </w:pPr>
            <w:r w:rsidRPr="00EA0DC7">
              <w:rPr>
                <w:rFonts w:ascii="Calibri" w:eastAsia="Times New Roman" w:hAnsi="Calibri" w:cs="Times New Roman"/>
              </w:rPr>
              <w:t>-</w:t>
            </w:r>
          </w:p>
        </w:tc>
        <w:tc>
          <w:tcPr>
            <w:tcW w:w="3969" w:type="dxa"/>
            <w:tcBorders>
              <w:top w:val="nil"/>
              <w:left w:val="nil"/>
              <w:bottom w:val="single" w:sz="4" w:space="0" w:color="auto"/>
              <w:right w:val="nil"/>
            </w:tcBorders>
            <w:shd w:val="clear" w:color="auto" w:fill="auto"/>
            <w:hideMark/>
          </w:tcPr>
          <w:p w14:paraId="64082325" w14:textId="72D13148"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Combines common factors of supervision models. Three dimensions of supervision are highlighted: emphasis (clinical compete</w:t>
            </w:r>
            <w:r w:rsidR="0061557C" w:rsidRPr="00EA0DC7">
              <w:rPr>
                <w:rFonts w:eastAsia="Times New Roman" w:cs="Arial"/>
                <w:sz w:val="20"/>
                <w:szCs w:val="20"/>
              </w:rPr>
              <w:t>nce to professional competence),</w:t>
            </w:r>
            <w:r w:rsidRPr="00EA0DC7">
              <w:rPr>
                <w:rFonts w:eastAsia="Times New Roman" w:cs="Arial"/>
                <w:sz w:val="20"/>
                <w:szCs w:val="20"/>
              </w:rPr>
              <w:t xml:space="preserve"> specificity (idiosyncratic need of each supervisee to </w:t>
            </w:r>
            <w:r w:rsidR="0061557C" w:rsidRPr="00EA0DC7">
              <w:rPr>
                <w:rFonts w:eastAsia="Times New Roman" w:cs="Arial"/>
                <w:sz w:val="20"/>
                <w:szCs w:val="20"/>
              </w:rPr>
              <w:t>mandates of the field at large),</w:t>
            </w:r>
            <w:r w:rsidRPr="00EA0DC7">
              <w:rPr>
                <w:rFonts w:eastAsia="Times New Roman" w:cs="Arial"/>
                <w:sz w:val="20"/>
                <w:szCs w:val="20"/>
              </w:rPr>
              <w:t xml:space="preserve"> and the supervisory relationship (collaborative to directive).</w:t>
            </w:r>
          </w:p>
        </w:tc>
        <w:tc>
          <w:tcPr>
            <w:tcW w:w="1362" w:type="dxa"/>
            <w:tcBorders>
              <w:top w:val="nil"/>
              <w:left w:val="nil"/>
              <w:bottom w:val="single" w:sz="4" w:space="0" w:color="auto"/>
              <w:right w:val="nil"/>
            </w:tcBorders>
            <w:shd w:val="clear" w:color="auto" w:fill="auto"/>
            <w:noWrap/>
            <w:vAlign w:val="center"/>
            <w:hideMark/>
          </w:tcPr>
          <w:p w14:paraId="27392127"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4" w:space="0" w:color="auto"/>
              <w:right w:val="nil"/>
            </w:tcBorders>
            <w:shd w:val="clear" w:color="auto" w:fill="auto"/>
            <w:noWrap/>
            <w:vAlign w:val="center"/>
            <w:hideMark/>
          </w:tcPr>
          <w:p w14:paraId="55B99F6C" w14:textId="77777777" w:rsidR="0026064C" w:rsidRPr="00EA0DC7" w:rsidRDefault="0026064C" w:rsidP="004979A5">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106" w:type="dxa"/>
            <w:tcBorders>
              <w:top w:val="nil"/>
              <w:left w:val="nil"/>
              <w:bottom w:val="single" w:sz="4" w:space="0" w:color="auto"/>
              <w:right w:val="nil"/>
            </w:tcBorders>
            <w:shd w:val="clear" w:color="auto" w:fill="auto"/>
            <w:noWrap/>
            <w:vAlign w:val="center"/>
            <w:hideMark/>
          </w:tcPr>
          <w:p w14:paraId="4D25CC4C" w14:textId="77777777" w:rsidR="0026064C" w:rsidRPr="00EA0DC7" w:rsidRDefault="0026064C" w:rsidP="004979A5">
            <w:pPr>
              <w:spacing w:line="240" w:lineRule="auto"/>
              <w:jc w:val="center"/>
              <w:rPr>
                <w:rFonts w:ascii="Calibri" w:eastAsia="Times New Roman" w:hAnsi="Calibri" w:cs="Times New Roman"/>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4" w:space="0" w:color="auto"/>
              <w:right w:val="nil"/>
            </w:tcBorders>
            <w:shd w:val="clear" w:color="auto" w:fill="auto"/>
            <w:vAlign w:val="center"/>
            <w:hideMark/>
          </w:tcPr>
          <w:p w14:paraId="3E1B6630"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15</w:t>
            </w:r>
          </w:p>
        </w:tc>
      </w:tr>
    </w:tbl>
    <w:p w14:paraId="00E70095" w14:textId="77777777" w:rsidR="0026064C" w:rsidRPr="00EA0DC7" w:rsidRDefault="0026064C" w:rsidP="0026064C">
      <w:pPr>
        <w:spacing w:line="240" w:lineRule="auto"/>
        <w:jc w:val="center"/>
        <w:rPr>
          <w:rFonts w:eastAsia="Times New Roman" w:cs="Arial"/>
          <w:sz w:val="20"/>
          <w:szCs w:val="20"/>
        </w:rPr>
        <w:sectPr w:rsidR="0026064C" w:rsidRPr="00EA0DC7" w:rsidSect="002A29D3">
          <w:pgSz w:w="16838" w:h="11906" w:orient="landscape" w:code="9"/>
          <w:pgMar w:top="2268" w:right="1440" w:bottom="1440" w:left="1440" w:header="709" w:footer="709" w:gutter="0"/>
          <w:cols w:space="708"/>
          <w:docGrid w:linePitch="360"/>
        </w:sectPr>
      </w:pPr>
    </w:p>
    <w:tbl>
      <w:tblPr>
        <w:tblW w:w="13981" w:type="dxa"/>
        <w:tblInd w:w="93" w:type="dxa"/>
        <w:tblLook w:val="04A0" w:firstRow="1" w:lastRow="0" w:firstColumn="1" w:lastColumn="0" w:noHBand="0" w:noVBand="1"/>
      </w:tblPr>
      <w:tblGrid>
        <w:gridCol w:w="739"/>
        <w:gridCol w:w="2313"/>
        <w:gridCol w:w="1855"/>
        <w:gridCol w:w="3833"/>
        <w:gridCol w:w="1450"/>
        <w:gridCol w:w="1261"/>
        <w:gridCol w:w="1183"/>
        <w:gridCol w:w="1347"/>
      </w:tblGrid>
      <w:tr w:rsidR="0026064C" w:rsidRPr="00EA0DC7" w14:paraId="6E827008" w14:textId="77777777" w:rsidTr="004979A5">
        <w:trPr>
          <w:trHeight w:val="709"/>
        </w:trPr>
        <w:tc>
          <w:tcPr>
            <w:tcW w:w="739" w:type="dxa"/>
            <w:tcBorders>
              <w:top w:val="single" w:sz="4" w:space="0" w:color="auto"/>
              <w:left w:val="nil"/>
              <w:bottom w:val="single" w:sz="4" w:space="0" w:color="auto"/>
              <w:right w:val="nil"/>
            </w:tcBorders>
            <w:shd w:val="clear" w:color="auto" w:fill="auto"/>
            <w:noWrap/>
            <w:vAlign w:val="center"/>
          </w:tcPr>
          <w:p w14:paraId="390E1551"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lastRenderedPageBreak/>
              <w:t>Year</w:t>
            </w:r>
          </w:p>
        </w:tc>
        <w:tc>
          <w:tcPr>
            <w:tcW w:w="2351" w:type="dxa"/>
            <w:tcBorders>
              <w:top w:val="single" w:sz="4" w:space="0" w:color="auto"/>
              <w:left w:val="nil"/>
              <w:bottom w:val="single" w:sz="4" w:space="0" w:color="auto"/>
              <w:right w:val="nil"/>
            </w:tcBorders>
            <w:shd w:val="clear" w:color="auto" w:fill="auto"/>
            <w:vAlign w:val="center"/>
          </w:tcPr>
          <w:p w14:paraId="6C549F50"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Reference</w:t>
            </w:r>
          </w:p>
        </w:tc>
        <w:tc>
          <w:tcPr>
            <w:tcW w:w="1887" w:type="dxa"/>
            <w:tcBorders>
              <w:top w:val="single" w:sz="4" w:space="0" w:color="auto"/>
              <w:left w:val="nil"/>
              <w:bottom w:val="single" w:sz="4" w:space="0" w:color="auto"/>
              <w:right w:val="nil"/>
            </w:tcBorders>
            <w:shd w:val="clear" w:color="auto" w:fill="auto"/>
            <w:vAlign w:val="center"/>
          </w:tcPr>
          <w:p w14:paraId="0570B208"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Name of model (where provided)</w:t>
            </w:r>
          </w:p>
        </w:tc>
        <w:tc>
          <w:tcPr>
            <w:tcW w:w="3969" w:type="dxa"/>
            <w:tcBorders>
              <w:top w:val="single" w:sz="4" w:space="0" w:color="auto"/>
              <w:left w:val="nil"/>
              <w:bottom w:val="single" w:sz="4" w:space="0" w:color="auto"/>
              <w:right w:val="nil"/>
            </w:tcBorders>
            <w:shd w:val="clear" w:color="auto" w:fill="auto"/>
            <w:vAlign w:val="center"/>
          </w:tcPr>
          <w:p w14:paraId="4F6A9B05" w14:textId="77777777" w:rsidR="0026064C" w:rsidRPr="00EA0DC7" w:rsidRDefault="0026064C" w:rsidP="005B79F7">
            <w:pPr>
              <w:spacing w:before="240" w:line="240" w:lineRule="auto"/>
              <w:jc w:val="center"/>
              <w:rPr>
                <w:rFonts w:eastAsia="Times New Roman" w:cs="Arial"/>
                <w:b/>
                <w:sz w:val="20"/>
                <w:szCs w:val="20"/>
              </w:rPr>
            </w:pPr>
            <w:r w:rsidRPr="00EA0DC7">
              <w:rPr>
                <w:rFonts w:eastAsia="Times New Roman" w:cs="Arial"/>
                <w:b/>
                <w:sz w:val="20"/>
                <w:szCs w:val="20"/>
              </w:rPr>
              <w:t>Brief Description</w:t>
            </w:r>
          </w:p>
        </w:tc>
        <w:tc>
          <w:tcPr>
            <w:tcW w:w="1362" w:type="dxa"/>
            <w:tcBorders>
              <w:top w:val="single" w:sz="4" w:space="0" w:color="auto"/>
              <w:left w:val="nil"/>
              <w:bottom w:val="single" w:sz="4" w:space="0" w:color="auto"/>
              <w:right w:val="nil"/>
            </w:tcBorders>
            <w:shd w:val="clear" w:color="auto" w:fill="auto"/>
            <w:noWrap/>
            <w:vAlign w:val="center"/>
          </w:tcPr>
          <w:p w14:paraId="47C9FEE9"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Supervisee learning and/ or development</w:t>
            </w:r>
          </w:p>
        </w:tc>
        <w:tc>
          <w:tcPr>
            <w:tcW w:w="1206" w:type="dxa"/>
            <w:tcBorders>
              <w:top w:val="single" w:sz="4" w:space="0" w:color="auto"/>
              <w:left w:val="nil"/>
              <w:bottom w:val="single" w:sz="4" w:space="0" w:color="auto"/>
              <w:right w:val="nil"/>
            </w:tcBorders>
            <w:shd w:val="clear" w:color="auto" w:fill="auto"/>
            <w:noWrap/>
            <w:vAlign w:val="center"/>
          </w:tcPr>
          <w:p w14:paraId="2B45004B" w14:textId="77777777" w:rsidR="0026064C" w:rsidRPr="00EA0DC7" w:rsidRDefault="0026064C" w:rsidP="005B79F7">
            <w:pPr>
              <w:spacing w:before="240" w:after="0" w:line="240" w:lineRule="auto"/>
              <w:jc w:val="center"/>
              <w:rPr>
                <w:rFonts w:eastAsia="Times New Roman" w:cs="Arial"/>
                <w:b/>
                <w:sz w:val="20"/>
                <w:szCs w:val="20"/>
              </w:rPr>
            </w:pPr>
            <w:r w:rsidRPr="00EA0DC7">
              <w:rPr>
                <w:rFonts w:eastAsia="Times New Roman" w:cs="Arial"/>
                <w:b/>
                <w:sz w:val="20"/>
                <w:szCs w:val="20"/>
              </w:rPr>
              <w:t>Managerial and/ or ethical responsib-</w:t>
            </w:r>
          </w:p>
          <w:p w14:paraId="11291A4F" w14:textId="77777777" w:rsidR="0026064C" w:rsidRPr="00EA0DC7" w:rsidRDefault="0026064C" w:rsidP="005B79F7">
            <w:pPr>
              <w:spacing w:line="240" w:lineRule="auto"/>
              <w:jc w:val="center"/>
              <w:rPr>
                <w:rFonts w:ascii="Wingdings" w:eastAsia="Times New Roman" w:hAnsi="Wingdings" w:cs="Times New Roman"/>
                <w:b/>
                <w:sz w:val="20"/>
                <w:szCs w:val="20"/>
              </w:rPr>
            </w:pPr>
            <w:r w:rsidRPr="00EA0DC7">
              <w:rPr>
                <w:rFonts w:eastAsia="Times New Roman" w:cs="Arial"/>
                <w:b/>
                <w:sz w:val="20"/>
                <w:szCs w:val="20"/>
              </w:rPr>
              <w:t>ilities</w:t>
            </w:r>
          </w:p>
        </w:tc>
        <w:tc>
          <w:tcPr>
            <w:tcW w:w="1106" w:type="dxa"/>
            <w:tcBorders>
              <w:top w:val="single" w:sz="4" w:space="0" w:color="auto"/>
              <w:left w:val="nil"/>
              <w:bottom w:val="single" w:sz="4" w:space="0" w:color="auto"/>
              <w:right w:val="nil"/>
            </w:tcBorders>
            <w:shd w:val="clear" w:color="auto" w:fill="auto"/>
            <w:noWrap/>
            <w:vAlign w:val="center"/>
          </w:tcPr>
          <w:p w14:paraId="70E3131A" w14:textId="77777777" w:rsidR="0026064C" w:rsidRPr="00EA0DC7" w:rsidRDefault="0026064C" w:rsidP="005B79F7">
            <w:pPr>
              <w:spacing w:before="240" w:line="240" w:lineRule="auto"/>
              <w:jc w:val="center"/>
              <w:rPr>
                <w:rFonts w:ascii="Wingdings" w:eastAsia="Times New Roman" w:hAnsi="Wingdings" w:cs="Times New Roman"/>
                <w:b/>
                <w:sz w:val="20"/>
                <w:szCs w:val="20"/>
              </w:rPr>
            </w:pPr>
            <w:r w:rsidRPr="00EA0DC7">
              <w:rPr>
                <w:rFonts w:eastAsia="Times New Roman" w:cs="Arial"/>
                <w:b/>
                <w:sz w:val="20"/>
                <w:szCs w:val="20"/>
              </w:rPr>
              <w:t>Emotional effects of work</w:t>
            </w:r>
          </w:p>
        </w:tc>
        <w:tc>
          <w:tcPr>
            <w:tcW w:w="1361" w:type="dxa"/>
            <w:tcBorders>
              <w:top w:val="single" w:sz="4" w:space="0" w:color="auto"/>
              <w:left w:val="nil"/>
              <w:bottom w:val="single" w:sz="4" w:space="0" w:color="auto"/>
              <w:right w:val="nil"/>
            </w:tcBorders>
            <w:shd w:val="clear" w:color="auto" w:fill="auto"/>
            <w:vAlign w:val="center"/>
          </w:tcPr>
          <w:p w14:paraId="62F757BF" w14:textId="22799C10" w:rsidR="0026064C" w:rsidRPr="00EA0DC7" w:rsidRDefault="005B79F7" w:rsidP="005B79F7">
            <w:pPr>
              <w:spacing w:before="240" w:after="0" w:line="240" w:lineRule="auto"/>
              <w:jc w:val="center"/>
              <w:rPr>
                <w:rFonts w:eastAsia="Times New Roman" w:cs="Arial"/>
                <w:b/>
                <w:sz w:val="20"/>
                <w:szCs w:val="20"/>
              </w:rPr>
            </w:pPr>
            <w:r w:rsidRPr="00EA0DC7">
              <w:rPr>
                <w:rFonts w:eastAsia="Times New Roman" w:cs="Arial"/>
                <w:b/>
                <w:sz w:val="20"/>
                <w:szCs w:val="20"/>
              </w:rPr>
              <w:t xml:space="preserve">No. </w:t>
            </w:r>
            <w:r w:rsidR="0026064C" w:rsidRPr="00EA0DC7">
              <w:rPr>
                <w:rFonts w:eastAsia="Times New Roman" w:cs="Arial"/>
                <w:b/>
                <w:sz w:val="20"/>
                <w:szCs w:val="20"/>
              </w:rPr>
              <w:t>of</w:t>
            </w:r>
          </w:p>
          <w:p w14:paraId="45EE2E87" w14:textId="77777777" w:rsidR="0026064C" w:rsidRPr="00EA0DC7" w:rsidRDefault="0026064C" w:rsidP="005B79F7">
            <w:pPr>
              <w:spacing w:after="0" w:line="240" w:lineRule="auto"/>
              <w:jc w:val="center"/>
              <w:rPr>
                <w:rFonts w:eastAsia="Times New Roman" w:cs="Arial"/>
                <w:b/>
                <w:sz w:val="20"/>
                <w:szCs w:val="20"/>
              </w:rPr>
            </w:pPr>
            <w:r w:rsidRPr="00EA0DC7">
              <w:rPr>
                <w:rFonts w:eastAsia="Times New Roman" w:cs="Arial"/>
                <w:b/>
                <w:sz w:val="20"/>
                <w:szCs w:val="20"/>
              </w:rPr>
              <w:t>elements</w:t>
            </w:r>
          </w:p>
          <w:p w14:paraId="5D7BB959" w14:textId="77777777" w:rsidR="0026064C" w:rsidRPr="00EA0DC7" w:rsidRDefault="0026064C" w:rsidP="005B79F7">
            <w:pPr>
              <w:spacing w:line="240" w:lineRule="auto"/>
              <w:jc w:val="center"/>
              <w:rPr>
                <w:rFonts w:eastAsia="Times New Roman" w:cs="Arial"/>
                <w:b/>
                <w:sz w:val="20"/>
                <w:szCs w:val="20"/>
              </w:rPr>
            </w:pPr>
            <w:r w:rsidRPr="00EA0DC7">
              <w:rPr>
                <w:rFonts w:eastAsia="Times New Roman" w:cs="Arial"/>
                <w:b/>
                <w:sz w:val="20"/>
                <w:szCs w:val="20"/>
              </w:rPr>
              <w:t>in model</w:t>
            </w:r>
          </w:p>
        </w:tc>
      </w:tr>
      <w:tr w:rsidR="0026064C" w:rsidRPr="00EA0DC7" w14:paraId="304E5905" w14:textId="77777777" w:rsidTr="004979A5">
        <w:trPr>
          <w:trHeight w:val="709"/>
        </w:trPr>
        <w:tc>
          <w:tcPr>
            <w:tcW w:w="739" w:type="dxa"/>
            <w:tcBorders>
              <w:top w:val="single" w:sz="4" w:space="0" w:color="auto"/>
              <w:left w:val="nil"/>
              <w:bottom w:val="nil"/>
              <w:right w:val="nil"/>
            </w:tcBorders>
            <w:shd w:val="clear" w:color="auto" w:fill="auto"/>
            <w:noWrap/>
          </w:tcPr>
          <w:p w14:paraId="1D10E7E8"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2009*</w:t>
            </w:r>
          </w:p>
        </w:tc>
        <w:tc>
          <w:tcPr>
            <w:tcW w:w="2351" w:type="dxa"/>
            <w:tcBorders>
              <w:top w:val="single" w:sz="4" w:space="0" w:color="auto"/>
              <w:left w:val="nil"/>
              <w:bottom w:val="nil"/>
              <w:right w:val="nil"/>
            </w:tcBorders>
            <w:shd w:val="clear" w:color="auto" w:fill="auto"/>
          </w:tcPr>
          <w:p w14:paraId="2C9D72A5"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 xml:space="preserve">The art, craft and tasks of supervision: Making the most of supervision </w:t>
            </w:r>
            <w:r w:rsidRPr="00EA0DC7">
              <w:rPr>
                <w:rFonts w:eastAsia="Times New Roman" w:cs="Arial"/>
                <w:noProof/>
                <w:sz w:val="20"/>
                <w:szCs w:val="20"/>
              </w:rPr>
              <w:t>(Inskipp &amp; Proctor, 2009)</w:t>
            </w:r>
          </w:p>
        </w:tc>
        <w:tc>
          <w:tcPr>
            <w:tcW w:w="1887" w:type="dxa"/>
            <w:tcBorders>
              <w:top w:val="single" w:sz="4" w:space="0" w:color="auto"/>
              <w:left w:val="nil"/>
              <w:bottom w:val="nil"/>
              <w:right w:val="nil"/>
            </w:tcBorders>
            <w:shd w:val="clear" w:color="auto" w:fill="auto"/>
          </w:tcPr>
          <w:p w14:paraId="2F43E2BC" w14:textId="77777777" w:rsidR="0026064C" w:rsidRPr="00EA0DC7" w:rsidRDefault="0026064C" w:rsidP="005B79F7">
            <w:pPr>
              <w:spacing w:before="240" w:line="240" w:lineRule="auto"/>
              <w:jc w:val="left"/>
              <w:rPr>
                <w:rFonts w:ascii="Calibri" w:eastAsia="Times New Roman" w:hAnsi="Calibri" w:cs="Times New Roman"/>
              </w:rPr>
            </w:pPr>
            <w:r w:rsidRPr="00EA0DC7">
              <w:rPr>
                <w:rFonts w:eastAsia="Times New Roman" w:cs="Arial"/>
                <w:sz w:val="20"/>
                <w:szCs w:val="20"/>
              </w:rPr>
              <w:t>-</w:t>
            </w:r>
          </w:p>
        </w:tc>
        <w:tc>
          <w:tcPr>
            <w:tcW w:w="3969" w:type="dxa"/>
            <w:tcBorders>
              <w:top w:val="single" w:sz="4" w:space="0" w:color="auto"/>
              <w:left w:val="nil"/>
              <w:bottom w:val="nil"/>
              <w:right w:val="nil"/>
            </w:tcBorders>
            <w:shd w:val="clear" w:color="auto" w:fill="auto"/>
          </w:tcPr>
          <w:p w14:paraId="5A5E0203" w14:textId="77777777" w:rsidR="0026064C" w:rsidRPr="00EA0DC7" w:rsidRDefault="0026064C" w:rsidP="005B79F7">
            <w:pPr>
              <w:spacing w:before="240" w:line="240" w:lineRule="auto"/>
              <w:jc w:val="left"/>
              <w:rPr>
                <w:rFonts w:eastAsia="Times New Roman" w:cs="Arial"/>
                <w:sz w:val="20"/>
                <w:szCs w:val="20"/>
              </w:rPr>
            </w:pPr>
            <w:r w:rsidRPr="00EA0DC7">
              <w:rPr>
                <w:rFonts w:eastAsia="Times New Roman" w:cs="Arial"/>
                <w:sz w:val="20"/>
                <w:szCs w:val="20"/>
              </w:rPr>
              <w:t>Addresses the three main functions of supervision: formative, normative, and restorative.</w:t>
            </w:r>
          </w:p>
        </w:tc>
        <w:tc>
          <w:tcPr>
            <w:tcW w:w="1362" w:type="dxa"/>
            <w:tcBorders>
              <w:top w:val="single" w:sz="4" w:space="0" w:color="auto"/>
              <w:left w:val="nil"/>
              <w:bottom w:val="nil"/>
              <w:right w:val="nil"/>
            </w:tcBorders>
            <w:shd w:val="clear" w:color="auto" w:fill="auto"/>
            <w:noWrap/>
            <w:vAlign w:val="center"/>
          </w:tcPr>
          <w:p w14:paraId="63802460"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single" w:sz="4" w:space="0" w:color="auto"/>
              <w:left w:val="nil"/>
              <w:bottom w:val="nil"/>
              <w:right w:val="nil"/>
            </w:tcBorders>
            <w:shd w:val="clear" w:color="auto" w:fill="auto"/>
            <w:noWrap/>
            <w:vAlign w:val="center"/>
          </w:tcPr>
          <w:p w14:paraId="4600574F"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single" w:sz="4" w:space="0" w:color="auto"/>
              <w:left w:val="nil"/>
              <w:bottom w:val="nil"/>
              <w:right w:val="nil"/>
            </w:tcBorders>
            <w:shd w:val="clear" w:color="auto" w:fill="auto"/>
            <w:noWrap/>
            <w:vAlign w:val="center"/>
          </w:tcPr>
          <w:p w14:paraId="162242C6" w14:textId="77777777" w:rsidR="0026064C" w:rsidRPr="00EA0DC7" w:rsidRDefault="0026064C" w:rsidP="005B79F7">
            <w:pPr>
              <w:spacing w:before="240"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single" w:sz="4" w:space="0" w:color="auto"/>
              <w:left w:val="nil"/>
              <w:bottom w:val="nil"/>
              <w:right w:val="nil"/>
            </w:tcBorders>
            <w:shd w:val="clear" w:color="auto" w:fill="auto"/>
            <w:vAlign w:val="center"/>
          </w:tcPr>
          <w:p w14:paraId="3B686DF0" w14:textId="77777777" w:rsidR="0026064C" w:rsidRPr="00EA0DC7" w:rsidRDefault="0026064C" w:rsidP="005B79F7">
            <w:pPr>
              <w:spacing w:before="240" w:line="240" w:lineRule="auto"/>
              <w:jc w:val="center"/>
              <w:rPr>
                <w:rFonts w:eastAsia="Times New Roman" w:cs="Arial"/>
                <w:sz w:val="20"/>
                <w:szCs w:val="20"/>
              </w:rPr>
            </w:pPr>
            <w:r w:rsidRPr="00EA0DC7">
              <w:rPr>
                <w:rFonts w:eastAsia="Times New Roman" w:cs="Arial"/>
                <w:sz w:val="20"/>
                <w:szCs w:val="20"/>
              </w:rPr>
              <w:t>27</w:t>
            </w:r>
          </w:p>
        </w:tc>
      </w:tr>
      <w:tr w:rsidR="0026064C" w:rsidRPr="00EA0DC7" w14:paraId="2A02F22D" w14:textId="77777777" w:rsidTr="004979A5">
        <w:trPr>
          <w:trHeight w:val="80"/>
        </w:trPr>
        <w:tc>
          <w:tcPr>
            <w:tcW w:w="739" w:type="dxa"/>
            <w:tcBorders>
              <w:top w:val="nil"/>
              <w:left w:val="nil"/>
              <w:bottom w:val="single" w:sz="8" w:space="0" w:color="000000"/>
              <w:right w:val="nil"/>
            </w:tcBorders>
            <w:shd w:val="clear" w:color="auto" w:fill="auto"/>
            <w:noWrap/>
            <w:hideMark/>
          </w:tcPr>
          <w:p w14:paraId="48B9DD92"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2015*</w:t>
            </w:r>
          </w:p>
        </w:tc>
        <w:tc>
          <w:tcPr>
            <w:tcW w:w="2351" w:type="dxa"/>
            <w:tcBorders>
              <w:top w:val="nil"/>
              <w:left w:val="nil"/>
              <w:bottom w:val="single" w:sz="8" w:space="0" w:color="000000"/>
              <w:right w:val="nil"/>
            </w:tcBorders>
            <w:shd w:val="clear" w:color="auto" w:fill="auto"/>
            <w:hideMark/>
          </w:tcPr>
          <w:p w14:paraId="1D761231"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Supervising the counsellor and psychotherapist </w:t>
            </w:r>
            <w:r w:rsidRPr="00EA0DC7">
              <w:rPr>
                <w:rFonts w:eastAsia="Times New Roman" w:cs="Arial"/>
                <w:noProof/>
                <w:sz w:val="20"/>
                <w:szCs w:val="20"/>
              </w:rPr>
              <w:t>(Page &amp; Wosket, 2015)</w:t>
            </w:r>
          </w:p>
        </w:tc>
        <w:tc>
          <w:tcPr>
            <w:tcW w:w="1887" w:type="dxa"/>
            <w:tcBorders>
              <w:top w:val="nil"/>
              <w:left w:val="nil"/>
              <w:bottom w:val="single" w:sz="8" w:space="0" w:color="000000"/>
              <w:right w:val="nil"/>
            </w:tcBorders>
            <w:shd w:val="clear" w:color="auto" w:fill="auto"/>
            <w:hideMark/>
          </w:tcPr>
          <w:p w14:paraId="55A4A7B5"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 xml:space="preserve">Cyclical Model of Supervision </w:t>
            </w:r>
          </w:p>
        </w:tc>
        <w:tc>
          <w:tcPr>
            <w:tcW w:w="3969" w:type="dxa"/>
            <w:tcBorders>
              <w:top w:val="nil"/>
              <w:left w:val="nil"/>
              <w:bottom w:val="single" w:sz="8" w:space="0" w:color="000000"/>
              <w:right w:val="nil"/>
            </w:tcBorders>
            <w:shd w:val="clear" w:color="auto" w:fill="auto"/>
            <w:hideMark/>
          </w:tcPr>
          <w:p w14:paraId="28C2B6A7" w14:textId="77777777" w:rsidR="0026064C" w:rsidRPr="00EA0DC7" w:rsidRDefault="0026064C" w:rsidP="00CA2778">
            <w:pPr>
              <w:spacing w:line="240" w:lineRule="auto"/>
              <w:jc w:val="left"/>
              <w:rPr>
                <w:rFonts w:eastAsia="Times New Roman" w:cs="Arial"/>
                <w:sz w:val="20"/>
                <w:szCs w:val="20"/>
              </w:rPr>
            </w:pPr>
            <w:r w:rsidRPr="00EA0DC7">
              <w:rPr>
                <w:rFonts w:eastAsia="Times New Roman" w:cs="Arial"/>
                <w:sz w:val="20"/>
                <w:szCs w:val="20"/>
              </w:rPr>
              <w:t>Addresses the structure of supervision sessions. The model has five stages: contract, focus, space, bridge, and review.</w:t>
            </w:r>
          </w:p>
        </w:tc>
        <w:tc>
          <w:tcPr>
            <w:tcW w:w="1362" w:type="dxa"/>
            <w:tcBorders>
              <w:top w:val="nil"/>
              <w:left w:val="nil"/>
              <w:bottom w:val="single" w:sz="8" w:space="0" w:color="000000"/>
              <w:right w:val="nil"/>
            </w:tcBorders>
            <w:shd w:val="clear" w:color="auto" w:fill="auto"/>
            <w:noWrap/>
            <w:vAlign w:val="center"/>
            <w:hideMark/>
          </w:tcPr>
          <w:p w14:paraId="50E5EDB9"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206" w:type="dxa"/>
            <w:tcBorders>
              <w:top w:val="nil"/>
              <w:left w:val="nil"/>
              <w:bottom w:val="single" w:sz="8" w:space="0" w:color="000000"/>
              <w:right w:val="nil"/>
            </w:tcBorders>
            <w:shd w:val="clear" w:color="auto" w:fill="auto"/>
            <w:noWrap/>
            <w:vAlign w:val="center"/>
            <w:hideMark/>
          </w:tcPr>
          <w:p w14:paraId="1FDDAFDF"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106" w:type="dxa"/>
            <w:tcBorders>
              <w:top w:val="nil"/>
              <w:left w:val="nil"/>
              <w:bottom w:val="single" w:sz="8" w:space="0" w:color="000000"/>
              <w:right w:val="nil"/>
            </w:tcBorders>
            <w:shd w:val="clear" w:color="auto" w:fill="auto"/>
            <w:noWrap/>
            <w:vAlign w:val="center"/>
            <w:hideMark/>
          </w:tcPr>
          <w:p w14:paraId="16B0B370" w14:textId="77777777" w:rsidR="0026064C" w:rsidRPr="00EA0DC7" w:rsidRDefault="0026064C" w:rsidP="004979A5">
            <w:pPr>
              <w:spacing w:line="240" w:lineRule="auto"/>
              <w:jc w:val="center"/>
              <w:rPr>
                <w:rFonts w:ascii="Wingdings" w:eastAsia="Times New Roman" w:hAnsi="Wingdings" w:cs="Times New Roman"/>
                <w:sz w:val="20"/>
                <w:szCs w:val="20"/>
              </w:rPr>
            </w:pPr>
            <w:r w:rsidRPr="00EA0DC7">
              <w:rPr>
                <w:rFonts w:ascii="Wingdings" w:eastAsia="Times New Roman" w:hAnsi="Wingdings" w:cs="Times New Roman"/>
                <w:sz w:val="20"/>
                <w:szCs w:val="20"/>
              </w:rPr>
              <w:sym w:font="Wingdings" w:char="F0FC"/>
            </w:r>
          </w:p>
        </w:tc>
        <w:tc>
          <w:tcPr>
            <w:tcW w:w="1361" w:type="dxa"/>
            <w:tcBorders>
              <w:top w:val="nil"/>
              <w:left w:val="nil"/>
              <w:bottom w:val="single" w:sz="8" w:space="0" w:color="000000"/>
              <w:right w:val="nil"/>
            </w:tcBorders>
            <w:shd w:val="clear" w:color="auto" w:fill="auto"/>
            <w:vAlign w:val="center"/>
            <w:hideMark/>
          </w:tcPr>
          <w:p w14:paraId="13E096B9" w14:textId="77777777" w:rsidR="0026064C" w:rsidRPr="00EA0DC7" w:rsidRDefault="0026064C" w:rsidP="004979A5">
            <w:pPr>
              <w:spacing w:line="240" w:lineRule="auto"/>
              <w:jc w:val="center"/>
              <w:rPr>
                <w:rFonts w:eastAsia="Times New Roman" w:cs="Arial"/>
                <w:sz w:val="20"/>
                <w:szCs w:val="20"/>
              </w:rPr>
            </w:pPr>
            <w:r w:rsidRPr="00EA0DC7">
              <w:rPr>
                <w:rFonts w:eastAsia="Times New Roman" w:cs="Arial"/>
                <w:sz w:val="20"/>
                <w:szCs w:val="20"/>
              </w:rPr>
              <w:t>30</w:t>
            </w:r>
          </w:p>
        </w:tc>
      </w:tr>
    </w:tbl>
    <w:p w14:paraId="4E118050" w14:textId="77777777" w:rsidR="0026064C" w:rsidRPr="00EA0DC7" w:rsidRDefault="0026064C" w:rsidP="0026064C">
      <w:pPr>
        <w:spacing w:after="0"/>
        <w:ind w:firstLine="720"/>
        <w:rPr>
          <w:rFonts w:eastAsia="Times New Roman" w:cs="Arial"/>
          <w:b/>
          <w:szCs w:val="24"/>
        </w:rPr>
        <w:sectPr w:rsidR="0026064C" w:rsidRPr="00EA0DC7" w:rsidSect="002A29D3">
          <w:pgSz w:w="16838" w:h="11906" w:orient="landscape" w:code="9"/>
          <w:pgMar w:top="1440" w:right="1440" w:bottom="2268" w:left="1440" w:header="709" w:footer="709" w:gutter="0"/>
          <w:cols w:space="708"/>
          <w:docGrid w:linePitch="360"/>
        </w:sectPr>
      </w:pPr>
    </w:p>
    <w:p w14:paraId="18FBA898" w14:textId="29B9A59A" w:rsidR="00583C18" w:rsidRPr="00EA0DC7" w:rsidRDefault="00583C18" w:rsidP="00583C18">
      <w:pPr>
        <w:pStyle w:val="Heading4"/>
      </w:pPr>
      <w:r w:rsidRPr="00EA0DC7">
        <w:lastRenderedPageBreak/>
        <w:t xml:space="preserve">2.3.1.1 </w:t>
      </w:r>
      <w:r w:rsidR="0026064C" w:rsidRPr="00EA0DC7">
        <w:t>People in supervision</w:t>
      </w:r>
    </w:p>
    <w:p w14:paraId="10746059" w14:textId="329BAAFE" w:rsidR="0026064C" w:rsidRPr="00EA0DC7" w:rsidRDefault="0026064C" w:rsidP="0026064C">
      <w:pPr>
        <w:spacing w:after="0"/>
        <w:ind w:firstLine="720"/>
        <w:rPr>
          <w:rFonts w:eastAsia="Times New Roman" w:cs="Times New Roman"/>
        </w:rPr>
      </w:pPr>
      <w:r w:rsidRPr="00EA0DC7">
        <w:rPr>
          <w:rFonts w:eastAsia="Times New Roman" w:cs="Times New Roman"/>
        </w:rPr>
        <w:t xml:space="preserve">Considering the three parties in the supervision process, the content of most models includes a focus on the supervisee (94.23%) and on the supervisor (80.77%). In contrast, only half include a focus on the client (48.08%). Thus, many more aspects of the supervisee and supervisor are discussed in the models than aspects of the client, as summarised in Table 2.2. See Appendices </w:t>
      </w:r>
      <w:r w:rsidR="0049544F" w:rsidRPr="00EA0DC7">
        <w:rPr>
          <w:rFonts w:eastAsia="Times New Roman" w:cs="Times New Roman"/>
        </w:rPr>
        <w:t>2</w:t>
      </w:r>
      <w:r w:rsidRPr="00EA0DC7">
        <w:rPr>
          <w:rFonts w:eastAsia="Times New Roman" w:cs="Times New Roman"/>
        </w:rPr>
        <w:t xml:space="preserve">B to </w:t>
      </w:r>
      <w:r w:rsidR="0049544F" w:rsidRPr="00EA0DC7">
        <w:rPr>
          <w:rFonts w:eastAsia="Times New Roman" w:cs="Times New Roman"/>
        </w:rPr>
        <w:t>2</w:t>
      </w:r>
      <w:r w:rsidRPr="00EA0DC7">
        <w:rPr>
          <w:rFonts w:eastAsia="Times New Roman" w:cs="Times New Roman"/>
        </w:rPr>
        <w:t xml:space="preserve">E for more details. </w:t>
      </w:r>
    </w:p>
    <w:p w14:paraId="5BA0DD4B" w14:textId="77777777" w:rsidR="0026064C" w:rsidRPr="00EA0DC7" w:rsidRDefault="0026064C" w:rsidP="0026064C">
      <w:pPr>
        <w:spacing w:after="120" w:line="240" w:lineRule="auto"/>
        <w:rPr>
          <w:rFonts w:ascii="Times" w:eastAsia="Times New Roman" w:hAnsi="Times" w:cs="Times New Roman"/>
          <w:iCs/>
          <w:szCs w:val="24"/>
        </w:rPr>
      </w:pPr>
    </w:p>
    <w:p w14:paraId="45567178" w14:textId="77777777" w:rsidR="0026064C" w:rsidRPr="00EA0DC7" w:rsidRDefault="0026064C" w:rsidP="0026064C">
      <w:pPr>
        <w:spacing w:after="120" w:line="240" w:lineRule="auto"/>
        <w:rPr>
          <w:rFonts w:eastAsia="Times New Roman" w:cs="Arial"/>
          <w:iCs/>
          <w:szCs w:val="24"/>
        </w:rPr>
        <w:sectPr w:rsidR="0026064C" w:rsidRPr="00EA0DC7" w:rsidSect="007D633C">
          <w:pgSz w:w="11906" w:h="16838"/>
          <w:pgMar w:top="1440" w:right="1440" w:bottom="1440" w:left="2268" w:header="709" w:footer="709" w:gutter="0"/>
          <w:cols w:space="708"/>
          <w:docGrid w:linePitch="360"/>
        </w:sectPr>
      </w:pPr>
    </w:p>
    <w:p w14:paraId="204BDFAA" w14:textId="4AA08C11" w:rsidR="0026064C" w:rsidRPr="00EA0DC7" w:rsidRDefault="003941AA" w:rsidP="003941AA">
      <w:pPr>
        <w:pStyle w:val="Captions"/>
        <w:rPr>
          <w:rFonts w:eastAsia="Times New Roman" w:cs="Arial"/>
          <w:iCs/>
          <w:szCs w:val="24"/>
        </w:rPr>
      </w:pPr>
      <w:bookmarkStart w:id="76" w:name="_Toc47039918"/>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008A7246" w:rsidRPr="00EA0DC7">
        <w:t>.</w:t>
      </w:r>
      <w:r w:rsidR="004F2FDB">
        <w:fldChar w:fldCharType="begin"/>
      </w:r>
      <w:r w:rsidR="004F2FDB">
        <w:instrText xml:space="preserve"> SEQ Table \* ARABIC \s 1 </w:instrText>
      </w:r>
      <w:r w:rsidR="004F2FDB">
        <w:fldChar w:fldCharType="separate"/>
      </w:r>
      <w:r w:rsidR="00694354">
        <w:rPr>
          <w:noProof/>
        </w:rPr>
        <w:t>2</w:t>
      </w:r>
      <w:r w:rsidR="004F2FDB">
        <w:rPr>
          <w:noProof/>
        </w:rPr>
        <w:fldChar w:fldCharType="end"/>
      </w:r>
      <w:r w:rsidRPr="00EA0DC7">
        <w:t>. Focus on the aspects of individuals involved in the supervision process.</w:t>
      </w:r>
      <w:bookmarkEnd w:id="76"/>
    </w:p>
    <w:tbl>
      <w:tblPr>
        <w:tblStyle w:val="TableGrid1"/>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01"/>
        <w:gridCol w:w="992"/>
        <w:gridCol w:w="2127"/>
        <w:gridCol w:w="1134"/>
        <w:gridCol w:w="1417"/>
        <w:gridCol w:w="2126"/>
        <w:gridCol w:w="1134"/>
        <w:gridCol w:w="993"/>
      </w:tblGrid>
      <w:tr w:rsidR="0026064C" w:rsidRPr="00EA0DC7" w14:paraId="4ACF8181" w14:textId="77777777" w:rsidTr="00D61712">
        <w:tc>
          <w:tcPr>
            <w:tcW w:w="2410" w:type="dxa"/>
            <w:tcBorders>
              <w:top w:val="single" w:sz="4" w:space="0" w:color="auto"/>
              <w:bottom w:val="single" w:sz="4" w:space="0" w:color="auto"/>
            </w:tcBorders>
            <w:vAlign w:val="center"/>
          </w:tcPr>
          <w:p w14:paraId="19D032C9"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Supervisor elements</w:t>
            </w:r>
          </w:p>
        </w:tc>
        <w:tc>
          <w:tcPr>
            <w:tcW w:w="1701" w:type="dxa"/>
            <w:tcBorders>
              <w:top w:val="single" w:sz="4" w:space="0" w:color="auto"/>
              <w:bottom w:val="single" w:sz="4" w:space="0" w:color="auto"/>
            </w:tcBorders>
            <w:vAlign w:val="center"/>
          </w:tcPr>
          <w:p w14:paraId="6338FB12"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No. of models</w:t>
            </w:r>
          </w:p>
        </w:tc>
        <w:tc>
          <w:tcPr>
            <w:tcW w:w="992" w:type="dxa"/>
            <w:tcBorders>
              <w:top w:val="single" w:sz="4" w:space="0" w:color="auto"/>
              <w:bottom w:val="single" w:sz="4" w:space="0" w:color="auto"/>
            </w:tcBorders>
            <w:vAlign w:val="center"/>
          </w:tcPr>
          <w:p w14:paraId="1C04C845"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w:t>
            </w:r>
          </w:p>
        </w:tc>
        <w:tc>
          <w:tcPr>
            <w:tcW w:w="2127" w:type="dxa"/>
            <w:tcBorders>
              <w:top w:val="single" w:sz="4" w:space="0" w:color="auto"/>
              <w:bottom w:val="single" w:sz="4" w:space="0" w:color="auto"/>
            </w:tcBorders>
            <w:vAlign w:val="center"/>
          </w:tcPr>
          <w:p w14:paraId="7E83B3AA"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Supervisee elements</w:t>
            </w:r>
          </w:p>
        </w:tc>
        <w:tc>
          <w:tcPr>
            <w:tcW w:w="1134" w:type="dxa"/>
            <w:tcBorders>
              <w:top w:val="single" w:sz="4" w:space="0" w:color="auto"/>
              <w:bottom w:val="single" w:sz="4" w:space="0" w:color="auto"/>
            </w:tcBorders>
            <w:vAlign w:val="center"/>
          </w:tcPr>
          <w:p w14:paraId="1D906E3B"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No. of models</w:t>
            </w:r>
          </w:p>
        </w:tc>
        <w:tc>
          <w:tcPr>
            <w:tcW w:w="1417" w:type="dxa"/>
            <w:tcBorders>
              <w:top w:val="single" w:sz="4" w:space="0" w:color="auto"/>
              <w:bottom w:val="single" w:sz="4" w:space="0" w:color="auto"/>
            </w:tcBorders>
            <w:vAlign w:val="center"/>
          </w:tcPr>
          <w:p w14:paraId="48E18F72"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w:t>
            </w:r>
          </w:p>
        </w:tc>
        <w:tc>
          <w:tcPr>
            <w:tcW w:w="2126" w:type="dxa"/>
            <w:tcBorders>
              <w:top w:val="single" w:sz="4" w:space="0" w:color="auto"/>
              <w:bottom w:val="single" w:sz="4" w:space="0" w:color="auto"/>
            </w:tcBorders>
            <w:vAlign w:val="center"/>
          </w:tcPr>
          <w:p w14:paraId="1048E33B"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Client elements</w:t>
            </w:r>
          </w:p>
        </w:tc>
        <w:tc>
          <w:tcPr>
            <w:tcW w:w="1134" w:type="dxa"/>
            <w:tcBorders>
              <w:top w:val="single" w:sz="4" w:space="0" w:color="auto"/>
              <w:bottom w:val="single" w:sz="4" w:space="0" w:color="auto"/>
            </w:tcBorders>
            <w:vAlign w:val="center"/>
          </w:tcPr>
          <w:p w14:paraId="5742079A"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No. of models</w:t>
            </w:r>
          </w:p>
        </w:tc>
        <w:tc>
          <w:tcPr>
            <w:tcW w:w="993" w:type="dxa"/>
            <w:tcBorders>
              <w:top w:val="single" w:sz="4" w:space="0" w:color="auto"/>
              <w:bottom w:val="single" w:sz="4" w:space="0" w:color="auto"/>
            </w:tcBorders>
            <w:vAlign w:val="center"/>
          </w:tcPr>
          <w:p w14:paraId="1B2A8F7D"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w:t>
            </w:r>
          </w:p>
        </w:tc>
      </w:tr>
      <w:tr w:rsidR="0026064C" w:rsidRPr="00EA0DC7" w14:paraId="4FC5DCEF" w14:textId="77777777" w:rsidTr="00D61712">
        <w:tc>
          <w:tcPr>
            <w:tcW w:w="2410" w:type="dxa"/>
            <w:tcBorders>
              <w:top w:val="single" w:sz="4" w:space="0" w:color="auto"/>
            </w:tcBorders>
          </w:tcPr>
          <w:p w14:paraId="15A81C90" w14:textId="77777777" w:rsidR="0026064C" w:rsidRPr="00EA0DC7" w:rsidRDefault="0026064C" w:rsidP="001E34B3">
            <w:pPr>
              <w:spacing w:before="240" w:after="120" w:line="240" w:lineRule="auto"/>
              <w:jc w:val="left"/>
              <w:rPr>
                <w:rFonts w:eastAsia="Times New Roman" w:cs="Arial"/>
              </w:rPr>
            </w:pPr>
            <w:r w:rsidRPr="00EA0DC7">
              <w:rPr>
                <w:rFonts w:eastAsia="Times New Roman" w:cs="Arial"/>
              </w:rPr>
              <w:t>Focus on supervisor</w:t>
            </w:r>
          </w:p>
        </w:tc>
        <w:tc>
          <w:tcPr>
            <w:tcW w:w="1701" w:type="dxa"/>
            <w:tcBorders>
              <w:top w:val="single" w:sz="4" w:space="0" w:color="auto"/>
            </w:tcBorders>
          </w:tcPr>
          <w:p w14:paraId="6D5C8CF6"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42</w:t>
            </w:r>
          </w:p>
        </w:tc>
        <w:tc>
          <w:tcPr>
            <w:tcW w:w="992" w:type="dxa"/>
            <w:tcBorders>
              <w:top w:val="single" w:sz="4" w:space="0" w:color="auto"/>
            </w:tcBorders>
          </w:tcPr>
          <w:p w14:paraId="1298B29B"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80.77</w:t>
            </w:r>
          </w:p>
        </w:tc>
        <w:tc>
          <w:tcPr>
            <w:tcW w:w="2127" w:type="dxa"/>
            <w:tcBorders>
              <w:top w:val="single" w:sz="4" w:space="0" w:color="auto"/>
            </w:tcBorders>
          </w:tcPr>
          <w:p w14:paraId="070893E4" w14:textId="77777777" w:rsidR="0026064C" w:rsidRPr="00EA0DC7" w:rsidRDefault="0026064C" w:rsidP="001E34B3">
            <w:pPr>
              <w:spacing w:before="240" w:after="200" w:line="240" w:lineRule="auto"/>
              <w:jc w:val="left"/>
              <w:rPr>
                <w:rFonts w:eastAsia="Times New Roman" w:cs="Arial"/>
              </w:rPr>
            </w:pPr>
            <w:r w:rsidRPr="00EA0DC7">
              <w:rPr>
                <w:rFonts w:eastAsia="Times New Roman" w:cs="Arial"/>
              </w:rPr>
              <w:t>Focus on supervisee</w:t>
            </w:r>
          </w:p>
        </w:tc>
        <w:tc>
          <w:tcPr>
            <w:tcW w:w="1134" w:type="dxa"/>
            <w:tcBorders>
              <w:top w:val="single" w:sz="4" w:space="0" w:color="auto"/>
            </w:tcBorders>
          </w:tcPr>
          <w:p w14:paraId="6F1E526A"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49</w:t>
            </w:r>
          </w:p>
        </w:tc>
        <w:tc>
          <w:tcPr>
            <w:tcW w:w="1417" w:type="dxa"/>
            <w:tcBorders>
              <w:top w:val="single" w:sz="4" w:space="0" w:color="auto"/>
            </w:tcBorders>
          </w:tcPr>
          <w:p w14:paraId="794C9C5F"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94.23</w:t>
            </w:r>
          </w:p>
        </w:tc>
        <w:tc>
          <w:tcPr>
            <w:tcW w:w="2126" w:type="dxa"/>
            <w:tcBorders>
              <w:top w:val="single" w:sz="4" w:space="0" w:color="auto"/>
            </w:tcBorders>
          </w:tcPr>
          <w:p w14:paraId="0B17F010" w14:textId="77777777" w:rsidR="0026064C" w:rsidRPr="00EA0DC7" w:rsidRDefault="0026064C" w:rsidP="001E34B3">
            <w:pPr>
              <w:spacing w:before="240" w:after="200" w:line="240" w:lineRule="auto"/>
              <w:jc w:val="left"/>
              <w:rPr>
                <w:rFonts w:eastAsia="Times New Roman" w:cs="Arial"/>
              </w:rPr>
            </w:pPr>
            <w:r w:rsidRPr="00EA0DC7">
              <w:rPr>
                <w:rFonts w:eastAsia="Times New Roman" w:cs="Arial"/>
              </w:rPr>
              <w:t>Focus on client</w:t>
            </w:r>
          </w:p>
        </w:tc>
        <w:tc>
          <w:tcPr>
            <w:tcW w:w="1134" w:type="dxa"/>
            <w:tcBorders>
              <w:top w:val="single" w:sz="4" w:space="0" w:color="auto"/>
            </w:tcBorders>
          </w:tcPr>
          <w:p w14:paraId="3061398E"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25</w:t>
            </w:r>
          </w:p>
        </w:tc>
        <w:tc>
          <w:tcPr>
            <w:tcW w:w="993" w:type="dxa"/>
            <w:tcBorders>
              <w:top w:val="single" w:sz="4" w:space="0" w:color="auto"/>
            </w:tcBorders>
          </w:tcPr>
          <w:p w14:paraId="1CE9C8B7" w14:textId="77777777" w:rsidR="0026064C" w:rsidRPr="00EA0DC7" w:rsidRDefault="0026064C" w:rsidP="001E34B3">
            <w:pPr>
              <w:spacing w:before="240" w:after="200" w:line="240" w:lineRule="auto"/>
              <w:jc w:val="center"/>
              <w:rPr>
                <w:rFonts w:eastAsia="Times New Roman" w:cs="Arial"/>
              </w:rPr>
            </w:pPr>
            <w:r w:rsidRPr="00EA0DC7">
              <w:rPr>
                <w:rFonts w:eastAsia="Times New Roman" w:cs="Arial"/>
              </w:rPr>
              <w:t>48.08</w:t>
            </w:r>
          </w:p>
        </w:tc>
      </w:tr>
      <w:tr w:rsidR="0026064C" w:rsidRPr="00EA0DC7" w14:paraId="5940E3F7" w14:textId="77777777" w:rsidTr="00D61712">
        <w:tc>
          <w:tcPr>
            <w:tcW w:w="2410" w:type="dxa"/>
          </w:tcPr>
          <w:p w14:paraId="74B9AF76"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Supervisor’s personal characteristics</w:t>
            </w:r>
          </w:p>
        </w:tc>
        <w:tc>
          <w:tcPr>
            <w:tcW w:w="1701" w:type="dxa"/>
          </w:tcPr>
          <w:p w14:paraId="128D3EA0"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18</w:t>
            </w:r>
          </w:p>
        </w:tc>
        <w:tc>
          <w:tcPr>
            <w:tcW w:w="992" w:type="dxa"/>
          </w:tcPr>
          <w:p w14:paraId="4FA8443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34.62</w:t>
            </w:r>
          </w:p>
        </w:tc>
        <w:tc>
          <w:tcPr>
            <w:tcW w:w="2127" w:type="dxa"/>
          </w:tcPr>
          <w:p w14:paraId="054E8FE9"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Supervisee’s personal characteristics</w:t>
            </w:r>
          </w:p>
        </w:tc>
        <w:tc>
          <w:tcPr>
            <w:tcW w:w="1134" w:type="dxa"/>
          </w:tcPr>
          <w:p w14:paraId="31F39684"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38</w:t>
            </w:r>
          </w:p>
        </w:tc>
        <w:tc>
          <w:tcPr>
            <w:tcW w:w="1417" w:type="dxa"/>
          </w:tcPr>
          <w:p w14:paraId="68E21A9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65.38</w:t>
            </w:r>
          </w:p>
        </w:tc>
        <w:tc>
          <w:tcPr>
            <w:tcW w:w="2126" w:type="dxa"/>
          </w:tcPr>
          <w:p w14:paraId="45242957" w14:textId="77777777" w:rsidR="0026064C" w:rsidRPr="00EA0DC7" w:rsidRDefault="0026064C" w:rsidP="00F55236">
            <w:pPr>
              <w:spacing w:after="120" w:line="240" w:lineRule="auto"/>
              <w:jc w:val="left"/>
              <w:rPr>
                <w:rFonts w:eastAsia="Times New Roman" w:cs="Arial"/>
              </w:rPr>
            </w:pPr>
            <w:r w:rsidRPr="00EA0DC7">
              <w:rPr>
                <w:rFonts w:eastAsia="Times New Roman" w:cs="Arial"/>
              </w:rPr>
              <w:t>Client’s personal characteristics</w:t>
            </w:r>
          </w:p>
        </w:tc>
        <w:tc>
          <w:tcPr>
            <w:tcW w:w="1134" w:type="dxa"/>
          </w:tcPr>
          <w:p w14:paraId="1752D7C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4</w:t>
            </w:r>
          </w:p>
        </w:tc>
        <w:tc>
          <w:tcPr>
            <w:tcW w:w="993" w:type="dxa"/>
          </w:tcPr>
          <w:p w14:paraId="602DD49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7.69</w:t>
            </w:r>
          </w:p>
        </w:tc>
      </w:tr>
      <w:tr w:rsidR="0026064C" w:rsidRPr="00EA0DC7" w14:paraId="5488AC0D" w14:textId="77777777" w:rsidTr="00D61712">
        <w:tc>
          <w:tcPr>
            <w:tcW w:w="2410" w:type="dxa"/>
          </w:tcPr>
          <w:p w14:paraId="29766F65" w14:textId="77777777" w:rsidR="0026064C" w:rsidRPr="00EA0DC7" w:rsidRDefault="0026064C" w:rsidP="00F55236">
            <w:pPr>
              <w:spacing w:after="120" w:line="240" w:lineRule="auto"/>
              <w:jc w:val="left"/>
              <w:rPr>
                <w:rFonts w:eastAsia="Times New Roman" w:cs="Arial"/>
              </w:rPr>
            </w:pPr>
            <w:r w:rsidRPr="00EA0DC7">
              <w:rPr>
                <w:rFonts w:eastAsia="Times New Roman" w:cs="Arial"/>
              </w:rPr>
              <w:t>Development of supervisor</w:t>
            </w:r>
          </w:p>
        </w:tc>
        <w:tc>
          <w:tcPr>
            <w:tcW w:w="1701" w:type="dxa"/>
          </w:tcPr>
          <w:p w14:paraId="3F9C486A"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5</w:t>
            </w:r>
          </w:p>
        </w:tc>
        <w:tc>
          <w:tcPr>
            <w:tcW w:w="992" w:type="dxa"/>
          </w:tcPr>
          <w:p w14:paraId="6992D25D"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9.62</w:t>
            </w:r>
          </w:p>
        </w:tc>
        <w:tc>
          <w:tcPr>
            <w:tcW w:w="2127" w:type="dxa"/>
          </w:tcPr>
          <w:p w14:paraId="409D1B0B" w14:textId="77777777" w:rsidR="0026064C" w:rsidRPr="00EA0DC7" w:rsidRDefault="0026064C" w:rsidP="00F55236">
            <w:pPr>
              <w:spacing w:after="120" w:line="240" w:lineRule="auto"/>
              <w:jc w:val="left"/>
              <w:rPr>
                <w:rFonts w:eastAsia="Times New Roman" w:cs="Arial"/>
              </w:rPr>
            </w:pPr>
            <w:r w:rsidRPr="00EA0DC7">
              <w:rPr>
                <w:rFonts w:eastAsia="Times New Roman" w:cs="Arial"/>
              </w:rPr>
              <w:t>Development of supervisee</w:t>
            </w:r>
          </w:p>
        </w:tc>
        <w:tc>
          <w:tcPr>
            <w:tcW w:w="1134" w:type="dxa"/>
          </w:tcPr>
          <w:p w14:paraId="662345FE"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29</w:t>
            </w:r>
          </w:p>
        </w:tc>
        <w:tc>
          <w:tcPr>
            <w:tcW w:w="1417" w:type="dxa"/>
          </w:tcPr>
          <w:p w14:paraId="724108A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55.77</w:t>
            </w:r>
          </w:p>
        </w:tc>
        <w:tc>
          <w:tcPr>
            <w:tcW w:w="2126" w:type="dxa"/>
          </w:tcPr>
          <w:p w14:paraId="43F6A1CD" w14:textId="77777777" w:rsidR="0026064C" w:rsidRPr="00EA0DC7" w:rsidRDefault="0026064C" w:rsidP="00F55236">
            <w:pPr>
              <w:spacing w:after="120" w:line="240" w:lineRule="auto"/>
              <w:jc w:val="left"/>
              <w:rPr>
                <w:rFonts w:eastAsia="Times New Roman" w:cs="Arial"/>
              </w:rPr>
            </w:pPr>
            <w:r w:rsidRPr="00EA0DC7">
              <w:rPr>
                <w:rFonts w:eastAsia="Times New Roman" w:cs="Arial"/>
              </w:rPr>
              <w:t>Development of client</w:t>
            </w:r>
          </w:p>
        </w:tc>
        <w:tc>
          <w:tcPr>
            <w:tcW w:w="1134" w:type="dxa"/>
          </w:tcPr>
          <w:p w14:paraId="67A9FDED"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w:t>
            </w:r>
          </w:p>
        </w:tc>
        <w:tc>
          <w:tcPr>
            <w:tcW w:w="993" w:type="dxa"/>
          </w:tcPr>
          <w:p w14:paraId="7F7F5FB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1.92</w:t>
            </w:r>
          </w:p>
        </w:tc>
      </w:tr>
      <w:tr w:rsidR="0026064C" w:rsidRPr="00EA0DC7" w14:paraId="13EB9488" w14:textId="77777777" w:rsidTr="00D61712">
        <w:tc>
          <w:tcPr>
            <w:tcW w:w="2410" w:type="dxa"/>
          </w:tcPr>
          <w:p w14:paraId="1A3D5933"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 gender</w:t>
            </w:r>
          </w:p>
        </w:tc>
        <w:tc>
          <w:tcPr>
            <w:tcW w:w="1701" w:type="dxa"/>
          </w:tcPr>
          <w:p w14:paraId="3E93B146"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9</w:t>
            </w:r>
          </w:p>
        </w:tc>
        <w:tc>
          <w:tcPr>
            <w:tcW w:w="992" w:type="dxa"/>
          </w:tcPr>
          <w:p w14:paraId="4304A9AA"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17.31</w:t>
            </w:r>
          </w:p>
        </w:tc>
        <w:tc>
          <w:tcPr>
            <w:tcW w:w="2127" w:type="dxa"/>
          </w:tcPr>
          <w:p w14:paraId="24EDB36E"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Supervisee gender</w:t>
            </w:r>
          </w:p>
        </w:tc>
        <w:tc>
          <w:tcPr>
            <w:tcW w:w="1134" w:type="dxa"/>
          </w:tcPr>
          <w:p w14:paraId="4E09402D"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18</w:t>
            </w:r>
          </w:p>
        </w:tc>
        <w:tc>
          <w:tcPr>
            <w:tcW w:w="1417" w:type="dxa"/>
          </w:tcPr>
          <w:p w14:paraId="53EFE78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34.62</w:t>
            </w:r>
          </w:p>
        </w:tc>
        <w:tc>
          <w:tcPr>
            <w:tcW w:w="2126" w:type="dxa"/>
          </w:tcPr>
          <w:p w14:paraId="3592C099" w14:textId="77777777" w:rsidR="0026064C" w:rsidRPr="00EA0DC7" w:rsidRDefault="0026064C" w:rsidP="00F55236">
            <w:pPr>
              <w:spacing w:after="120" w:line="240" w:lineRule="auto"/>
              <w:jc w:val="left"/>
              <w:rPr>
                <w:rFonts w:eastAsia="Times New Roman" w:cs="Arial"/>
              </w:rPr>
            </w:pPr>
            <w:r w:rsidRPr="00EA0DC7">
              <w:rPr>
                <w:rFonts w:eastAsia="Times New Roman" w:cs="Arial"/>
              </w:rPr>
              <w:t>Client’s gender</w:t>
            </w:r>
          </w:p>
        </w:tc>
        <w:tc>
          <w:tcPr>
            <w:tcW w:w="1134" w:type="dxa"/>
          </w:tcPr>
          <w:p w14:paraId="59F38625"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w:t>
            </w:r>
          </w:p>
        </w:tc>
        <w:tc>
          <w:tcPr>
            <w:tcW w:w="993" w:type="dxa"/>
          </w:tcPr>
          <w:p w14:paraId="6E6E2E1A"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3.85</w:t>
            </w:r>
          </w:p>
        </w:tc>
      </w:tr>
      <w:tr w:rsidR="0026064C" w:rsidRPr="00EA0DC7" w14:paraId="3586AC6A" w14:textId="77777777" w:rsidTr="00D61712">
        <w:tc>
          <w:tcPr>
            <w:tcW w:w="2410" w:type="dxa"/>
          </w:tcPr>
          <w:p w14:paraId="4FADED43"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 ethnicity/ culture</w:t>
            </w:r>
          </w:p>
        </w:tc>
        <w:tc>
          <w:tcPr>
            <w:tcW w:w="1701" w:type="dxa"/>
          </w:tcPr>
          <w:p w14:paraId="5E740498"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7</w:t>
            </w:r>
          </w:p>
        </w:tc>
        <w:tc>
          <w:tcPr>
            <w:tcW w:w="992" w:type="dxa"/>
          </w:tcPr>
          <w:p w14:paraId="23E13295"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13.46</w:t>
            </w:r>
          </w:p>
        </w:tc>
        <w:tc>
          <w:tcPr>
            <w:tcW w:w="2127" w:type="dxa"/>
          </w:tcPr>
          <w:p w14:paraId="115E3F2B"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Supervisee ethnicity/ culture</w:t>
            </w:r>
          </w:p>
        </w:tc>
        <w:tc>
          <w:tcPr>
            <w:tcW w:w="1134" w:type="dxa"/>
          </w:tcPr>
          <w:p w14:paraId="67AA2192"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13</w:t>
            </w:r>
          </w:p>
        </w:tc>
        <w:tc>
          <w:tcPr>
            <w:tcW w:w="1417" w:type="dxa"/>
          </w:tcPr>
          <w:p w14:paraId="04D6CCC9"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25</w:t>
            </w:r>
          </w:p>
        </w:tc>
        <w:tc>
          <w:tcPr>
            <w:tcW w:w="2126" w:type="dxa"/>
          </w:tcPr>
          <w:p w14:paraId="3F7B0054" w14:textId="77777777" w:rsidR="0026064C" w:rsidRPr="00EA0DC7" w:rsidRDefault="0026064C" w:rsidP="00F55236">
            <w:pPr>
              <w:spacing w:after="120" w:line="240" w:lineRule="auto"/>
              <w:jc w:val="left"/>
              <w:rPr>
                <w:rFonts w:eastAsia="Times New Roman" w:cs="Arial"/>
              </w:rPr>
            </w:pPr>
            <w:r w:rsidRPr="00EA0DC7">
              <w:rPr>
                <w:rFonts w:eastAsia="Times New Roman" w:cs="Arial"/>
              </w:rPr>
              <w:t>Client’s ethnicity/ culture</w:t>
            </w:r>
          </w:p>
        </w:tc>
        <w:tc>
          <w:tcPr>
            <w:tcW w:w="1134" w:type="dxa"/>
          </w:tcPr>
          <w:p w14:paraId="6CC87107"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w:t>
            </w:r>
          </w:p>
        </w:tc>
        <w:tc>
          <w:tcPr>
            <w:tcW w:w="993" w:type="dxa"/>
          </w:tcPr>
          <w:p w14:paraId="60A50391"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5.77</w:t>
            </w:r>
          </w:p>
        </w:tc>
      </w:tr>
      <w:tr w:rsidR="0026064C" w:rsidRPr="00EA0DC7" w14:paraId="2E761C34" w14:textId="77777777" w:rsidTr="00D61712">
        <w:tc>
          <w:tcPr>
            <w:tcW w:w="2410" w:type="dxa"/>
          </w:tcPr>
          <w:p w14:paraId="0A913714"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 anxiety</w:t>
            </w:r>
          </w:p>
        </w:tc>
        <w:tc>
          <w:tcPr>
            <w:tcW w:w="1701" w:type="dxa"/>
          </w:tcPr>
          <w:p w14:paraId="7FFAA23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w:t>
            </w:r>
          </w:p>
        </w:tc>
        <w:tc>
          <w:tcPr>
            <w:tcW w:w="992" w:type="dxa"/>
          </w:tcPr>
          <w:p w14:paraId="4D2D779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5.77</w:t>
            </w:r>
          </w:p>
        </w:tc>
        <w:tc>
          <w:tcPr>
            <w:tcW w:w="2127" w:type="dxa"/>
          </w:tcPr>
          <w:p w14:paraId="645289E4"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Supervisee anxiety</w:t>
            </w:r>
          </w:p>
        </w:tc>
        <w:tc>
          <w:tcPr>
            <w:tcW w:w="1134" w:type="dxa"/>
          </w:tcPr>
          <w:p w14:paraId="4D80D116"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23</w:t>
            </w:r>
          </w:p>
        </w:tc>
        <w:tc>
          <w:tcPr>
            <w:tcW w:w="1417" w:type="dxa"/>
          </w:tcPr>
          <w:p w14:paraId="61E209FD"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44.23</w:t>
            </w:r>
          </w:p>
        </w:tc>
        <w:tc>
          <w:tcPr>
            <w:tcW w:w="2126" w:type="dxa"/>
          </w:tcPr>
          <w:p w14:paraId="37A61650" w14:textId="77777777" w:rsidR="0026064C" w:rsidRPr="00EA0DC7" w:rsidRDefault="0026064C" w:rsidP="00F55236">
            <w:pPr>
              <w:spacing w:after="120" w:line="240" w:lineRule="auto"/>
              <w:jc w:val="left"/>
              <w:rPr>
                <w:rFonts w:eastAsia="Times New Roman" w:cs="Arial"/>
              </w:rPr>
            </w:pPr>
            <w:r w:rsidRPr="00EA0DC7">
              <w:rPr>
                <w:rFonts w:eastAsia="Times New Roman" w:cs="Arial"/>
              </w:rPr>
              <w:t>-</w:t>
            </w:r>
          </w:p>
        </w:tc>
        <w:tc>
          <w:tcPr>
            <w:tcW w:w="1134" w:type="dxa"/>
          </w:tcPr>
          <w:p w14:paraId="79B2C80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3" w:type="dxa"/>
          </w:tcPr>
          <w:p w14:paraId="5AB009D5"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r>
      <w:tr w:rsidR="0026064C" w:rsidRPr="00EA0DC7" w14:paraId="5024156E" w14:textId="77777777" w:rsidTr="00D61712">
        <w:tc>
          <w:tcPr>
            <w:tcW w:w="2410" w:type="dxa"/>
          </w:tcPr>
          <w:p w14:paraId="0424B8FB"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 can take on a variety of roles</w:t>
            </w:r>
          </w:p>
        </w:tc>
        <w:tc>
          <w:tcPr>
            <w:tcW w:w="1701" w:type="dxa"/>
          </w:tcPr>
          <w:p w14:paraId="0FD9309B"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11</w:t>
            </w:r>
          </w:p>
        </w:tc>
        <w:tc>
          <w:tcPr>
            <w:tcW w:w="992" w:type="dxa"/>
          </w:tcPr>
          <w:p w14:paraId="1A2A5F5C"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21.15</w:t>
            </w:r>
          </w:p>
        </w:tc>
        <w:tc>
          <w:tcPr>
            <w:tcW w:w="2127" w:type="dxa"/>
          </w:tcPr>
          <w:p w14:paraId="669916F9"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Supervisee can take on a variety of roles</w:t>
            </w:r>
          </w:p>
        </w:tc>
        <w:tc>
          <w:tcPr>
            <w:tcW w:w="1134" w:type="dxa"/>
          </w:tcPr>
          <w:p w14:paraId="1A134466"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6</w:t>
            </w:r>
          </w:p>
        </w:tc>
        <w:tc>
          <w:tcPr>
            <w:tcW w:w="1417" w:type="dxa"/>
          </w:tcPr>
          <w:p w14:paraId="7033ACC8"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11.54</w:t>
            </w:r>
          </w:p>
        </w:tc>
        <w:tc>
          <w:tcPr>
            <w:tcW w:w="2126" w:type="dxa"/>
          </w:tcPr>
          <w:p w14:paraId="0978698C" w14:textId="77777777" w:rsidR="0026064C" w:rsidRPr="00EA0DC7" w:rsidRDefault="0026064C" w:rsidP="00F55236">
            <w:pPr>
              <w:spacing w:after="120" w:line="240" w:lineRule="auto"/>
              <w:jc w:val="left"/>
              <w:rPr>
                <w:rFonts w:eastAsia="Times New Roman" w:cs="Arial"/>
              </w:rPr>
            </w:pPr>
            <w:r w:rsidRPr="00EA0DC7">
              <w:rPr>
                <w:rFonts w:eastAsia="Times New Roman" w:cs="Arial"/>
              </w:rPr>
              <w:t>-</w:t>
            </w:r>
          </w:p>
        </w:tc>
        <w:tc>
          <w:tcPr>
            <w:tcW w:w="1134" w:type="dxa"/>
          </w:tcPr>
          <w:p w14:paraId="6B75E11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3" w:type="dxa"/>
          </w:tcPr>
          <w:p w14:paraId="244A441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r>
      <w:tr w:rsidR="0026064C" w:rsidRPr="00EA0DC7" w14:paraId="30FF2362" w14:textId="77777777" w:rsidTr="00D61712">
        <w:tc>
          <w:tcPr>
            <w:tcW w:w="2410" w:type="dxa"/>
            <w:tcBorders>
              <w:bottom w:val="single" w:sz="4" w:space="0" w:color="auto"/>
            </w:tcBorders>
          </w:tcPr>
          <w:p w14:paraId="1356F155" w14:textId="77777777" w:rsidR="0026064C" w:rsidRPr="00EA0DC7" w:rsidRDefault="0026064C" w:rsidP="00F55236">
            <w:pPr>
              <w:spacing w:after="120" w:line="240" w:lineRule="auto"/>
              <w:jc w:val="left"/>
              <w:rPr>
                <w:rFonts w:eastAsia="Times New Roman" w:cs="Arial"/>
              </w:rPr>
            </w:pPr>
            <w:r w:rsidRPr="00EA0DC7">
              <w:rPr>
                <w:rFonts w:eastAsia="Times New Roman" w:cs="Arial"/>
              </w:rPr>
              <w:t>Supervisor as an authority figure/expert</w:t>
            </w:r>
          </w:p>
        </w:tc>
        <w:tc>
          <w:tcPr>
            <w:tcW w:w="1701" w:type="dxa"/>
            <w:tcBorders>
              <w:bottom w:val="single" w:sz="4" w:space="0" w:color="auto"/>
            </w:tcBorders>
          </w:tcPr>
          <w:p w14:paraId="09751197"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19</w:t>
            </w:r>
          </w:p>
        </w:tc>
        <w:tc>
          <w:tcPr>
            <w:tcW w:w="992" w:type="dxa"/>
            <w:tcBorders>
              <w:bottom w:val="single" w:sz="4" w:space="0" w:color="auto"/>
            </w:tcBorders>
          </w:tcPr>
          <w:p w14:paraId="6B307AC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36.54</w:t>
            </w:r>
          </w:p>
        </w:tc>
        <w:tc>
          <w:tcPr>
            <w:tcW w:w="2127" w:type="dxa"/>
            <w:tcBorders>
              <w:bottom w:val="single" w:sz="4" w:space="0" w:color="auto"/>
            </w:tcBorders>
          </w:tcPr>
          <w:p w14:paraId="3DE456CD" w14:textId="77777777" w:rsidR="0026064C" w:rsidRPr="00EA0DC7" w:rsidRDefault="0026064C" w:rsidP="00F55236">
            <w:pPr>
              <w:spacing w:after="120" w:line="240" w:lineRule="auto"/>
              <w:jc w:val="left"/>
              <w:rPr>
                <w:rFonts w:eastAsia="Times New Roman" w:cs="Arial"/>
              </w:rPr>
            </w:pPr>
            <w:r w:rsidRPr="00EA0DC7">
              <w:rPr>
                <w:rFonts w:eastAsia="Times New Roman" w:cs="Arial"/>
              </w:rPr>
              <w:t>-</w:t>
            </w:r>
          </w:p>
        </w:tc>
        <w:tc>
          <w:tcPr>
            <w:tcW w:w="1134" w:type="dxa"/>
            <w:tcBorders>
              <w:bottom w:val="single" w:sz="4" w:space="0" w:color="auto"/>
            </w:tcBorders>
          </w:tcPr>
          <w:p w14:paraId="7BE2DD32"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1417" w:type="dxa"/>
            <w:tcBorders>
              <w:bottom w:val="single" w:sz="4" w:space="0" w:color="auto"/>
            </w:tcBorders>
          </w:tcPr>
          <w:p w14:paraId="494CC87D"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2126" w:type="dxa"/>
            <w:tcBorders>
              <w:bottom w:val="single" w:sz="4" w:space="0" w:color="auto"/>
            </w:tcBorders>
          </w:tcPr>
          <w:p w14:paraId="21B45108" w14:textId="77777777" w:rsidR="0026064C" w:rsidRPr="00EA0DC7" w:rsidRDefault="0026064C" w:rsidP="00F55236">
            <w:pPr>
              <w:spacing w:after="120" w:line="240" w:lineRule="auto"/>
              <w:jc w:val="left"/>
              <w:rPr>
                <w:rFonts w:eastAsia="Times New Roman" w:cs="Arial"/>
              </w:rPr>
            </w:pPr>
            <w:r w:rsidRPr="00EA0DC7">
              <w:rPr>
                <w:rFonts w:eastAsia="Times New Roman" w:cs="Arial"/>
              </w:rPr>
              <w:t>-</w:t>
            </w:r>
          </w:p>
        </w:tc>
        <w:tc>
          <w:tcPr>
            <w:tcW w:w="1134" w:type="dxa"/>
            <w:tcBorders>
              <w:bottom w:val="single" w:sz="4" w:space="0" w:color="auto"/>
            </w:tcBorders>
          </w:tcPr>
          <w:p w14:paraId="1D956FC8"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3" w:type="dxa"/>
            <w:tcBorders>
              <w:bottom w:val="single" w:sz="4" w:space="0" w:color="auto"/>
            </w:tcBorders>
          </w:tcPr>
          <w:p w14:paraId="08EE174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r>
    </w:tbl>
    <w:p w14:paraId="4D4DD1F4" w14:textId="77777777" w:rsidR="00D61712" w:rsidRPr="00EA0DC7" w:rsidRDefault="00D61712" w:rsidP="00F55236">
      <w:pPr>
        <w:spacing w:after="120" w:line="240" w:lineRule="auto"/>
        <w:jc w:val="left"/>
        <w:rPr>
          <w:rFonts w:eastAsia="Times New Roman" w:cs="Arial"/>
          <w:b/>
        </w:rPr>
        <w:sectPr w:rsidR="00D61712" w:rsidRPr="00EA0DC7" w:rsidSect="002A29D3">
          <w:pgSz w:w="16838" w:h="11906" w:orient="landscape"/>
          <w:pgMar w:top="1440" w:right="1440" w:bottom="2268" w:left="1440" w:header="709" w:footer="709" w:gutter="0"/>
          <w:cols w:space="708"/>
          <w:docGrid w:linePitch="360"/>
        </w:sectPr>
      </w:pPr>
    </w:p>
    <w:tbl>
      <w:tblPr>
        <w:tblStyle w:val="TableGrid1"/>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01"/>
        <w:gridCol w:w="992"/>
        <w:gridCol w:w="2127"/>
        <w:gridCol w:w="1134"/>
        <w:gridCol w:w="1417"/>
        <w:gridCol w:w="2126"/>
        <w:gridCol w:w="1134"/>
        <w:gridCol w:w="993"/>
      </w:tblGrid>
      <w:tr w:rsidR="00F55236" w:rsidRPr="00EA0DC7" w14:paraId="5D553C90" w14:textId="77777777" w:rsidTr="00D61712">
        <w:tc>
          <w:tcPr>
            <w:tcW w:w="2410" w:type="dxa"/>
            <w:tcBorders>
              <w:top w:val="single" w:sz="4" w:space="0" w:color="auto"/>
              <w:bottom w:val="single" w:sz="4" w:space="0" w:color="auto"/>
            </w:tcBorders>
          </w:tcPr>
          <w:p w14:paraId="57BE1189" w14:textId="00B57B74" w:rsidR="00F55236" w:rsidRPr="00EA0DC7" w:rsidRDefault="00F55236" w:rsidP="001E34B3">
            <w:pPr>
              <w:spacing w:before="240" w:after="120" w:line="240" w:lineRule="auto"/>
              <w:jc w:val="left"/>
              <w:rPr>
                <w:rFonts w:eastAsia="Times New Roman" w:cs="Arial"/>
              </w:rPr>
            </w:pPr>
            <w:r w:rsidRPr="00EA0DC7">
              <w:rPr>
                <w:rFonts w:eastAsia="Times New Roman" w:cs="Arial"/>
                <w:b/>
              </w:rPr>
              <w:lastRenderedPageBreak/>
              <w:t>Supervisor elements</w:t>
            </w:r>
          </w:p>
        </w:tc>
        <w:tc>
          <w:tcPr>
            <w:tcW w:w="1701" w:type="dxa"/>
            <w:tcBorders>
              <w:top w:val="single" w:sz="4" w:space="0" w:color="auto"/>
              <w:bottom w:val="single" w:sz="4" w:space="0" w:color="auto"/>
            </w:tcBorders>
          </w:tcPr>
          <w:p w14:paraId="31B38B9D" w14:textId="56BC5FE2" w:rsidR="00F55236" w:rsidRPr="00EA0DC7" w:rsidRDefault="00F55236" w:rsidP="001E34B3">
            <w:pPr>
              <w:spacing w:before="240" w:after="120" w:line="240" w:lineRule="auto"/>
              <w:jc w:val="center"/>
              <w:rPr>
                <w:rFonts w:eastAsia="Times New Roman" w:cs="Arial"/>
              </w:rPr>
            </w:pPr>
            <w:r w:rsidRPr="00EA0DC7">
              <w:rPr>
                <w:rFonts w:eastAsia="Times New Roman" w:cs="Arial"/>
                <w:b/>
              </w:rPr>
              <w:t>No. of models</w:t>
            </w:r>
          </w:p>
        </w:tc>
        <w:tc>
          <w:tcPr>
            <w:tcW w:w="992" w:type="dxa"/>
            <w:tcBorders>
              <w:top w:val="single" w:sz="4" w:space="0" w:color="auto"/>
              <w:bottom w:val="single" w:sz="4" w:space="0" w:color="auto"/>
            </w:tcBorders>
          </w:tcPr>
          <w:p w14:paraId="4FFFCD84" w14:textId="13B74954" w:rsidR="00F55236" w:rsidRPr="00EA0DC7" w:rsidRDefault="00F55236" w:rsidP="001E34B3">
            <w:pPr>
              <w:spacing w:before="240" w:after="120" w:line="240" w:lineRule="auto"/>
              <w:jc w:val="center"/>
              <w:rPr>
                <w:rFonts w:eastAsia="Times New Roman" w:cs="Arial"/>
              </w:rPr>
            </w:pPr>
            <w:r w:rsidRPr="00EA0DC7">
              <w:rPr>
                <w:rFonts w:eastAsia="Times New Roman" w:cs="Arial"/>
                <w:b/>
              </w:rPr>
              <w:t>%</w:t>
            </w:r>
          </w:p>
        </w:tc>
        <w:tc>
          <w:tcPr>
            <w:tcW w:w="2127" w:type="dxa"/>
            <w:tcBorders>
              <w:top w:val="single" w:sz="4" w:space="0" w:color="auto"/>
              <w:bottom w:val="single" w:sz="4" w:space="0" w:color="auto"/>
            </w:tcBorders>
          </w:tcPr>
          <w:p w14:paraId="237C25BC" w14:textId="7984E864" w:rsidR="00F55236" w:rsidRPr="00EA0DC7" w:rsidRDefault="00F55236" w:rsidP="001E34B3">
            <w:pPr>
              <w:spacing w:before="240" w:after="120" w:line="240" w:lineRule="auto"/>
              <w:jc w:val="left"/>
              <w:rPr>
                <w:rFonts w:eastAsia="Times New Roman" w:cs="Arial"/>
              </w:rPr>
            </w:pPr>
            <w:r w:rsidRPr="00EA0DC7">
              <w:rPr>
                <w:rFonts w:eastAsia="Times New Roman" w:cs="Arial"/>
                <w:b/>
              </w:rPr>
              <w:t>Supervisee elements</w:t>
            </w:r>
          </w:p>
        </w:tc>
        <w:tc>
          <w:tcPr>
            <w:tcW w:w="1134" w:type="dxa"/>
            <w:tcBorders>
              <w:top w:val="single" w:sz="4" w:space="0" w:color="auto"/>
              <w:bottom w:val="single" w:sz="4" w:space="0" w:color="auto"/>
            </w:tcBorders>
          </w:tcPr>
          <w:p w14:paraId="6CC05C89" w14:textId="7AD42C1A" w:rsidR="00F55236" w:rsidRPr="00EA0DC7" w:rsidRDefault="00F55236" w:rsidP="001E34B3">
            <w:pPr>
              <w:spacing w:before="240" w:after="120" w:line="240" w:lineRule="auto"/>
              <w:jc w:val="center"/>
              <w:rPr>
                <w:rFonts w:eastAsia="Times New Roman" w:cs="Arial"/>
              </w:rPr>
            </w:pPr>
            <w:r w:rsidRPr="00EA0DC7">
              <w:rPr>
                <w:rFonts w:eastAsia="Times New Roman" w:cs="Arial"/>
                <w:b/>
              </w:rPr>
              <w:t>No. of models</w:t>
            </w:r>
          </w:p>
        </w:tc>
        <w:tc>
          <w:tcPr>
            <w:tcW w:w="1417" w:type="dxa"/>
            <w:tcBorders>
              <w:top w:val="single" w:sz="4" w:space="0" w:color="auto"/>
              <w:bottom w:val="single" w:sz="4" w:space="0" w:color="auto"/>
            </w:tcBorders>
          </w:tcPr>
          <w:p w14:paraId="2AAAD94D" w14:textId="38ACD150" w:rsidR="00F55236" w:rsidRPr="00EA0DC7" w:rsidRDefault="00F55236" w:rsidP="001E34B3">
            <w:pPr>
              <w:spacing w:before="240" w:after="120" w:line="240" w:lineRule="auto"/>
              <w:jc w:val="center"/>
              <w:rPr>
                <w:rFonts w:eastAsia="Times New Roman" w:cs="Arial"/>
              </w:rPr>
            </w:pPr>
            <w:r w:rsidRPr="00EA0DC7">
              <w:rPr>
                <w:rFonts w:eastAsia="Times New Roman" w:cs="Arial"/>
                <w:b/>
              </w:rPr>
              <w:t>%</w:t>
            </w:r>
          </w:p>
        </w:tc>
        <w:tc>
          <w:tcPr>
            <w:tcW w:w="2126" w:type="dxa"/>
            <w:tcBorders>
              <w:top w:val="single" w:sz="4" w:space="0" w:color="auto"/>
              <w:bottom w:val="single" w:sz="4" w:space="0" w:color="auto"/>
            </w:tcBorders>
          </w:tcPr>
          <w:p w14:paraId="775F173E" w14:textId="58E6CB3E" w:rsidR="00F55236" w:rsidRPr="00EA0DC7" w:rsidRDefault="00F55236" w:rsidP="001E34B3">
            <w:pPr>
              <w:spacing w:before="240" w:after="120" w:line="240" w:lineRule="auto"/>
              <w:jc w:val="left"/>
              <w:rPr>
                <w:rFonts w:eastAsia="Times New Roman" w:cs="Arial"/>
              </w:rPr>
            </w:pPr>
            <w:r w:rsidRPr="00EA0DC7">
              <w:rPr>
                <w:rFonts w:eastAsia="Times New Roman" w:cs="Arial"/>
                <w:b/>
              </w:rPr>
              <w:t>Client elements</w:t>
            </w:r>
          </w:p>
        </w:tc>
        <w:tc>
          <w:tcPr>
            <w:tcW w:w="1134" w:type="dxa"/>
            <w:tcBorders>
              <w:top w:val="single" w:sz="4" w:space="0" w:color="auto"/>
              <w:bottom w:val="single" w:sz="4" w:space="0" w:color="auto"/>
            </w:tcBorders>
          </w:tcPr>
          <w:p w14:paraId="160B8F2D" w14:textId="290FF9EB" w:rsidR="00F55236" w:rsidRPr="00EA0DC7" w:rsidRDefault="00F55236" w:rsidP="001E34B3">
            <w:pPr>
              <w:spacing w:before="240" w:after="120" w:line="240" w:lineRule="auto"/>
              <w:jc w:val="center"/>
              <w:rPr>
                <w:rFonts w:eastAsia="Times New Roman" w:cs="Arial"/>
              </w:rPr>
            </w:pPr>
            <w:r w:rsidRPr="00EA0DC7">
              <w:rPr>
                <w:rFonts w:eastAsia="Times New Roman" w:cs="Arial"/>
                <w:b/>
              </w:rPr>
              <w:t>No. of models</w:t>
            </w:r>
          </w:p>
        </w:tc>
        <w:tc>
          <w:tcPr>
            <w:tcW w:w="993" w:type="dxa"/>
            <w:tcBorders>
              <w:top w:val="single" w:sz="4" w:space="0" w:color="auto"/>
              <w:bottom w:val="single" w:sz="4" w:space="0" w:color="auto"/>
            </w:tcBorders>
          </w:tcPr>
          <w:p w14:paraId="54806951" w14:textId="64F37187" w:rsidR="00F55236" w:rsidRPr="00EA0DC7" w:rsidRDefault="00F55236" w:rsidP="001E34B3">
            <w:pPr>
              <w:spacing w:before="240" w:after="120" w:line="240" w:lineRule="auto"/>
              <w:jc w:val="center"/>
              <w:rPr>
                <w:rFonts w:eastAsia="Times New Roman" w:cs="Arial"/>
              </w:rPr>
            </w:pPr>
            <w:r w:rsidRPr="00EA0DC7">
              <w:rPr>
                <w:rFonts w:eastAsia="Times New Roman" w:cs="Arial"/>
                <w:b/>
              </w:rPr>
              <w:t>%</w:t>
            </w:r>
          </w:p>
        </w:tc>
      </w:tr>
      <w:tr w:rsidR="0026064C" w:rsidRPr="00EA0DC7" w14:paraId="4F47A194" w14:textId="77777777" w:rsidTr="00D61712">
        <w:tc>
          <w:tcPr>
            <w:tcW w:w="2410" w:type="dxa"/>
            <w:tcBorders>
              <w:top w:val="single" w:sz="4" w:space="0" w:color="auto"/>
            </w:tcBorders>
          </w:tcPr>
          <w:p w14:paraId="46FD295D" w14:textId="77777777" w:rsidR="0026064C" w:rsidRPr="00EA0DC7" w:rsidRDefault="0026064C" w:rsidP="001E34B3">
            <w:pPr>
              <w:spacing w:before="240" w:after="120" w:line="240" w:lineRule="auto"/>
              <w:jc w:val="left"/>
              <w:rPr>
                <w:rFonts w:eastAsia="Times New Roman" w:cs="Arial"/>
              </w:rPr>
            </w:pPr>
            <w:r w:rsidRPr="00EA0DC7">
              <w:rPr>
                <w:rFonts w:eastAsia="Times New Roman" w:cs="Arial"/>
              </w:rPr>
              <w:t>Supervisor has the ability to assign clients</w:t>
            </w:r>
          </w:p>
        </w:tc>
        <w:tc>
          <w:tcPr>
            <w:tcW w:w="1701" w:type="dxa"/>
            <w:tcBorders>
              <w:top w:val="single" w:sz="4" w:space="0" w:color="auto"/>
            </w:tcBorders>
          </w:tcPr>
          <w:p w14:paraId="7928A88D"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4</w:t>
            </w:r>
          </w:p>
        </w:tc>
        <w:tc>
          <w:tcPr>
            <w:tcW w:w="992" w:type="dxa"/>
            <w:tcBorders>
              <w:top w:val="single" w:sz="4" w:space="0" w:color="auto"/>
            </w:tcBorders>
          </w:tcPr>
          <w:p w14:paraId="27D72C46"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7.69</w:t>
            </w:r>
          </w:p>
        </w:tc>
        <w:tc>
          <w:tcPr>
            <w:tcW w:w="2127" w:type="dxa"/>
            <w:tcBorders>
              <w:top w:val="single" w:sz="4" w:space="0" w:color="auto"/>
            </w:tcBorders>
          </w:tcPr>
          <w:p w14:paraId="04CA476F" w14:textId="77777777" w:rsidR="0026064C" w:rsidRPr="00EA0DC7" w:rsidRDefault="0026064C" w:rsidP="001E34B3">
            <w:pPr>
              <w:spacing w:before="240" w:after="120" w:line="240" w:lineRule="auto"/>
              <w:jc w:val="left"/>
              <w:rPr>
                <w:rFonts w:eastAsia="Times New Roman" w:cs="Arial"/>
              </w:rPr>
            </w:pPr>
            <w:r w:rsidRPr="00EA0DC7">
              <w:rPr>
                <w:rFonts w:eastAsia="Times New Roman" w:cs="Arial"/>
              </w:rPr>
              <w:t>-</w:t>
            </w:r>
          </w:p>
        </w:tc>
        <w:tc>
          <w:tcPr>
            <w:tcW w:w="1134" w:type="dxa"/>
            <w:tcBorders>
              <w:top w:val="single" w:sz="4" w:space="0" w:color="auto"/>
            </w:tcBorders>
          </w:tcPr>
          <w:p w14:paraId="5F23242C"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w:t>
            </w:r>
          </w:p>
        </w:tc>
        <w:tc>
          <w:tcPr>
            <w:tcW w:w="1417" w:type="dxa"/>
            <w:tcBorders>
              <w:top w:val="single" w:sz="4" w:space="0" w:color="auto"/>
            </w:tcBorders>
          </w:tcPr>
          <w:p w14:paraId="622F8453"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w:t>
            </w:r>
          </w:p>
        </w:tc>
        <w:tc>
          <w:tcPr>
            <w:tcW w:w="2126" w:type="dxa"/>
            <w:tcBorders>
              <w:top w:val="single" w:sz="4" w:space="0" w:color="auto"/>
            </w:tcBorders>
          </w:tcPr>
          <w:p w14:paraId="53F443E9" w14:textId="77777777" w:rsidR="0026064C" w:rsidRPr="00EA0DC7" w:rsidRDefault="0026064C" w:rsidP="001E34B3">
            <w:pPr>
              <w:spacing w:before="240" w:after="120" w:line="240" w:lineRule="auto"/>
              <w:jc w:val="left"/>
              <w:rPr>
                <w:rFonts w:eastAsia="Times New Roman" w:cs="Arial"/>
              </w:rPr>
            </w:pPr>
            <w:r w:rsidRPr="00EA0DC7">
              <w:rPr>
                <w:rFonts w:eastAsia="Times New Roman" w:cs="Arial"/>
              </w:rPr>
              <w:t>-</w:t>
            </w:r>
          </w:p>
        </w:tc>
        <w:tc>
          <w:tcPr>
            <w:tcW w:w="1134" w:type="dxa"/>
            <w:tcBorders>
              <w:top w:val="single" w:sz="4" w:space="0" w:color="auto"/>
            </w:tcBorders>
          </w:tcPr>
          <w:p w14:paraId="5CDE20BA"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w:t>
            </w:r>
          </w:p>
        </w:tc>
        <w:tc>
          <w:tcPr>
            <w:tcW w:w="993" w:type="dxa"/>
            <w:tcBorders>
              <w:top w:val="single" w:sz="4" w:space="0" w:color="auto"/>
            </w:tcBorders>
          </w:tcPr>
          <w:p w14:paraId="509A6CAA" w14:textId="77777777" w:rsidR="0026064C" w:rsidRPr="00EA0DC7" w:rsidRDefault="0026064C" w:rsidP="001E34B3">
            <w:pPr>
              <w:spacing w:before="240" w:after="120" w:line="240" w:lineRule="auto"/>
              <w:jc w:val="center"/>
              <w:rPr>
                <w:rFonts w:eastAsia="Times New Roman" w:cs="Arial"/>
              </w:rPr>
            </w:pPr>
            <w:r w:rsidRPr="00EA0DC7">
              <w:rPr>
                <w:rFonts w:eastAsia="Times New Roman" w:cs="Arial"/>
              </w:rPr>
              <w:t>-</w:t>
            </w:r>
          </w:p>
        </w:tc>
      </w:tr>
      <w:tr w:rsidR="0026064C" w:rsidRPr="00EA0DC7" w14:paraId="1A155F96" w14:textId="77777777" w:rsidTr="00D61712">
        <w:tc>
          <w:tcPr>
            <w:tcW w:w="2410" w:type="dxa"/>
          </w:tcPr>
          <w:p w14:paraId="0A0E9338" w14:textId="77777777" w:rsidR="0026064C" w:rsidRPr="00EA0DC7" w:rsidRDefault="0026064C" w:rsidP="00F55236">
            <w:pPr>
              <w:widowControl w:val="0"/>
              <w:spacing w:after="120" w:line="240" w:lineRule="auto"/>
              <w:jc w:val="left"/>
              <w:rPr>
                <w:rFonts w:eastAsia="Times New Roman" w:cs="Arial"/>
              </w:rPr>
            </w:pPr>
            <w:r w:rsidRPr="00EA0DC7">
              <w:rPr>
                <w:rFonts w:eastAsia="Times New Roman" w:cs="Arial"/>
              </w:rPr>
              <w:t>Supervisors have their own individual supervisory styles</w:t>
            </w:r>
          </w:p>
        </w:tc>
        <w:tc>
          <w:tcPr>
            <w:tcW w:w="1701" w:type="dxa"/>
          </w:tcPr>
          <w:p w14:paraId="6C3286C2"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2</w:t>
            </w:r>
          </w:p>
        </w:tc>
        <w:tc>
          <w:tcPr>
            <w:tcW w:w="992" w:type="dxa"/>
          </w:tcPr>
          <w:p w14:paraId="6968C240"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3.84</w:t>
            </w:r>
          </w:p>
        </w:tc>
        <w:tc>
          <w:tcPr>
            <w:tcW w:w="2127" w:type="dxa"/>
          </w:tcPr>
          <w:p w14:paraId="72F1022A" w14:textId="77777777" w:rsidR="0026064C" w:rsidRPr="00EA0DC7" w:rsidRDefault="0026064C" w:rsidP="00D61712">
            <w:pPr>
              <w:spacing w:after="120" w:line="240" w:lineRule="auto"/>
              <w:jc w:val="left"/>
              <w:rPr>
                <w:rFonts w:eastAsia="Times New Roman" w:cs="Arial"/>
              </w:rPr>
            </w:pPr>
            <w:r w:rsidRPr="00EA0DC7">
              <w:rPr>
                <w:rFonts w:eastAsia="Times New Roman" w:cs="Arial"/>
              </w:rPr>
              <w:t>-</w:t>
            </w:r>
          </w:p>
        </w:tc>
        <w:tc>
          <w:tcPr>
            <w:tcW w:w="1134" w:type="dxa"/>
          </w:tcPr>
          <w:p w14:paraId="22ECFB32"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1417" w:type="dxa"/>
          </w:tcPr>
          <w:p w14:paraId="786D8367"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2126" w:type="dxa"/>
          </w:tcPr>
          <w:p w14:paraId="1C57093F" w14:textId="77777777" w:rsidR="0026064C" w:rsidRPr="00EA0DC7" w:rsidRDefault="0026064C" w:rsidP="00F55236">
            <w:pPr>
              <w:spacing w:after="120" w:line="240" w:lineRule="auto"/>
              <w:rPr>
                <w:rFonts w:eastAsia="Times New Roman" w:cs="Arial"/>
              </w:rPr>
            </w:pPr>
            <w:r w:rsidRPr="00EA0DC7">
              <w:rPr>
                <w:rFonts w:eastAsia="Times New Roman" w:cs="Arial"/>
              </w:rPr>
              <w:t>-</w:t>
            </w:r>
          </w:p>
        </w:tc>
        <w:tc>
          <w:tcPr>
            <w:tcW w:w="1134" w:type="dxa"/>
          </w:tcPr>
          <w:p w14:paraId="520A6F0E"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3" w:type="dxa"/>
          </w:tcPr>
          <w:p w14:paraId="75535CA0"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r>
      <w:tr w:rsidR="0026064C" w:rsidRPr="00EA0DC7" w14:paraId="093A8137" w14:textId="77777777" w:rsidTr="00D61712">
        <w:tc>
          <w:tcPr>
            <w:tcW w:w="2410" w:type="dxa"/>
          </w:tcPr>
          <w:p w14:paraId="4100C1E7" w14:textId="77777777" w:rsidR="0026064C" w:rsidRPr="00EA0DC7" w:rsidRDefault="0026064C" w:rsidP="00F55236">
            <w:pPr>
              <w:spacing w:after="120" w:line="240" w:lineRule="auto"/>
              <w:jc w:val="left"/>
              <w:rPr>
                <w:rFonts w:eastAsia="Times New Roman" w:cs="Arial"/>
              </w:rPr>
            </w:pPr>
            <w:r w:rsidRPr="00EA0DC7">
              <w:rPr>
                <w:rFonts w:eastAsia="Times New Roman" w:cs="Arial"/>
              </w:rPr>
              <w:t>-</w:t>
            </w:r>
          </w:p>
        </w:tc>
        <w:tc>
          <w:tcPr>
            <w:tcW w:w="1701" w:type="dxa"/>
          </w:tcPr>
          <w:p w14:paraId="551B8E89"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2" w:type="dxa"/>
          </w:tcPr>
          <w:p w14:paraId="1D3812E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2127" w:type="dxa"/>
          </w:tcPr>
          <w:p w14:paraId="0B393E46" w14:textId="77777777" w:rsidR="0026064C" w:rsidRPr="00EA0DC7" w:rsidRDefault="0026064C" w:rsidP="00D61712">
            <w:pPr>
              <w:spacing w:after="120" w:line="240" w:lineRule="auto"/>
              <w:jc w:val="left"/>
              <w:rPr>
                <w:rFonts w:eastAsia="Times New Roman" w:cs="Arial"/>
              </w:rPr>
            </w:pPr>
            <w:r w:rsidRPr="00EA0DC7">
              <w:rPr>
                <w:rFonts w:eastAsia="Times New Roman" w:cs="Arial"/>
              </w:rPr>
              <w:t>Supervisee motivation</w:t>
            </w:r>
          </w:p>
        </w:tc>
        <w:tc>
          <w:tcPr>
            <w:tcW w:w="1134" w:type="dxa"/>
          </w:tcPr>
          <w:p w14:paraId="2E16B290"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10</w:t>
            </w:r>
          </w:p>
        </w:tc>
        <w:tc>
          <w:tcPr>
            <w:tcW w:w="1417" w:type="dxa"/>
          </w:tcPr>
          <w:p w14:paraId="37CCFB74"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19.23</w:t>
            </w:r>
          </w:p>
        </w:tc>
        <w:tc>
          <w:tcPr>
            <w:tcW w:w="2126" w:type="dxa"/>
          </w:tcPr>
          <w:p w14:paraId="4DD7735F" w14:textId="77777777" w:rsidR="0026064C" w:rsidRPr="00EA0DC7" w:rsidRDefault="0026064C" w:rsidP="00F55236">
            <w:pPr>
              <w:spacing w:after="120" w:line="240" w:lineRule="auto"/>
              <w:rPr>
                <w:rFonts w:eastAsia="Times New Roman" w:cs="Arial"/>
              </w:rPr>
            </w:pPr>
            <w:r w:rsidRPr="00EA0DC7">
              <w:rPr>
                <w:rFonts w:eastAsia="Times New Roman" w:cs="Arial"/>
              </w:rPr>
              <w:t>-</w:t>
            </w:r>
          </w:p>
        </w:tc>
        <w:tc>
          <w:tcPr>
            <w:tcW w:w="1134" w:type="dxa"/>
          </w:tcPr>
          <w:p w14:paraId="5D71E25F"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c>
          <w:tcPr>
            <w:tcW w:w="993" w:type="dxa"/>
          </w:tcPr>
          <w:p w14:paraId="75062EB3" w14:textId="77777777" w:rsidR="0026064C" w:rsidRPr="00EA0DC7" w:rsidRDefault="0026064C" w:rsidP="00F55236">
            <w:pPr>
              <w:spacing w:after="120" w:line="240" w:lineRule="auto"/>
              <w:jc w:val="center"/>
              <w:rPr>
                <w:rFonts w:eastAsia="Times New Roman" w:cs="Arial"/>
              </w:rPr>
            </w:pPr>
            <w:r w:rsidRPr="00EA0DC7">
              <w:rPr>
                <w:rFonts w:eastAsia="Times New Roman" w:cs="Arial"/>
              </w:rPr>
              <w:t>-</w:t>
            </w:r>
          </w:p>
        </w:tc>
      </w:tr>
      <w:tr w:rsidR="00D61712" w:rsidRPr="00EA0DC7" w14:paraId="1DD8E84A" w14:textId="77777777" w:rsidTr="00D61712">
        <w:tc>
          <w:tcPr>
            <w:tcW w:w="2410" w:type="dxa"/>
          </w:tcPr>
          <w:p w14:paraId="7AE6653F" w14:textId="77777777" w:rsidR="00F55236" w:rsidRPr="00EA0DC7" w:rsidRDefault="00F55236" w:rsidP="00CB78E1">
            <w:pPr>
              <w:spacing w:after="120"/>
              <w:rPr>
                <w:rFonts w:eastAsia="Times New Roman" w:cs="Arial"/>
              </w:rPr>
            </w:pPr>
            <w:r w:rsidRPr="00EA0DC7">
              <w:rPr>
                <w:rFonts w:eastAsia="Times New Roman" w:cs="Arial"/>
              </w:rPr>
              <w:t>-</w:t>
            </w:r>
          </w:p>
        </w:tc>
        <w:tc>
          <w:tcPr>
            <w:tcW w:w="1701" w:type="dxa"/>
          </w:tcPr>
          <w:p w14:paraId="73C7230F"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2" w:type="dxa"/>
          </w:tcPr>
          <w:p w14:paraId="3998FC59"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2127" w:type="dxa"/>
          </w:tcPr>
          <w:p w14:paraId="3D15AC96" w14:textId="77777777" w:rsidR="00F55236" w:rsidRPr="00EA0DC7" w:rsidRDefault="00F55236" w:rsidP="00D61712">
            <w:pPr>
              <w:spacing w:after="120" w:line="240" w:lineRule="auto"/>
              <w:jc w:val="left"/>
              <w:rPr>
                <w:rFonts w:eastAsia="Times New Roman" w:cs="Arial"/>
              </w:rPr>
            </w:pPr>
            <w:r w:rsidRPr="00EA0DC7">
              <w:rPr>
                <w:rFonts w:eastAsia="Times New Roman" w:cs="Arial"/>
              </w:rPr>
              <w:t>Supervisee autonomy vs dependency</w:t>
            </w:r>
          </w:p>
        </w:tc>
        <w:tc>
          <w:tcPr>
            <w:tcW w:w="1134" w:type="dxa"/>
          </w:tcPr>
          <w:p w14:paraId="038AD08F" w14:textId="77777777" w:rsidR="00F55236" w:rsidRPr="00EA0DC7" w:rsidRDefault="00F55236" w:rsidP="00CB78E1">
            <w:pPr>
              <w:spacing w:after="120"/>
              <w:jc w:val="center"/>
              <w:rPr>
                <w:rFonts w:eastAsia="Times New Roman" w:cs="Arial"/>
              </w:rPr>
            </w:pPr>
            <w:r w:rsidRPr="00EA0DC7">
              <w:rPr>
                <w:rFonts w:eastAsia="Times New Roman" w:cs="Arial"/>
              </w:rPr>
              <w:t>12</w:t>
            </w:r>
          </w:p>
        </w:tc>
        <w:tc>
          <w:tcPr>
            <w:tcW w:w="1417" w:type="dxa"/>
          </w:tcPr>
          <w:p w14:paraId="7F6FBE29" w14:textId="77777777" w:rsidR="00F55236" w:rsidRPr="00EA0DC7" w:rsidRDefault="00F55236" w:rsidP="00CB78E1">
            <w:pPr>
              <w:spacing w:after="120"/>
              <w:jc w:val="center"/>
              <w:rPr>
                <w:rFonts w:eastAsia="Times New Roman" w:cs="Arial"/>
              </w:rPr>
            </w:pPr>
            <w:r w:rsidRPr="00EA0DC7">
              <w:rPr>
                <w:rFonts w:eastAsia="Times New Roman" w:cs="Arial"/>
              </w:rPr>
              <w:t>23.08</w:t>
            </w:r>
          </w:p>
        </w:tc>
        <w:tc>
          <w:tcPr>
            <w:tcW w:w="2126" w:type="dxa"/>
          </w:tcPr>
          <w:p w14:paraId="7CDF1E48" w14:textId="77777777" w:rsidR="00F55236" w:rsidRPr="00EA0DC7" w:rsidRDefault="00F55236" w:rsidP="00CB78E1">
            <w:pPr>
              <w:spacing w:after="120"/>
              <w:rPr>
                <w:rFonts w:eastAsia="Times New Roman" w:cs="Arial"/>
              </w:rPr>
            </w:pPr>
            <w:r w:rsidRPr="00EA0DC7">
              <w:rPr>
                <w:rFonts w:eastAsia="Times New Roman" w:cs="Arial"/>
              </w:rPr>
              <w:t>-</w:t>
            </w:r>
          </w:p>
        </w:tc>
        <w:tc>
          <w:tcPr>
            <w:tcW w:w="1134" w:type="dxa"/>
          </w:tcPr>
          <w:p w14:paraId="1699A5DF"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3" w:type="dxa"/>
          </w:tcPr>
          <w:p w14:paraId="1F7D1D47" w14:textId="77777777" w:rsidR="00F55236" w:rsidRPr="00EA0DC7" w:rsidRDefault="00F55236" w:rsidP="00CB78E1">
            <w:pPr>
              <w:spacing w:after="120"/>
              <w:jc w:val="center"/>
              <w:rPr>
                <w:rFonts w:eastAsia="Times New Roman" w:cs="Arial"/>
              </w:rPr>
            </w:pPr>
            <w:r w:rsidRPr="00EA0DC7">
              <w:rPr>
                <w:rFonts w:eastAsia="Times New Roman" w:cs="Arial"/>
              </w:rPr>
              <w:t>-</w:t>
            </w:r>
          </w:p>
        </w:tc>
      </w:tr>
      <w:tr w:rsidR="00D61712" w:rsidRPr="00EA0DC7" w14:paraId="55E6F9CB" w14:textId="77777777" w:rsidTr="00D61712">
        <w:tc>
          <w:tcPr>
            <w:tcW w:w="2410" w:type="dxa"/>
          </w:tcPr>
          <w:p w14:paraId="25541AE7" w14:textId="77777777" w:rsidR="00F55236" w:rsidRPr="00EA0DC7" w:rsidRDefault="00F55236" w:rsidP="00CB78E1">
            <w:pPr>
              <w:spacing w:after="120"/>
              <w:rPr>
                <w:rFonts w:eastAsia="Times New Roman" w:cs="Arial"/>
              </w:rPr>
            </w:pPr>
            <w:r w:rsidRPr="00EA0DC7">
              <w:rPr>
                <w:rFonts w:eastAsia="Times New Roman" w:cs="Arial"/>
              </w:rPr>
              <w:t>-</w:t>
            </w:r>
          </w:p>
        </w:tc>
        <w:tc>
          <w:tcPr>
            <w:tcW w:w="1701" w:type="dxa"/>
          </w:tcPr>
          <w:p w14:paraId="2698D65A"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2" w:type="dxa"/>
          </w:tcPr>
          <w:p w14:paraId="50640AA5"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2127" w:type="dxa"/>
          </w:tcPr>
          <w:p w14:paraId="28F92E84" w14:textId="77777777" w:rsidR="00F55236" w:rsidRPr="00EA0DC7" w:rsidRDefault="00F55236" w:rsidP="00D61712">
            <w:pPr>
              <w:spacing w:after="120" w:line="240" w:lineRule="auto"/>
              <w:jc w:val="left"/>
              <w:rPr>
                <w:rFonts w:eastAsia="Times New Roman" w:cs="Arial"/>
              </w:rPr>
            </w:pPr>
            <w:r w:rsidRPr="00EA0DC7">
              <w:rPr>
                <w:rFonts w:eastAsia="Times New Roman" w:cs="Arial"/>
              </w:rPr>
              <w:t>Supervisee awareness of self and/or others</w:t>
            </w:r>
          </w:p>
        </w:tc>
        <w:tc>
          <w:tcPr>
            <w:tcW w:w="1134" w:type="dxa"/>
          </w:tcPr>
          <w:p w14:paraId="7A7A37DF" w14:textId="77777777" w:rsidR="00F55236" w:rsidRPr="00EA0DC7" w:rsidRDefault="00F55236" w:rsidP="00CB78E1">
            <w:pPr>
              <w:spacing w:after="120"/>
              <w:jc w:val="center"/>
              <w:rPr>
                <w:rFonts w:eastAsia="Times New Roman" w:cs="Arial"/>
              </w:rPr>
            </w:pPr>
            <w:r w:rsidRPr="00EA0DC7">
              <w:rPr>
                <w:rFonts w:eastAsia="Times New Roman" w:cs="Arial"/>
              </w:rPr>
              <w:t>15</w:t>
            </w:r>
          </w:p>
        </w:tc>
        <w:tc>
          <w:tcPr>
            <w:tcW w:w="1417" w:type="dxa"/>
          </w:tcPr>
          <w:p w14:paraId="3DBE4F83" w14:textId="77777777" w:rsidR="00F55236" w:rsidRPr="00EA0DC7" w:rsidRDefault="00F55236" w:rsidP="00CB78E1">
            <w:pPr>
              <w:spacing w:after="120"/>
              <w:jc w:val="center"/>
              <w:rPr>
                <w:rFonts w:eastAsia="Times New Roman" w:cs="Arial"/>
              </w:rPr>
            </w:pPr>
            <w:r w:rsidRPr="00EA0DC7">
              <w:rPr>
                <w:rFonts w:eastAsia="Times New Roman" w:cs="Arial"/>
              </w:rPr>
              <w:t>28.85</w:t>
            </w:r>
          </w:p>
        </w:tc>
        <w:tc>
          <w:tcPr>
            <w:tcW w:w="2126" w:type="dxa"/>
          </w:tcPr>
          <w:p w14:paraId="48FD24D6" w14:textId="77777777" w:rsidR="00F55236" w:rsidRPr="00EA0DC7" w:rsidRDefault="00F55236" w:rsidP="00CB78E1">
            <w:pPr>
              <w:spacing w:after="120"/>
              <w:rPr>
                <w:rFonts w:eastAsia="Times New Roman" w:cs="Arial"/>
              </w:rPr>
            </w:pPr>
            <w:r w:rsidRPr="00EA0DC7">
              <w:rPr>
                <w:rFonts w:eastAsia="Times New Roman" w:cs="Arial"/>
              </w:rPr>
              <w:t>-</w:t>
            </w:r>
          </w:p>
        </w:tc>
        <w:tc>
          <w:tcPr>
            <w:tcW w:w="1134" w:type="dxa"/>
          </w:tcPr>
          <w:p w14:paraId="327B1430"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3" w:type="dxa"/>
          </w:tcPr>
          <w:p w14:paraId="36C2453D" w14:textId="77777777" w:rsidR="00F55236" w:rsidRPr="00EA0DC7" w:rsidRDefault="00F55236" w:rsidP="00CB78E1">
            <w:pPr>
              <w:spacing w:after="120"/>
              <w:jc w:val="center"/>
              <w:rPr>
                <w:rFonts w:eastAsia="Times New Roman" w:cs="Arial"/>
              </w:rPr>
            </w:pPr>
            <w:r w:rsidRPr="00EA0DC7">
              <w:rPr>
                <w:rFonts w:eastAsia="Times New Roman" w:cs="Arial"/>
              </w:rPr>
              <w:t>-</w:t>
            </w:r>
          </w:p>
        </w:tc>
      </w:tr>
      <w:tr w:rsidR="00F55236" w:rsidRPr="00EA0DC7" w14:paraId="7DE20D18" w14:textId="77777777" w:rsidTr="00D61712">
        <w:tc>
          <w:tcPr>
            <w:tcW w:w="2410" w:type="dxa"/>
          </w:tcPr>
          <w:p w14:paraId="1909C946" w14:textId="77777777" w:rsidR="00F55236" w:rsidRPr="00EA0DC7" w:rsidRDefault="00F55236" w:rsidP="00CB78E1">
            <w:pPr>
              <w:spacing w:after="120"/>
              <w:rPr>
                <w:rFonts w:eastAsia="Times New Roman" w:cs="Arial"/>
              </w:rPr>
            </w:pPr>
            <w:r w:rsidRPr="00EA0DC7">
              <w:rPr>
                <w:rFonts w:eastAsia="Times New Roman" w:cs="Arial"/>
              </w:rPr>
              <w:t>-</w:t>
            </w:r>
          </w:p>
        </w:tc>
        <w:tc>
          <w:tcPr>
            <w:tcW w:w="1701" w:type="dxa"/>
          </w:tcPr>
          <w:p w14:paraId="277B44D1"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2" w:type="dxa"/>
          </w:tcPr>
          <w:p w14:paraId="3F0BDD38"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2127" w:type="dxa"/>
          </w:tcPr>
          <w:p w14:paraId="45327846" w14:textId="77777777" w:rsidR="00F55236" w:rsidRPr="00EA0DC7" w:rsidRDefault="00F55236" w:rsidP="00D61712">
            <w:pPr>
              <w:spacing w:after="120" w:line="240" w:lineRule="auto"/>
              <w:jc w:val="left"/>
              <w:rPr>
                <w:rFonts w:eastAsia="Times New Roman" w:cs="Arial"/>
              </w:rPr>
            </w:pPr>
            <w:r w:rsidRPr="00EA0DC7">
              <w:rPr>
                <w:rFonts w:eastAsia="Times New Roman" w:cs="Arial"/>
              </w:rPr>
              <w:t>Supervisee individual learning styles</w:t>
            </w:r>
          </w:p>
        </w:tc>
        <w:tc>
          <w:tcPr>
            <w:tcW w:w="1134" w:type="dxa"/>
          </w:tcPr>
          <w:p w14:paraId="3C3CE17C" w14:textId="77777777" w:rsidR="00F55236" w:rsidRPr="00EA0DC7" w:rsidRDefault="00F55236" w:rsidP="00CB78E1">
            <w:pPr>
              <w:spacing w:after="120"/>
              <w:jc w:val="center"/>
              <w:rPr>
                <w:rFonts w:eastAsia="Times New Roman" w:cs="Arial"/>
              </w:rPr>
            </w:pPr>
            <w:r w:rsidRPr="00EA0DC7">
              <w:rPr>
                <w:rFonts w:eastAsia="Times New Roman" w:cs="Arial"/>
              </w:rPr>
              <w:t>12</w:t>
            </w:r>
          </w:p>
        </w:tc>
        <w:tc>
          <w:tcPr>
            <w:tcW w:w="1417" w:type="dxa"/>
          </w:tcPr>
          <w:p w14:paraId="06A3138A" w14:textId="77777777" w:rsidR="00F55236" w:rsidRPr="00EA0DC7" w:rsidRDefault="00F55236" w:rsidP="00CB78E1">
            <w:pPr>
              <w:spacing w:after="120"/>
              <w:jc w:val="center"/>
              <w:rPr>
                <w:rFonts w:eastAsia="Times New Roman" w:cs="Arial"/>
              </w:rPr>
            </w:pPr>
            <w:r w:rsidRPr="00EA0DC7">
              <w:rPr>
                <w:rFonts w:eastAsia="Times New Roman" w:cs="Arial"/>
              </w:rPr>
              <w:t>23.08</w:t>
            </w:r>
          </w:p>
        </w:tc>
        <w:tc>
          <w:tcPr>
            <w:tcW w:w="2126" w:type="dxa"/>
          </w:tcPr>
          <w:p w14:paraId="39313F2B" w14:textId="77777777" w:rsidR="00F55236" w:rsidRPr="00EA0DC7" w:rsidRDefault="00F55236" w:rsidP="00CB78E1">
            <w:pPr>
              <w:spacing w:after="120"/>
              <w:rPr>
                <w:rFonts w:eastAsia="Times New Roman" w:cs="Arial"/>
              </w:rPr>
            </w:pPr>
            <w:r w:rsidRPr="00EA0DC7">
              <w:rPr>
                <w:rFonts w:eastAsia="Times New Roman" w:cs="Arial"/>
              </w:rPr>
              <w:t>-</w:t>
            </w:r>
          </w:p>
        </w:tc>
        <w:tc>
          <w:tcPr>
            <w:tcW w:w="1134" w:type="dxa"/>
          </w:tcPr>
          <w:p w14:paraId="31512AA4"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3" w:type="dxa"/>
          </w:tcPr>
          <w:p w14:paraId="11DD9D23" w14:textId="77777777" w:rsidR="00F55236" w:rsidRPr="00EA0DC7" w:rsidRDefault="00F55236" w:rsidP="00CB78E1">
            <w:pPr>
              <w:spacing w:after="120"/>
              <w:jc w:val="center"/>
              <w:rPr>
                <w:rFonts w:eastAsia="Times New Roman" w:cs="Arial"/>
              </w:rPr>
            </w:pPr>
            <w:r w:rsidRPr="00EA0DC7">
              <w:rPr>
                <w:rFonts w:eastAsia="Times New Roman" w:cs="Arial"/>
              </w:rPr>
              <w:t>-</w:t>
            </w:r>
          </w:p>
        </w:tc>
      </w:tr>
      <w:tr w:rsidR="00D61712" w:rsidRPr="00EA0DC7" w14:paraId="5D27D333" w14:textId="77777777" w:rsidTr="00D61712">
        <w:tc>
          <w:tcPr>
            <w:tcW w:w="2410" w:type="dxa"/>
            <w:tcBorders>
              <w:bottom w:val="single" w:sz="4" w:space="0" w:color="auto"/>
            </w:tcBorders>
          </w:tcPr>
          <w:p w14:paraId="641D5990" w14:textId="77777777" w:rsidR="00F55236" w:rsidRPr="00EA0DC7" w:rsidRDefault="00F55236" w:rsidP="00CB78E1">
            <w:pPr>
              <w:spacing w:after="120"/>
              <w:rPr>
                <w:rFonts w:eastAsia="Times New Roman" w:cs="Arial"/>
              </w:rPr>
            </w:pPr>
            <w:r w:rsidRPr="00EA0DC7">
              <w:rPr>
                <w:rFonts w:eastAsia="Times New Roman" w:cs="Arial"/>
              </w:rPr>
              <w:t>-</w:t>
            </w:r>
          </w:p>
        </w:tc>
        <w:tc>
          <w:tcPr>
            <w:tcW w:w="1701" w:type="dxa"/>
            <w:tcBorders>
              <w:bottom w:val="single" w:sz="4" w:space="0" w:color="auto"/>
            </w:tcBorders>
          </w:tcPr>
          <w:p w14:paraId="5501CF4A"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992" w:type="dxa"/>
            <w:tcBorders>
              <w:bottom w:val="single" w:sz="4" w:space="0" w:color="auto"/>
            </w:tcBorders>
          </w:tcPr>
          <w:p w14:paraId="417A2BE4"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2127" w:type="dxa"/>
            <w:tcBorders>
              <w:bottom w:val="single" w:sz="4" w:space="0" w:color="auto"/>
            </w:tcBorders>
          </w:tcPr>
          <w:p w14:paraId="06F293C9" w14:textId="77777777" w:rsidR="00F55236" w:rsidRPr="00EA0DC7" w:rsidRDefault="00F55236" w:rsidP="00D61712">
            <w:pPr>
              <w:spacing w:after="120" w:line="240" w:lineRule="auto"/>
              <w:jc w:val="left"/>
              <w:rPr>
                <w:rFonts w:eastAsia="Times New Roman" w:cs="Arial"/>
              </w:rPr>
            </w:pPr>
            <w:r w:rsidRPr="00EA0DC7">
              <w:rPr>
                <w:rFonts w:eastAsia="Times New Roman" w:cs="Arial"/>
              </w:rPr>
              <w:t>-</w:t>
            </w:r>
          </w:p>
        </w:tc>
        <w:tc>
          <w:tcPr>
            <w:tcW w:w="1134" w:type="dxa"/>
            <w:tcBorders>
              <w:bottom w:val="single" w:sz="4" w:space="0" w:color="auto"/>
            </w:tcBorders>
          </w:tcPr>
          <w:p w14:paraId="231C4436"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1417" w:type="dxa"/>
            <w:tcBorders>
              <w:bottom w:val="single" w:sz="4" w:space="0" w:color="auto"/>
            </w:tcBorders>
          </w:tcPr>
          <w:p w14:paraId="0E719C51" w14:textId="77777777" w:rsidR="00F55236" w:rsidRPr="00EA0DC7" w:rsidRDefault="00F55236" w:rsidP="00CB78E1">
            <w:pPr>
              <w:spacing w:after="120"/>
              <w:jc w:val="center"/>
              <w:rPr>
                <w:rFonts w:eastAsia="Times New Roman" w:cs="Arial"/>
              </w:rPr>
            </w:pPr>
            <w:r w:rsidRPr="00EA0DC7">
              <w:rPr>
                <w:rFonts w:eastAsia="Times New Roman" w:cs="Arial"/>
              </w:rPr>
              <w:t>-</w:t>
            </w:r>
          </w:p>
        </w:tc>
        <w:tc>
          <w:tcPr>
            <w:tcW w:w="2126" w:type="dxa"/>
            <w:tcBorders>
              <w:bottom w:val="single" w:sz="4" w:space="0" w:color="auto"/>
            </w:tcBorders>
          </w:tcPr>
          <w:p w14:paraId="37869AF4" w14:textId="77777777" w:rsidR="00F55236" w:rsidRPr="00EA0DC7" w:rsidRDefault="00F55236" w:rsidP="00D61712">
            <w:pPr>
              <w:spacing w:after="120" w:line="240" w:lineRule="auto"/>
              <w:jc w:val="left"/>
              <w:rPr>
                <w:rFonts w:eastAsia="Times New Roman" w:cs="Arial"/>
              </w:rPr>
            </w:pPr>
            <w:r w:rsidRPr="00EA0DC7">
              <w:rPr>
                <w:rFonts w:eastAsia="Times New Roman" w:cs="Arial"/>
              </w:rPr>
              <w:t xml:space="preserve">Client’s expectations </w:t>
            </w:r>
          </w:p>
        </w:tc>
        <w:tc>
          <w:tcPr>
            <w:tcW w:w="1134" w:type="dxa"/>
            <w:tcBorders>
              <w:bottom w:val="single" w:sz="4" w:space="0" w:color="auto"/>
            </w:tcBorders>
          </w:tcPr>
          <w:p w14:paraId="41F36014" w14:textId="77777777" w:rsidR="00F55236" w:rsidRPr="00EA0DC7" w:rsidRDefault="00F55236" w:rsidP="00CB78E1">
            <w:pPr>
              <w:spacing w:after="120"/>
              <w:jc w:val="center"/>
              <w:rPr>
                <w:rFonts w:eastAsia="Times New Roman" w:cs="Arial"/>
              </w:rPr>
            </w:pPr>
            <w:r w:rsidRPr="00EA0DC7">
              <w:rPr>
                <w:rFonts w:eastAsia="Times New Roman" w:cs="Arial"/>
              </w:rPr>
              <w:t>1</w:t>
            </w:r>
          </w:p>
        </w:tc>
        <w:tc>
          <w:tcPr>
            <w:tcW w:w="993" w:type="dxa"/>
            <w:tcBorders>
              <w:bottom w:val="single" w:sz="4" w:space="0" w:color="auto"/>
            </w:tcBorders>
          </w:tcPr>
          <w:p w14:paraId="30B9A626" w14:textId="77777777" w:rsidR="00F55236" w:rsidRPr="00EA0DC7" w:rsidRDefault="00F55236" w:rsidP="00CB78E1">
            <w:pPr>
              <w:spacing w:after="120"/>
              <w:jc w:val="center"/>
              <w:rPr>
                <w:rFonts w:eastAsia="Times New Roman" w:cs="Arial"/>
              </w:rPr>
            </w:pPr>
            <w:r w:rsidRPr="00EA0DC7">
              <w:rPr>
                <w:rFonts w:eastAsia="Times New Roman" w:cs="Arial"/>
              </w:rPr>
              <w:t>1.92</w:t>
            </w:r>
          </w:p>
        </w:tc>
      </w:tr>
    </w:tbl>
    <w:p w14:paraId="671978E5" w14:textId="77777777" w:rsidR="0026064C" w:rsidRPr="00EA0DC7" w:rsidRDefault="0026064C" w:rsidP="00D61712">
      <w:pPr>
        <w:rPr>
          <w:rFonts w:eastAsia="Times New Roman" w:cs="Times New Roman"/>
          <w:b/>
        </w:rPr>
        <w:sectPr w:rsidR="0026064C" w:rsidRPr="00EA0DC7" w:rsidSect="002A29D3">
          <w:pgSz w:w="16838" w:h="11906" w:orient="landscape"/>
          <w:pgMar w:top="2268" w:right="1440" w:bottom="1440" w:left="1440" w:header="709" w:footer="709" w:gutter="0"/>
          <w:cols w:space="708"/>
          <w:docGrid w:linePitch="360"/>
        </w:sectPr>
      </w:pPr>
    </w:p>
    <w:p w14:paraId="70FBFC28" w14:textId="6E24AE61" w:rsidR="00583C18" w:rsidRPr="00EA0DC7" w:rsidRDefault="000B25F9" w:rsidP="00D61712">
      <w:pPr>
        <w:pStyle w:val="Heading4"/>
        <w:numPr>
          <w:ilvl w:val="0"/>
          <w:numId w:val="0"/>
        </w:numPr>
      </w:pPr>
      <w:r w:rsidRPr="00EA0DC7">
        <w:lastRenderedPageBreak/>
        <w:t xml:space="preserve">2.3.1.2 </w:t>
      </w:r>
      <w:r w:rsidR="00583C18" w:rsidRPr="00EA0DC7">
        <w:t>Overt content of supervision</w:t>
      </w:r>
    </w:p>
    <w:p w14:paraId="573FC4D4" w14:textId="039E7505" w:rsidR="0026064C" w:rsidRPr="00EA0DC7" w:rsidRDefault="0026064C" w:rsidP="0026064C">
      <w:pPr>
        <w:ind w:firstLine="720"/>
        <w:rPr>
          <w:rFonts w:eastAsia="Times New Roman" w:cs="Times New Roman"/>
        </w:rPr>
      </w:pPr>
      <w:r w:rsidRPr="00EA0DC7">
        <w:rPr>
          <w:rFonts w:eastAsia="Times New Roman" w:cs="Times New Roman"/>
        </w:rPr>
        <w:t xml:space="preserve">Guidance for the content of supervision sessions varies across models (see Table 2.3 and Appendix </w:t>
      </w:r>
      <w:r w:rsidR="0049544F" w:rsidRPr="00EA0DC7">
        <w:rPr>
          <w:rFonts w:eastAsia="Times New Roman" w:cs="Times New Roman"/>
        </w:rPr>
        <w:t>2</w:t>
      </w:r>
      <w:r w:rsidRPr="00EA0DC7">
        <w:rPr>
          <w:rFonts w:eastAsia="Times New Roman" w:cs="Times New Roman"/>
        </w:rPr>
        <w:t xml:space="preserve">F). Most, but not all, models explicitly recommend reporting on therapy sessions (78.85%). Some models require that supervisors should observe the therapy sessions, whether through recordings (65.38%) or live supervision (38.46%). However, fewer than half of the models suggest discussion of theory or direction to literature (46.15%). </w:t>
      </w:r>
    </w:p>
    <w:p w14:paraId="446ED879" w14:textId="71F0EAD4" w:rsidR="0026064C" w:rsidRPr="00EA0DC7" w:rsidRDefault="003941AA" w:rsidP="003941AA">
      <w:pPr>
        <w:pStyle w:val="Captions"/>
        <w:rPr>
          <w:rFonts w:eastAsia="Times New Roman" w:cs="Arial"/>
          <w:bCs/>
          <w:szCs w:val="24"/>
        </w:rPr>
      </w:pPr>
      <w:bookmarkStart w:id="77" w:name="_Toc47039919"/>
      <w:r w:rsidRPr="00EA0DC7">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008A7246" w:rsidRPr="00EA0DC7">
        <w:t>.</w:t>
      </w:r>
      <w:r w:rsidR="004F2FDB">
        <w:fldChar w:fldCharType="begin"/>
      </w:r>
      <w:r w:rsidR="004F2FDB">
        <w:instrText xml:space="preserve"> SEQ Table \* ARABIC \s 1 </w:instrText>
      </w:r>
      <w:r w:rsidR="004F2FDB">
        <w:fldChar w:fldCharType="separate"/>
      </w:r>
      <w:r w:rsidR="00694354">
        <w:rPr>
          <w:noProof/>
        </w:rPr>
        <w:t>3</w:t>
      </w:r>
      <w:r w:rsidR="004F2FDB">
        <w:rPr>
          <w:noProof/>
        </w:rPr>
        <w:fldChar w:fldCharType="end"/>
      </w:r>
      <w:r w:rsidRPr="00EA0DC7">
        <w:t>. Number of models focusing on each ‘content of supervision sessions’ element.</w:t>
      </w:r>
      <w:bookmarkEnd w:id="77"/>
    </w:p>
    <w:tbl>
      <w:tblPr>
        <w:tblStyle w:val="TableGrid1"/>
        <w:tblpPr w:leftFromText="180" w:rightFromText="180" w:vertAnchor="text" w:horzAnchor="margin" w:tblpY="2"/>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850"/>
      </w:tblGrid>
      <w:tr w:rsidR="0026064C" w:rsidRPr="00EA0DC7" w14:paraId="57A3A92A" w14:textId="77777777" w:rsidTr="00926E5A">
        <w:tc>
          <w:tcPr>
            <w:tcW w:w="5954" w:type="dxa"/>
            <w:tcBorders>
              <w:top w:val="single" w:sz="4" w:space="0" w:color="auto"/>
              <w:bottom w:val="single" w:sz="4" w:space="0" w:color="auto"/>
            </w:tcBorders>
            <w:vAlign w:val="center"/>
          </w:tcPr>
          <w:p w14:paraId="6B738387"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Content of supervision element</w:t>
            </w:r>
          </w:p>
        </w:tc>
        <w:tc>
          <w:tcPr>
            <w:tcW w:w="1276" w:type="dxa"/>
            <w:tcBorders>
              <w:top w:val="single" w:sz="4" w:space="0" w:color="auto"/>
              <w:bottom w:val="single" w:sz="4" w:space="0" w:color="auto"/>
            </w:tcBorders>
            <w:vAlign w:val="center"/>
          </w:tcPr>
          <w:p w14:paraId="4989CF9F"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No. of models</w:t>
            </w:r>
          </w:p>
        </w:tc>
        <w:tc>
          <w:tcPr>
            <w:tcW w:w="850" w:type="dxa"/>
            <w:tcBorders>
              <w:top w:val="single" w:sz="4" w:space="0" w:color="auto"/>
              <w:bottom w:val="single" w:sz="4" w:space="0" w:color="auto"/>
            </w:tcBorders>
            <w:vAlign w:val="center"/>
          </w:tcPr>
          <w:p w14:paraId="46EEF116" w14:textId="77777777" w:rsidR="0026064C" w:rsidRPr="00EA0DC7" w:rsidRDefault="0026064C" w:rsidP="001E34B3">
            <w:pPr>
              <w:spacing w:before="240" w:after="120" w:line="276" w:lineRule="auto"/>
              <w:jc w:val="center"/>
              <w:rPr>
                <w:rFonts w:eastAsia="Times New Roman" w:cs="Arial"/>
                <w:b/>
              </w:rPr>
            </w:pPr>
            <w:r w:rsidRPr="00EA0DC7">
              <w:rPr>
                <w:rFonts w:eastAsia="Times New Roman" w:cs="Arial"/>
                <w:b/>
              </w:rPr>
              <w:t>%</w:t>
            </w:r>
          </w:p>
        </w:tc>
      </w:tr>
      <w:tr w:rsidR="0026064C" w:rsidRPr="00EA0DC7" w14:paraId="70007AFD" w14:textId="77777777" w:rsidTr="00926E5A">
        <w:tc>
          <w:tcPr>
            <w:tcW w:w="5954" w:type="dxa"/>
            <w:tcBorders>
              <w:top w:val="single" w:sz="4" w:space="0" w:color="auto"/>
            </w:tcBorders>
          </w:tcPr>
          <w:p w14:paraId="3C9D97BC" w14:textId="77777777" w:rsidR="0026064C" w:rsidRPr="00EA0DC7" w:rsidRDefault="0026064C" w:rsidP="001E34B3">
            <w:pPr>
              <w:spacing w:before="240" w:after="120" w:line="276" w:lineRule="auto"/>
              <w:jc w:val="left"/>
              <w:rPr>
                <w:rFonts w:eastAsia="Times New Roman" w:cs="Arial"/>
              </w:rPr>
            </w:pPr>
            <w:r w:rsidRPr="00EA0DC7">
              <w:rPr>
                <w:rFonts w:eastAsia="Times New Roman" w:cs="Arial"/>
                <w:bCs/>
              </w:rPr>
              <w:t>Reporting on therapy sessions</w:t>
            </w:r>
          </w:p>
        </w:tc>
        <w:tc>
          <w:tcPr>
            <w:tcW w:w="1276" w:type="dxa"/>
            <w:tcBorders>
              <w:top w:val="single" w:sz="4" w:space="0" w:color="auto"/>
            </w:tcBorders>
          </w:tcPr>
          <w:p w14:paraId="04D2DB38" w14:textId="77777777" w:rsidR="0026064C" w:rsidRPr="00EA0DC7" w:rsidRDefault="0026064C" w:rsidP="001E34B3">
            <w:pPr>
              <w:spacing w:before="240" w:after="120"/>
              <w:jc w:val="center"/>
              <w:rPr>
                <w:rFonts w:eastAsia="Times New Roman" w:cs="Arial"/>
              </w:rPr>
            </w:pPr>
            <w:r w:rsidRPr="00EA0DC7">
              <w:rPr>
                <w:rFonts w:eastAsia="Times New Roman" w:cs="Arial"/>
              </w:rPr>
              <w:t>41</w:t>
            </w:r>
          </w:p>
        </w:tc>
        <w:tc>
          <w:tcPr>
            <w:tcW w:w="850" w:type="dxa"/>
            <w:tcBorders>
              <w:top w:val="single" w:sz="4" w:space="0" w:color="auto"/>
            </w:tcBorders>
          </w:tcPr>
          <w:p w14:paraId="2830B79B" w14:textId="77777777" w:rsidR="0026064C" w:rsidRPr="00EA0DC7" w:rsidRDefault="0026064C" w:rsidP="001E34B3">
            <w:pPr>
              <w:spacing w:before="240" w:after="120"/>
              <w:jc w:val="center"/>
              <w:rPr>
                <w:rFonts w:eastAsia="Times New Roman" w:cs="Arial"/>
              </w:rPr>
            </w:pPr>
            <w:r w:rsidRPr="00EA0DC7">
              <w:rPr>
                <w:rFonts w:eastAsia="Times New Roman" w:cs="Arial"/>
              </w:rPr>
              <w:t>78.85</w:t>
            </w:r>
          </w:p>
        </w:tc>
      </w:tr>
      <w:tr w:rsidR="0026064C" w:rsidRPr="00EA0DC7" w14:paraId="4965925A" w14:textId="77777777" w:rsidTr="00926E5A">
        <w:tc>
          <w:tcPr>
            <w:tcW w:w="5954" w:type="dxa"/>
          </w:tcPr>
          <w:p w14:paraId="5D7B3944"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Recorded therapy sessions</w:t>
            </w:r>
          </w:p>
        </w:tc>
        <w:tc>
          <w:tcPr>
            <w:tcW w:w="1276" w:type="dxa"/>
          </w:tcPr>
          <w:p w14:paraId="5B50BB32" w14:textId="77777777" w:rsidR="0026064C" w:rsidRPr="00EA0DC7" w:rsidRDefault="0026064C" w:rsidP="004979A5">
            <w:pPr>
              <w:spacing w:after="120"/>
              <w:jc w:val="center"/>
              <w:rPr>
                <w:rFonts w:eastAsia="Times New Roman" w:cs="Arial"/>
              </w:rPr>
            </w:pPr>
            <w:r w:rsidRPr="00EA0DC7">
              <w:rPr>
                <w:rFonts w:eastAsia="Times New Roman" w:cs="Arial"/>
              </w:rPr>
              <w:t>34</w:t>
            </w:r>
          </w:p>
        </w:tc>
        <w:tc>
          <w:tcPr>
            <w:tcW w:w="850" w:type="dxa"/>
          </w:tcPr>
          <w:p w14:paraId="432A50AB" w14:textId="77777777" w:rsidR="0026064C" w:rsidRPr="00EA0DC7" w:rsidRDefault="0026064C" w:rsidP="004979A5">
            <w:pPr>
              <w:spacing w:after="120"/>
              <w:jc w:val="center"/>
              <w:rPr>
                <w:rFonts w:eastAsia="Times New Roman" w:cs="Arial"/>
              </w:rPr>
            </w:pPr>
            <w:r w:rsidRPr="00EA0DC7">
              <w:rPr>
                <w:rFonts w:eastAsia="Times New Roman" w:cs="Arial"/>
              </w:rPr>
              <w:t>65.38</w:t>
            </w:r>
          </w:p>
        </w:tc>
      </w:tr>
      <w:tr w:rsidR="0026064C" w:rsidRPr="00EA0DC7" w14:paraId="16DA23DD" w14:textId="77777777" w:rsidTr="00926E5A">
        <w:tc>
          <w:tcPr>
            <w:tcW w:w="5954" w:type="dxa"/>
          </w:tcPr>
          <w:p w14:paraId="58AC658E"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Interactive discussion between supervisor and supervisee to further understanding/ decide on focus</w:t>
            </w:r>
          </w:p>
        </w:tc>
        <w:tc>
          <w:tcPr>
            <w:tcW w:w="1276" w:type="dxa"/>
          </w:tcPr>
          <w:p w14:paraId="68C0D0C6" w14:textId="77777777" w:rsidR="0026064C" w:rsidRPr="00EA0DC7" w:rsidRDefault="0026064C" w:rsidP="004979A5">
            <w:pPr>
              <w:spacing w:after="120"/>
              <w:jc w:val="center"/>
              <w:rPr>
                <w:rFonts w:eastAsia="Times New Roman" w:cs="Arial"/>
              </w:rPr>
            </w:pPr>
            <w:r w:rsidRPr="00EA0DC7">
              <w:rPr>
                <w:rFonts w:eastAsia="Times New Roman" w:cs="Arial"/>
              </w:rPr>
              <w:t>24</w:t>
            </w:r>
          </w:p>
        </w:tc>
        <w:tc>
          <w:tcPr>
            <w:tcW w:w="850" w:type="dxa"/>
          </w:tcPr>
          <w:p w14:paraId="4816341D" w14:textId="77777777" w:rsidR="0026064C" w:rsidRPr="00EA0DC7" w:rsidRDefault="0026064C" w:rsidP="004979A5">
            <w:pPr>
              <w:spacing w:after="120"/>
              <w:jc w:val="center"/>
              <w:rPr>
                <w:rFonts w:eastAsia="Times New Roman" w:cs="Arial"/>
              </w:rPr>
            </w:pPr>
            <w:r w:rsidRPr="00EA0DC7">
              <w:rPr>
                <w:rFonts w:eastAsia="Times New Roman" w:cs="Arial"/>
              </w:rPr>
              <w:t>46.15</w:t>
            </w:r>
          </w:p>
        </w:tc>
      </w:tr>
      <w:tr w:rsidR="0026064C" w:rsidRPr="00EA0DC7" w14:paraId="2C78A17E" w14:textId="77777777" w:rsidTr="00926E5A">
        <w:tc>
          <w:tcPr>
            <w:tcW w:w="5954" w:type="dxa"/>
          </w:tcPr>
          <w:p w14:paraId="499E9B45" w14:textId="77777777" w:rsidR="0026064C" w:rsidRPr="00EA0DC7" w:rsidRDefault="0026064C" w:rsidP="00926E5A">
            <w:pPr>
              <w:spacing w:after="120" w:line="276" w:lineRule="auto"/>
              <w:jc w:val="left"/>
              <w:rPr>
                <w:rFonts w:eastAsia="Times New Roman" w:cs="Arial"/>
                <w:bCs/>
              </w:rPr>
            </w:pPr>
            <w:r w:rsidRPr="00EA0DC7">
              <w:rPr>
                <w:rFonts w:eastAsia="Times New Roman" w:cs="Arial"/>
                <w:bCs/>
              </w:rPr>
              <w:t>Enactment of therapy sessions/role-play</w:t>
            </w:r>
          </w:p>
        </w:tc>
        <w:tc>
          <w:tcPr>
            <w:tcW w:w="1276" w:type="dxa"/>
          </w:tcPr>
          <w:p w14:paraId="64B77291" w14:textId="77777777" w:rsidR="0026064C" w:rsidRPr="00EA0DC7" w:rsidRDefault="0026064C" w:rsidP="004979A5">
            <w:pPr>
              <w:spacing w:after="120"/>
              <w:jc w:val="center"/>
              <w:rPr>
                <w:rFonts w:eastAsia="Times New Roman" w:cs="Arial"/>
              </w:rPr>
            </w:pPr>
            <w:r w:rsidRPr="00EA0DC7">
              <w:rPr>
                <w:rFonts w:eastAsia="Times New Roman" w:cs="Arial"/>
              </w:rPr>
              <w:t>24</w:t>
            </w:r>
          </w:p>
        </w:tc>
        <w:tc>
          <w:tcPr>
            <w:tcW w:w="850" w:type="dxa"/>
          </w:tcPr>
          <w:p w14:paraId="6CB30FF8" w14:textId="77777777" w:rsidR="0026064C" w:rsidRPr="00EA0DC7" w:rsidRDefault="0026064C" w:rsidP="004979A5">
            <w:pPr>
              <w:spacing w:after="120"/>
              <w:jc w:val="center"/>
              <w:rPr>
                <w:rFonts w:eastAsia="Times New Roman" w:cs="Arial"/>
              </w:rPr>
            </w:pPr>
            <w:r w:rsidRPr="00EA0DC7">
              <w:rPr>
                <w:rFonts w:eastAsia="Times New Roman" w:cs="Arial"/>
              </w:rPr>
              <w:t>46.15</w:t>
            </w:r>
          </w:p>
        </w:tc>
      </w:tr>
      <w:tr w:rsidR="0026064C" w:rsidRPr="00EA0DC7" w14:paraId="5C11BA9C" w14:textId="77777777" w:rsidTr="00926E5A">
        <w:tc>
          <w:tcPr>
            <w:tcW w:w="5954" w:type="dxa"/>
          </w:tcPr>
          <w:p w14:paraId="2AD8371E"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Discussion of theories and reading of literature</w:t>
            </w:r>
          </w:p>
        </w:tc>
        <w:tc>
          <w:tcPr>
            <w:tcW w:w="1276" w:type="dxa"/>
          </w:tcPr>
          <w:p w14:paraId="43C7334B" w14:textId="77777777" w:rsidR="0026064C" w:rsidRPr="00EA0DC7" w:rsidRDefault="0026064C" w:rsidP="004979A5">
            <w:pPr>
              <w:spacing w:after="120"/>
              <w:jc w:val="center"/>
              <w:rPr>
                <w:rFonts w:eastAsia="Times New Roman" w:cs="Arial"/>
              </w:rPr>
            </w:pPr>
            <w:r w:rsidRPr="00EA0DC7">
              <w:rPr>
                <w:rFonts w:eastAsia="Times New Roman" w:cs="Arial"/>
              </w:rPr>
              <w:t>24</w:t>
            </w:r>
          </w:p>
        </w:tc>
        <w:tc>
          <w:tcPr>
            <w:tcW w:w="850" w:type="dxa"/>
          </w:tcPr>
          <w:p w14:paraId="4C07A354" w14:textId="77777777" w:rsidR="0026064C" w:rsidRPr="00EA0DC7" w:rsidRDefault="0026064C" w:rsidP="004979A5">
            <w:pPr>
              <w:spacing w:after="120"/>
              <w:jc w:val="center"/>
              <w:rPr>
                <w:rFonts w:eastAsia="Times New Roman" w:cs="Arial"/>
              </w:rPr>
            </w:pPr>
            <w:r w:rsidRPr="00EA0DC7">
              <w:rPr>
                <w:rFonts w:eastAsia="Times New Roman" w:cs="Arial"/>
              </w:rPr>
              <w:t>46.15</w:t>
            </w:r>
          </w:p>
        </w:tc>
      </w:tr>
      <w:tr w:rsidR="0026064C" w:rsidRPr="00EA0DC7" w14:paraId="2D6BC2D3" w14:textId="77777777" w:rsidTr="00926E5A">
        <w:tc>
          <w:tcPr>
            <w:tcW w:w="5954" w:type="dxa"/>
          </w:tcPr>
          <w:p w14:paraId="2F30DE7F" w14:textId="77777777" w:rsidR="0026064C" w:rsidRPr="00EA0DC7" w:rsidRDefault="0026064C" w:rsidP="00926E5A">
            <w:pPr>
              <w:spacing w:after="120" w:line="276" w:lineRule="auto"/>
              <w:jc w:val="left"/>
              <w:rPr>
                <w:rFonts w:eastAsia="Times New Roman" w:cs="Arial"/>
                <w:bCs/>
              </w:rPr>
            </w:pPr>
            <w:r w:rsidRPr="00EA0DC7">
              <w:rPr>
                <w:rFonts w:eastAsia="Times New Roman" w:cs="Arial"/>
                <w:bCs/>
              </w:rPr>
              <w:t>Live supervision/observation</w:t>
            </w:r>
          </w:p>
        </w:tc>
        <w:tc>
          <w:tcPr>
            <w:tcW w:w="1276" w:type="dxa"/>
          </w:tcPr>
          <w:p w14:paraId="00D4703A" w14:textId="77777777" w:rsidR="0026064C" w:rsidRPr="00EA0DC7" w:rsidRDefault="0026064C" w:rsidP="004979A5">
            <w:pPr>
              <w:spacing w:after="120"/>
              <w:jc w:val="center"/>
              <w:rPr>
                <w:rFonts w:eastAsia="Times New Roman" w:cs="Arial"/>
              </w:rPr>
            </w:pPr>
            <w:r w:rsidRPr="00EA0DC7">
              <w:rPr>
                <w:rFonts w:eastAsia="Times New Roman" w:cs="Arial"/>
              </w:rPr>
              <w:t>20</w:t>
            </w:r>
          </w:p>
        </w:tc>
        <w:tc>
          <w:tcPr>
            <w:tcW w:w="850" w:type="dxa"/>
          </w:tcPr>
          <w:p w14:paraId="70E21C7C" w14:textId="77777777" w:rsidR="0026064C" w:rsidRPr="00EA0DC7" w:rsidRDefault="0026064C" w:rsidP="004979A5">
            <w:pPr>
              <w:spacing w:after="120"/>
              <w:jc w:val="center"/>
              <w:rPr>
                <w:rFonts w:eastAsia="Times New Roman" w:cs="Arial"/>
              </w:rPr>
            </w:pPr>
            <w:r w:rsidRPr="00EA0DC7">
              <w:rPr>
                <w:rFonts w:eastAsia="Times New Roman" w:cs="Arial"/>
              </w:rPr>
              <w:t>38.46</w:t>
            </w:r>
          </w:p>
        </w:tc>
      </w:tr>
      <w:tr w:rsidR="0026064C" w:rsidRPr="00EA0DC7" w14:paraId="5F27BDEC" w14:textId="77777777" w:rsidTr="00926E5A">
        <w:tc>
          <w:tcPr>
            <w:tcW w:w="5954" w:type="dxa"/>
          </w:tcPr>
          <w:p w14:paraId="1A1DEEBF"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Shared experience from the supervisor</w:t>
            </w:r>
          </w:p>
        </w:tc>
        <w:tc>
          <w:tcPr>
            <w:tcW w:w="1276" w:type="dxa"/>
          </w:tcPr>
          <w:p w14:paraId="095CE3EA" w14:textId="77777777" w:rsidR="0026064C" w:rsidRPr="00EA0DC7" w:rsidRDefault="0026064C" w:rsidP="004979A5">
            <w:pPr>
              <w:spacing w:after="120"/>
              <w:jc w:val="center"/>
              <w:rPr>
                <w:rFonts w:eastAsia="Times New Roman" w:cs="Arial"/>
              </w:rPr>
            </w:pPr>
            <w:r w:rsidRPr="00EA0DC7">
              <w:rPr>
                <w:rFonts w:eastAsia="Times New Roman" w:cs="Arial"/>
              </w:rPr>
              <w:t>15</w:t>
            </w:r>
          </w:p>
        </w:tc>
        <w:tc>
          <w:tcPr>
            <w:tcW w:w="850" w:type="dxa"/>
          </w:tcPr>
          <w:p w14:paraId="4BA04945" w14:textId="77777777" w:rsidR="0026064C" w:rsidRPr="00EA0DC7" w:rsidRDefault="0026064C" w:rsidP="004979A5">
            <w:pPr>
              <w:spacing w:after="120"/>
              <w:jc w:val="center"/>
              <w:rPr>
                <w:rFonts w:eastAsia="Times New Roman" w:cs="Arial"/>
              </w:rPr>
            </w:pPr>
            <w:r w:rsidRPr="00EA0DC7">
              <w:rPr>
                <w:rFonts w:eastAsia="Times New Roman" w:cs="Arial"/>
              </w:rPr>
              <w:t>28.85</w:t>
            </w:r>
          </w:p>
        </w:tc>
      </w:tr>
      <w:tr w:rsidR="0026064C" w:rsidRPr="00EA0DC7" w14:paraId="002A2D97" w14:textId="77777777" w:rsidTr="00926E5A">
        <w:tc>
          <w:tcPr>
            <w:tcW w:w="5954" w:type="dxa"/>
          </w:tcPr>
          <w:p w14:paraId="12ADE91E"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Supervisor using enquiry as learning technique</w:t>
            </w:r>
          </w:p>
        </w:tc>
        <w:tc>
          <w:tcPr>
            <w:tcW w:w="1276" w:type="dxa"/>
          </w:tcPr>
          <w:p w14:paraId="34D4EA55" w14:textId="77777777" w:rsidR="0026064C" w:rsidRPr="00EA0DC7" w:rsidRDefault="0026064C" w:rsidP="004979A5">
            <w:pPr>
              <w:spacing w:after="120"/>
              <w:jc w:val="center"/>
              <w:rPr>
                <w:rFonts w:eastAsia="Times New Roman" w:cs="Arial"/>
              </w:rPr>
            </w:pPr>
            <w:r w:rsidRPr="00EA0DC7">
              <w:rPr>
                <w:rFonts w:eastAsia="Times New Roman" w:cs="Arial"/>
              </w:rPr>
              <w:t>6</w:t>
            </w:r>
          </w:p>
        </w:tc>
        <w:tc>
          <w:tcPr>
            <w:tcW w:w="850" w:type="dxa"/>
          </w:tcPr>
          <w:p w14:paraId="672E8ED3" w14:textId="77777777" w:rsidR="0026064C" w:rsidRPr="00EA0DC7" w:rsidRDefault="0026064C" w:rsidP="004979A5">
            <w:pPr>
              <w:spacing w:after="120"/>
              <w:jc w:val="center"/>
              <w:rPr>
                <w:rFonts w:eastAsia="Times New Roman" w:cs="Arial"/>
              </w:rPr>
            </w:pPr>
            <w:r w:rsidRPr="00EA0DC7">
              <w:rPr>
                <w:rFonts w:eastAsia="Times New Roman" w:cs="Arial"/>
              </w:rPr>
              <w:t>11.54</w:t>
            </w:r>
          </w:p>
        </w:tc>
      </w:tr>
      <w:tr w:rsidR="0026064C" w:rsidRPr="00EA0DC7" w14:paraId="4E23DEDE" w14:textId="77777777" w:rsidTr="00926E5A">
        <w:tc>
          <w:tcPr>
            <w:tcW w:w="5954" w:type="dxa"/>
            <w:tcBorders>
              <w:bottom w:val="single" w:sz="4" w:space="0" w:color="auto"/>
            </w:tcBorders>
          </w:tcPr>
          <w:p w14:paraId="6D23B3C6" w14:textId="77777777" w:rsidR="0026064C" w:rsidRPr="00EA0DC7" w:rsidRDefault="0026064C" w:rsidP="00926E5A">
            <w:pPr>
              <w:spacing w:after="120" w:line="276" w:lineRule="auto"/>
              <w:jc w:val="left"/>
              <w:rPr>
                <w:rFonts w:eastAsia="Times New Roman" w:cs="Arial"/>
              </w:rPr>
            </w:pPr>
            <w:r w:rsidRPr="00EA0DC7">
              <w:rPr>
                <w:rFonts w:eastAsia="Times New Roman" w:cs="Arial"/>
                <w:bCs/>
              </w:rPr>
              <w:t>Supervisee takes charge of what is shared in supervision</w:t>
            </w:r>
          </w:p>
        </w:tc>
        <w:tc>
          <w:tcPr>
            <w:tcW w:w="1276" w:type="dxa"/>
            <w:tcBorders>
              <w:bottom w:val="single" w:sz="4" w:space="0" w:color="auto"/>
            </w:tcBorders>
          </w:tcPr>
          <w:p w14:paraId="0DB49C6F" w14:textId="77777777" w:rsidR="0026064C" w:rsidRPr="00EA0DC7" w:rsidRDefault="0026064C" w:rsidP="004979A5">
            <w:pPr>
              <w:spacing w:after="120"/>
              <w:jc w:val="center"/>
              <w:rPr>
                <w:rFonts w:eastAsia="Times New Roman" w:cs="Arial"/>
              </w:rPr>
            </w:pPr>
            <w:r w:rsidRPr="00EA0DC7">
              <w:rPr>
                <w:rFonts w:eastAsia="Times New Roman" w:cs="Arial"/>
              </w:rPr>
              <w:t>3</w:t>
            </w:r>
          </w:p>
        </w:tc>
        <w:tc>
          <w:tcPr>
            <w:tcW w:w="850" w:type="dxa"/>
            <w:tcBorders>
              <w:bottom w:val="single" w:sz="4" w:space="0" w:color="auto"/>
            </w:tcBorders>
          </w:tcPr>
          <w:p w14:paraId="64E20698" w14:textId="77777777" w:rsidR="0026064C" w:rsidRPr="00EA0DC7" w:rsidRDefault="0026064C" w:rsidP="004979A5">
            <w:pPr>
              <w:spacing w:after="120"/>
              <w:jc w:val="center"/>
              <w:rPr>
                <w:rFonts w:eastAsia="Times New Roman" w:cs="Arial"/>
              </w:rPr>
            </w:pPr>
            <w:r w:rsidRPr="00EA0DC7">
              <w:rPr>
                <w:rFonts w:eastAsia="Times New Roman" w:cs="Arial"/>
              </w:rPr>
              <w:t>5.77</w:t>
            </w:r>
          </w:p>
        </w:tc>
      </w:tr>
    </w:tbl>
    <w:p w14:paraId="5129C8D5" w14:textId="77777777" w:rsidR="0026064C" w:rsidRPr="00EA0DC7" w:rsidRDefault="0026064C" w:rsidP="0026064C">
      <w:pPr>
        <w:ind w:firstLine="720"/>
        <w:rPr>
          <w:rFonts w:eastAsia="Times New Roman" w:cs="Times New Roman"/>
          <w:b/>
        </w:rPr>
      </w:pPr>
    </w:p>
    <w:p w14:paraId="44AA525A" w14:textId="2AAE5342" w:rsidR="000B25F9" w:rsidRPr="00EA0DC7" w:rsidRDefault="000B25F9" w:rsidP="004A6EE8">
      <w:pPr>
        <w:pStyle w:val="Heading4"/>
        <w:keepNext/>
      </w:pPr>
      <w:r w:rsidRPr="00EA0DC7">
        <w:lastRenderedPageBreak/>
        <w:t xml:space="preserve">2.3.1.3 </w:t>
      </w:r>
      <w:r w:rsidR="0026064C" w:rsidRPr="00EA0DC7">
        <w:t>Evaluation in supe</w:t>
      </w:r>
      <w:r w:rsidRPr="00EA0DC7">
        <w:t>rvision</w:t>
      </w:r>
    </w:p>
    <w:p w14:paraId="4B0A7995" w14:textId="0148106A" w:rsidR="0026064C" w:rsidRPr="00EA0DC7" w:rsidRDefault="0026064C" w:rsidP="0026064C">
      <w:pPr>
        <w:ind w:firstLine="720"/>
        <w:rPr>
          <w:rFonts w:eastAsia="Times New Roman" w:cs="Times New Roman"/>
          <w:b/>
        </w:rPr>
      </w:pPr>
      <w:r w:rsidRPr="00EA0DC7">
        <w:rPr>
          <w:rFonts w:eastAsia="Times New Roman" w:cs="Times New Roman"/>
        </w:rPr>
        <w:t xml:space="preserve">Over half of the models suggest the use of assessment or evaluation of supervisees (59.62%), and the use of feedback from the supervisor and/or supervisee (57.69%). However, these are not always the same models (see Appendix </w:t>
      </w:r>
      <w:r w:rsidR="0049544F" w:rsidRPr="00EA0DC7">
        <w:rPr>
          <w:rFonts w:eastAsia="Times New Roman" w:cs="Times New Roman"/>
        </w:rPr>
        <w:t>2</w:t>
      </w:r>
      <w:r w:rsidRPr="00EA0DC7">
        <w:rPr>
          <w:rFonts w:eastAsia="Times New Roman" w:cs="Times New Roman"/>
        </w:rPr>
        <w:t>G). In contrast, very few (13.46%) models suggest that evaluation should take the form of client outcome monitoring, and only two models suggest the use of client feedback (3.85%).</w:t>
      </w:r>
    </w:p>
    <w:p w14:paraId="662BD6B6" w14:textId="1399D1F5" w:rsidR="000B25F9" w:rsidRPr="00EA0DC7" w:rsidRDefault="000B25F9" w:rsidP="000B25F9">
      <w:pPr>
        <w:pStyle w:val="Heading4"/>
      </w:pPr>
      <w:r w:rsidRPr="00EA0DC7">
        <w:t>2.3.1.4 Management of supervision</w:t>
      </w:r>
    </w:p>
    <w:p w14:paraId="6BE719AD" w14:textId="426635D4" w:rsidR="0026064C" w:rsidRPr="00EA0DC7" w:rsidRDefault="0026064C" w:rsidP="0026064C">
      <w:pPr>
        <w:ind w:firstLine="720"/>
        <w:rPr>
          <w:rFonts w:eastAsia="Times New Roman" w:cs="Times New Roman"/>
          <w:b/>
        </w:rPr>
      </w:pPr>
      <w:r w:rsidRPr="00EA0DC7">
        <w:rPr>
          <w:rFonts w:eastAsia="Times New Roman" w:cs="Times New Roman"/>
        </w:rPr>
        <w:t xml:space="preserve">There was relatively little focus on how supervision might be planned. Only 23.08% of models suggest the use of supervision contracts, though two of these models (3.85%) go one step further, suggesting re-contracting regularly. Only 17.31% of models discuss the termination process. Finally, only five models (9.62%) discuss some form of supervision of supervision (see Appendix </w:t>
      </w:r>
      <w:r w:rsidR="0049544F" w:rsidRPr="00EA0DC7">
        <w:rPr>
          <w:rFonts w:eastAsia="Times New Roman" w:cs="Times New Roman"/>
        </w:rPr>
        <w:t>2</w:t>
      </w:r>
      <w:r w:rsidRPr="00EA0DC7">
        <w:rPr>
          <w:rFonts w:eastAsia="Times New Roman" w:cs="Times New Roman"/>
        </w:rPr>
        <w:t>H for further details).</w:t>
      </w:r>
    </w:p>
    <w:p w14:paraId="69A110B6" w14:textId="707A9157" w:rsidR="000B25F9" w:rsidRPr="00EA0DC7" w:rsidRDefault="000B25F9" w:rsidP="000B25F9">
      <w:pPr>
        <w:pStyle w:val="Heading4"/>
      </w:pPr>
      <w:r w:rsidRPr="00EA0DC7">
        <w:t>2.3.1.5 Relationships in supervision</w:t>
      </w:r>
    </w:p>
    <w:p w14:paraId="1BD0E5CE" w14:textId="07C9F3F7" w:rsidR="0026064C" w:rsidRPr="00EA0DC7" w:rsidRDefault="0026064C" w:rsidP="0026064C">
      <w:pPr>
        <w:ind w:firstLine="720"/>
        <w:rPr>
          <w:rFonts w:eastAsia="Times New Roman" w:cs="Times New Roman"/>
          <w:b/>
        </w:rPr>
      </w:pPr>
      <w:r w:rsidRPr="00EA0DC7">
        <w:rPr>
          <w:rFonts w:eastAsia="Times New Roman" w:cs="Times New Roman"/>
        </w:rPr>
        <w:t xml:space="preserve">Most models discuss the supervisor and supervisee relationship (82.69%), but only around half discuss the supervisee and client relationship (51.92%). In even greater contrast, only three models (5.77%) discuss the relationship between the supervisor and client (see Appendix </w:t>
      </w:r>
      <w:r w:rsidR="0049544F" w:rsidRPr="00EA0DC7">
        <w:rPr>
          <w:rFonts w:eastAsia="Times New Roman" w:cs="Times New Roman"/>
        </w:rPr>
        <w:t>2</w:t>
      </w:r>
      <w:r w:rsidRPr="00EA0DC7">
        <w:rPr>
          <w:rFonts w:eastAsia="Times New Roman" w:cs="Times New Roman"/>
        </w:rPr>
        <w:t>I).</w:t>
      </w:r>
    </w:p>
    <w:p w14:paraId="085E8A35" w14:textId="745E09D8" w:rsidR="000B25F9" w:rsidRPr="00EA0DC7" w:rsidRDefault="000B25F9" w:rsidP="000B25F9">
      <w:pPr>
        <w:pStyle w:val="Heading4"/>
      </w:pPr>
      <w:r w:rsidRPr="00EA0DC7">
        <w:t xml:space="preserve">2.3.1.6 </w:t>
      </w:r>
      <w:r w:rsidR="0026064C" w:rsidRPr="00EA0DC7">
        <w:t>Idiosyncrati</w:t>
      </w:r>
      <w:r w:rsidRPr="00EA0DC7">
        <w:t>c methods in supervision models</w:t>
      </w:r>
    </w:p>
    <w:p w14:paraId="380CCF4D" w14:textId="0DE43F56" w:rsidR="0026064C" w:rsidRPr="00EA0DC7" w:rsidRDefault="0026064C" w:rsidP="0026064C">
      <w:pPr>
        <w:ind w:firstLine="720"/>
        <w:rPr>
          <w:rFonts w:eastAsia="Times New Roman" w:cs="Times New Roman"/>
          <w:b/>
        </w:rPr>
      </w:pPr>
      <w:r w:rsidRPr="00EA0DC7">
        <w:rPr>
          <w:rFonts w:eastAsia="Times New Roman" w:cs="Times New Roman"/>
        </w:rPr>
        <w:t xml:space="preserve">Six further elements (which have not already been covered) were found in the content analysis, each of which was present in only one or two of the models (as detailed in Appendices </w:t>
      </w:r>
      <w:r w:rsidR="0049544F" w:rsidRPr="00EA0DC7">
        <w:rPr>
          <w:rFonts w:eastAsia="Times New Roman" w:cs="Times New Roman"/>
        </w:rPr>
        <w:t>2</w:t>
      </w:r>
      <w:r w:rsidRPr="00EA0DC7">
        <w:rPr>
          <w:rFonts w:eastAsia="Times New Roman" w:cs="Times New Roman"/>
        </w:rPr>
        <w:t>J-</w:t>
      </w:r>
      <w:r w:rsidR="0049544F" w:rsidRPr="00EA0DC7">
        <w:rPr>
          <w:rFonts w:eastAsia="Times New Roman" w:cs="Times New Roman"/>
        </w:rPr>
        <w:t>2</w:t>
      </w:r>
      <w:r w:rsidRPr="00EA0DC7">
        <w:rPr>
          <w:rFonts w:eastAsia="Times New Roman" w:cs="Times New Roman"/>
        </w:rPr>
        <w:t xml:space="preserve">L). They were: the use of phone/email/teleconferencing for supervision sessions (two models); the use </w:t>
      </w:r>
      <w:r w:rsidRPr="00EA0DC7">
        <w:rPr>
          <w:rFonts w:eastAsia="Times New Roman" w:cs="Times New Roman"/>
        </w:rPr>
        <w:lastRenderedPageBreak/>
        <w:t xml:space="preserve">of imagery or metaphor in supervision (two models); setting of homework in supervision (two models); acceptance of therapist regression during supervision (two models); the role of an administrator in the supervision process (two models); and the suggestion that clients should be invited into supervision sessions (one model). </w:t>
      </w:r>
    </w:p>
    <w:p w14:paraId="0F202C9D" w14:textId="57B8119B" w:rsidR="000B25F9" w:rsidRPr="00EA0DC7" w:rsidRDefault="000B25F9" w:rsidP="000B25F9">
      <w:pPr>
        <w:pStyle w:val="Heading4"/>
      </w:pPr>
      <w:r w:rsidRPr="00EA0DC7">
        <w:t>2.3.1.7 Evidence</w:t>
      </w:r>
    </w:p>
    <w:p w14:paraId="5E79910A" w14:textId="04B782C3" w:rsidR="0026064C" w:rsidRPr="00EA0DC7" w:rsidRDefault="0026064C" w:rsidP="0026064C">
      <w:pPr>
        <w:ind w:firstLine="720"/>
        <w:rPr>
          <w:rFonts w:eastAsia="Times New Roman" w:cs="Times New Roman"/>
          <w:b/>
          <w:iCs/>
        </w:rPr>
      </w:pPr>
      <w:r w:rsidRPr="00EA0DC7">
        <w:rPr>
          <w:rFonts w:eastAsia="Times New Roman" w:cs="Times New Roman"/>
        </w:rPr>
        <w:t xml:space="preserve">While 73.08% of models cite empirical evidence in the model, none of the models themselves are based on an empirical study (see Appendix </w:t>
      </w:r>
      <w:r w:rsidR="00077D45" w:rsidRPr="00EA0DC7">
        <w:rPr>
          <w:rFonts w:eastAsia="Times New Roman" w:cs="Times New Roman"/>
        </w:rPr>
        <w:t>2</w:t>
      </w:r>
      <w:r w:rsidRPr="00EA0DC7">
        <w:rPr>
          <w:rFonts w:eastAsia="Times New Roman" w:cs="Times New Roman"/>
        </w:rPr>
        <w:t xml:space="preserve">M). Seven models (13.46%) were empirically tested after their development (Table 2.4). The majority of empirical tests investigate model construct validity or developmental structure rather than the impact of the model on the supervisee. None of the empirical investigations test the model’s impact on the patient. </w:t>
      </w:r>
      <w:bookmarkStart w:id="78" w:name="_Ref450736772"/>
    </w:p>
    <w:p w14:paraId="672714EA" w14:textId="77777777" w:rsidR="00926E5A" w:rsidRPr="00EA0DC7" w:rsidRDefault="00926E5A">
      <w:pPr>
        <w:spacing w:line="276" w:lineRule="auto"/>
        <w:jc w:val="left"/>
      </w:pPr>
      <w:bookmarkStart w:id="79" w:name="_Toc508812085"/>
      <w:bookmarkEnd w:id="78"/>
      <w:r w:rsidRPr="00EA0DC7">
        <w:br w:type="page"/>
      </w:r>
    </w:p>
    <w:p w14:paraId="78BE2530" w14:textId="250C2A0B" w:rsidR="0026064C" w:rsidRPr="00EA0DC7" w:rsidRDefault="008A7246" w:rsidP="008A7246">
      <w:pPr>
        <w:pStyle w:val="Captions"/>
        <w:rPr>
          <w:rFonts w:eastAsia="Calibri" w:cs="Arial"/>
          <w:bCs/>
          <w:i/>
          <w:iCs/>
          <w:szCs w:val="24"/>
        </w:rPr>
      </w:pPr>
      <w:bookmarkStart w:id="80" w:name="_Toc47039920"/>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4</w:t>
      </w:r>
      <w:r w:rsidR="004F2FDB">
        <w:rPr>
          <w:noProof/>
        </w:rPr>
        <w:fldChar w:fldCharType="end"/>
      </w:r>
      <w:r w:rsidRPr="00EA0DC7">
        <w:t>. Empirical testing of models after their development.</w:t>
      </w:r>
      <w:bookmarkEnd w:id="8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828"/>
        <w:gridCol w:w="1989"/>
      </w:tblGrid>
      <w:tr w:rsidR="0026064C" w:rsidRPr="00EA0DC7" w14:paraId="294B33C6" w14:textId="77777777" w:rsidTr="00926E5A">
        <w:tc>
          <w:tcPr>
            <w:tcW w:w="2268" w:type="dxa"/>
            <w:tcBorders>
              <w:top w:val="single" w:sz="4" w:space="0" w:color="auto"/>
              <w:bottom w:val="single" w:sz="4" w:space="0" w:color="auto"/>
            </w:tcBorders>
          </w:tcPr>
          <w:p w14:paraId="31A5AC9B" w14:textId="77777777" w:rsidR="0026064C" w:rsidRPr="00EA0DC7" w:rsidRDefault="0026064C" w:rsidP="00926E5A">
            <w:pPr>
              <w:spacing w:after="120" w:line="276" w:lineRule="auto"/>
              <w:jc w:val="center"/>
              <w:rPr>
                <w:rFonts w:eastAsia="Times New Roman" w:cs="Arial"/>
                <w:b/>
              </w:rPr>
            </w:pPr>
            <w:r w:rsidRPr="00EA0DC7">
              <w:rPr>
                <w:rFonts w:eastAsia="Times New Roman" w:cs="Arial"/>
                <w:b/>
              </w:rPr>
              <w:t>Model</w:t>
            </w:r>
          </w:p>
        </w:tc>
        <w:tc>
          <w:tcPr>
            <w:tcW w:w="3828" w:type="dxa"/>
            <w:tcBorders>
              <w:top w:val="single" w:sz="4" w:space="0" w:color="auto"/>
              <w:bottom w:val="single" w:sz="4" w:space="0" w:color="auto"/>
            </w:tcBorders>
          </w:tcPr>
          <w:p w14:paraId="3BDB8E0D" w14:textId="77777777" w:rsidR="0026064C" w:rsidRPr="00EA0DC7" w:rsidRDefault="0026064C" w:rsidP="00926E5A">
            <w:pPr>
              <w:spacing w:after="120" w:line="276" w:lineRule="auto"/>
              <w:jc w:val="center"/>
              <w:rPr>
                <w:rFonts w:eastAsia="Times New Roman" w:cs="Arial"/>
                <w:b/>
              </w:rPr>
            </w:pPr>
            <w:r w:rsidRPr="00EA0DC7">
              <w:rPr>
                <w:rFonts w:eastAsia="Times New Roman" w:cs="Arial"/>
                <w:b/>
              </w:rPr>
              <w:t>Test of construct validity and/ or developmental structure</w:t>
            </w:r>
          </w:p>
        </w:tc>
        <w:tc>
          <w:tcPr>
            <w:tcW w:w="1989" w:type="dxa"/>
            <w:tcBorders>
              <w:top w:val="single" w:sz="4" w:space="0" w:color="auto"/>
              <w:bottom w:val="single" w:sz="4" w:space="0" w:color="auto"/>
            </w:tcBorders>
          </w:tcPr>
          <w:p w14:paraId="70E55718" w14:textId="77777777" w:rsidR="0026064C" w:rsidRPr="00EA0DC7" w:rsidRDefault="0026064C" w:rsidP="00926E5A">
            <w:pPr>
              <w:spacing w:after="120" w:line="276" w:lineRule="auto"/>
              <w:jc w:val="center"/>
              <w:rPr>
                <w:rFonts w:eastAsia="Times New Roman" w:cs="Arial"/>
                <w:b/>
              </w:rPr>
            </w:pPr>
            <w:r w:rsidRPr="00EA0DC7">
              <w:rPr>
                <w:rFonts w:eastAsia="Times New Roman" w:cs="Arial"/>
                <w:b/>
              </w:rPr>
              <w:t>Test of impact on supervisee</w:t>
            </w:r>
          </w:p>
        </w:tc>
      </w:tr>
      <w:tr w:rsidR="0026064C" w:rsidRPr="00EA0DC7" w14:paraId="222847D6" w14:textId="77777777" w:rsidTr="00926E5A">
        <w:tc>
          <w:tcPr>
            <w:tcW w:w="2268" w:type="dxa"/>
            <w:tcBorders>
              <w:top w:val="single" w:sz="4" w:space="0" w:color="auto"/>
            </w:tcBorders>
          </w:tcPr>
          <w:p w14:paraId="450DF6BD" w14:textId="77777777" w:rsidR="0026064C" w:rsidRPr="00EA0DC7" w:rsidRDefault="0026064C" w:rsidP="00926E5A">
            <w:pPr>
              <w:spacing w:after="200" w:line="276" w:lineRule="auto"/>
              <w:jc w:val="left"/>
              <w:rPr>
                <w:rFonts w:eastAsia="Times New Roman" w:cs="Arial"/>
                <w:i/>
                <w:iCs/>
              </w:rPr>
            </w:pPr>
            <w:r w:rsidRPr="00EA0DC7">
              <w:rPr>
                <w:rFonts w:eastAsia="Times New Roman" w:cs="Arial"/>
                <w:i/>
                <w:iCs/>
                <w:noProof/>
              </w:rPr>
              <w:t>Hogan (1964)</w:t>
            </w:r>
          </w:p>
        </w:tc>
        <w:tc>
          <w:tcPr>
            <w:tcW w:w="3828" w:type="dxa"/>
            <w:tcBorders>
              <w:top w:val="single" w:sz="4" w:space="0" w:color="auto"/>
            </w:tcBorders>
          </w:tcPr>
          <w:p w14:paraId="43BF9943"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Reising &amp; Daniels (1983)</w:t>
            </w:r>
          </w:p>
        </w:tc>
        <w:tc>
          <w:tcPr>
            <w:tcW w:w="1989" w:type="dxa"/>
            <w:tcBorders>
              <w:top w:val="single" w:sz="4" w:space="0" w:color="auto"/>
            </w:tcBorders>
          </w:tcPr>
          <w:p w14:paraId="286768B2" w14:textId="77777777" w:rsidR="0026064C" w:rsidRPr="00EA0DC7" w:rsidRDefault="0026064C" w:rsidP="00926E5A">
            <w:pPr>
              <w:spacing w:after="200" w:line="276" w:lineRule="auto"/>
              <w:jc w:val="left"/>
              <w:rPr>
                <w:rFonts w:eastAsia="Times New Roman" w:cs="Arial"/>
              </w:rPr>
            </w:pPr>
            <w:r w:rsidRPr="00EA0DC7">
              <w:rPr>
                <w:rFonts w:eastAsia="Times New Roman" w:cs="Arial"/>
              </w:rPr>
              <w:t>-</w:t>
            </w:r>
          </w:p>
        </w:tc>
      </w:tr>
      <w:tr w:rsidR="0026064C" w:rsidRPr="00EA0DC7" w14:paraId="0C59B51A" w14:textId="77777777" w:rsidTr="00926E5A">
        <w:tc>
          <w:tcPr>
            <w:tcW w:w="2268" w:type="dxa"/>
          </w:tcPr>
          <w:p w14:paraId="7E58A80B" w14:textId="77777777" w:rsidR="0026064C" w:rsidRPr="00EA0DC7" w:rsidRDefault="0026064C" w:rsidP="00926E5A">
            <w:pPr>
              <w:tabs>
                <w:tab w:val="right" w:pos="2865"/>
              </w:tabs>
              <w:spacing w:after="200" w:line="276" w:lineRule="auto"/>
              <w:jc w:val="left"/>
              <w:rPr>
                <w:rFonts w:eastAsia="Times New Roman" w:cs="Arial"/>
                <w:i/>
                <w:iCs/>
              </w:rPr>
            </w:pPr>
            <w:r w:rsidRPr="00EA0DC7">
              <w:rPr>
                <w:rFonts w:eastAsia="Times New Roman" w:cs="Arial"/>
                <w:i/>
                <w:iCs/>
                <w:noProof/>
              </w:rPr>
              <w:t>Bernard (1979)</w:t>
            </w:r>
          </w:p>
        </w:tc>
        <w:tc>
          <w:tcPr>
            <w:tcW w:w="3828" w:type="dxa"/>
          </w:tcPr>
          <w:p w14:paraId="2A339CE4" w14:textId="77777777" w:rsidR="0026064C" w:rsidRPr="00EA0DC7" w:rsidRDefault="0026064C" w:rsidP="00926E5A">
            <w:pPr>
              <w:tabs>
                <w:tab w:val="right" w:pos="2865"/>
              </w:tabs>
              <w:spacing w:after="200" w:line="276" w:lineRule="auto"/>
              <w:jc w:val="left"/>
              <w:rPr>
                <w:rFonts w:eastAsia="Times New Roman" w:cs="Arial"/>
                <w:iCs/>
              </w:rPr>
            </w:pPr>
            <w:r w:rsidRPr="00EA0DC7">
              <w:rPr>
                <w:rFonts w:eastAsia="Times New Roman" w:cs="Arial"/>
                <w:iCs/>
                <w:noProof/>
              </w:rPr>
              <w:t>Stenack &amp; Dye (1982)</w:t>
            </w:r>
          </w:p>
          <w:p w14:paraId="1916AA13" w14:textId="77777777" w:rsidR="0026064C" w:rsidRPr="00EA0DC7" w:rsidRDefault="0026064C" w:rsidP="00926E5A">
            <w:pPr>
              <w:tabs>
                <w:tab w:val="right" w:pos="2865"/>
              </w:tabs>
              <w:spacing w:after="200" w:line="276" w:lineRule="auto"/>
              <w:jc w:val="left"/>
              <w:rPr>
                <w:rFonts w:eastAsia="Times New Roman" w:cs="Arial"/>
                <w:iCs/>
              </w:rPr>
            </w:pPr>
            <w:r w:rsidRPr="00EA0DC7">
              <w:rPr>
                <w:rFonts w:eastAsia="Times New Roman" w:cs="Arial"/>
                <w:iCs/>
                <w:noProof/>
              </w:rPr>
              <w:t>Ellis &amp; Dell (1986)</w:t>
            </w:r>
          </w:p>
          <w:p w14:paraId="15876D2D" w14:textId="5732D7A8" w:rsidR="00926E5A" w:rsidRPr="00EA0DC7" w:rsidRDefault="0026064C" w:rsidP="00926E5A">
            <w:pPr>
              <w:spacing w:after="200" w:line="276" w:lineRule="auto"/>
              <w:jc w:val="left"/>
              <w:rPr>
                <w:rFonts w:eastAsia="Times New Roman" w:cs="Arial"/>
                <w:noProof/>
              </w:rPr>
            </w:pPr>
            <w:r w:rsidRPr="00EA0DC7">
              <w:rPr>
                <w:rFonts w:eastAsia="Times New Roman" w:cs="Arial"/>
                <w:noProof/>
              </w:rPr>
              <w:t>Ellis, Dell, &amp; Good (1988)</w:t>
            </w:r>
          </w:p>
        </w:tc>
        <w:tc>
          <w:tcPr>
            <w:tcW w:w="1989" w:type="dxa"/>
          </w:tcPr>
          <w:p w14:paraId="07741BC3" w14:textId="77777777" w:rsidR="0026064C" w:rsidRPr="00EA0DC7" w:rsidRDefault="0026064C" w:rsidP="00926E5A">
            <w:pPr>
              <w:spacing w:after="200" w:line="276" w:lineRule="auto"/>
              <w:jc w:val="left"/>
              <w:rPr>
                <w:rFonts w:eastAsia="Times New Roman" w:cs="Arial"/>
              </w:rPr>
            </w:pPr>
            <w:r w:rsidRPr="00EA0DC7">
              <w:rPr>
                <w:rFonts w:eastAsia="Times New Roman" w:cs="Arial"/>
              </w:rPr>
              <w:t>-</w:t>
            </w:r>
          </w:p>
        </w:tc>
      </w:tr>
      <w:tr w:rsidR="0026064C" w:rsidRPr="00EA0DC7" w14:paraId="1AE429C3" w14:textId="77777777" w:rsidTr="00926E5A">
        <w:tc>
          <w:tcPr>
            <w:tcW w:w="2268" w:type="dxa"/>
          </w:tcPr>
          <w:p w14:paraId="68854ED4" w14:textId="77777777" w:rsidR="0026064C" w:rsidRPr="00EA0DC7" w:rsidRDefault="0026064C" w:rsidP="00926E5A">
            <w:pPr>
              <w:tabs>
                <w:tab w:val="right" w:pos="2865"/>
              </w:tabs>
              <w:spacing w:after="200" w:line="276" w:lineRule="auto"/>
              <w:jc w:val="left"/>
              <w:rPr>
                <w:rFonts w:eastAsia="Times New Roman" w:cs="Arial"/>
                <w:i/>
                <w:iCs/>
              </w:rPr>
            </w:pPr>
            <w:r w:rsidRPr="00EA0DC7">
              <w:rPr>
                <w:rFonts w:eastAsia="Times New Roman" w:cs="Arial"/>
                <w:i/>
                <w:iCs/>
                <w:noProof/>
              </w:rPr>
              <w:t>Littrell, Lee-Borden, &amp; Lorenz (1979)</w:t>
            </w:r>
          </w:p>
        </w:tc>
        <w:tc>
          <w:tcPr>
            <w:tcW w:w="3828" w:type="dxa"/>
          </w:tcPr>
          <w:p w14:paraId="5D2E178C"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Ellis &amp; Dell (1986)</w:t>
            </w:r>
          </w:p>
          <w:p w14:paraId="4C4A2B5A" w14:textId="77777777" w:rsidR="0026064C" w:rsidRPr="00EA0DC7" w:rsidRDefault="0026064C" w:rsidP="00260855">
            <w:pPr>
              <w:spacing w:after="200" w:line="276" w:lineRule="auto"/>
              <w:jc w:val="left"/>
              <w:rPr>
                <w:rFonts w:eastAsia="Times New Roman" w:cs="Arial"/>
                <w:iCs/>
              </w:rPr>
            </w:pPr>
            <w:r w:rsidRPr="00EA0DC7">
              <w:rPr>
                <w:rFonts w:eastAsia="Times New Roman" w:cs="Arial"/>
                <w:noProof/>
              </w:rPr>
              <w:t>Ellis et al. (1988)</w:t>
            </w:r>
          </w:p>
        </w:tc>
        <w:tc>
          <w:tcPr>
            <w:tcW w:w="1989" w:type="dxa"/>
          </w:tcPr>
          <w:p w14:paraId="546DFF33" w14:textId="77777777" w:rsidR="0026064C" w:rsidRPr="00EA0DC7" w:rsidRDefault="0026064C" w:rsidP="00926E5A">
            <w:pPr>
              <w:spacing w:after="200" w:line="276" w:lineRule="auto"/>
              <w:jc w:val="left"/>
              <w:rPr>
                <w:rFonts w:eastAsia="Times New Roman" w:cs="Arial"/>
              </w:rPr>
            </w:pPr>
            <w:r w:rsidRPr="00EA0DC7">
              <w:rPr>
                <w:rFonts w:eastAsia="Times New Roman" w:cs="Arial"/>
              </w:rPr>
              <w:t>-</w:t>
            </w:r>
          </w:p>
        </w:tc>
      </w:tr>
      <w:tr w:rsidR="0026064C" w:rsidRPr="00EA0DC7" w14:paraId="08E4C06D" w14:textId="77777777" w:rsidTr="00926E5A">
        <w:tc>
          <w:tcPr>
            <w:tcW w:w="2268" w:type="dxa"/>
          </w:tcPr>
          <w:p w14:paraId="3E22D656" w14:textId="77777777" w:rsidR="0026064C" w:rsidRPr="00EA0DC7" w:rsidRDefault="0026064C" w:rsidP="00926E5A">
            <w:pPr>
              <w:tabs>
                <w:tab w:val="right" w:pos="2865"/>
              </w:tabs>
              <w:spacing w:after="200" w:line="276" w:lineRule="auto"/>
              <w:jc w:val="left"/>
              <w:rPr>
                <w:rFonts w:eastAsia="Times New Roman" w:cs="Arial"/>
                <w:i/>
                <w:iCs/>
              </w:rPr>
            </w:pPr>
            <w:r w:rsidRPr="00EA0DC7">
              <w:rPr>
                <w:rFonts w:eastAsia="Times New Roman" w:cs="Arial"/>
                <w:i/>
                <w:iCs/>
                <w:noProof/>
              </w:rPr>
              <w:t>Stoltenberg (1981)</w:t>
            </w:r>
          </w:p>
        </w:tc>
        <w:tc>
          <w:tcPr>
            <w:tcW w:w="3828" w:type="dxa"/>
          </w:tcPr>
          <w:p w14:paraId="5985796E"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Friedlander &amp; Snyder (1983)</w:t>
            </w:r>
          </w:p>
          <w:p w14:paraId="70906925"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Miars et al. (1983)</w:t>
            </w:r>
          </w:p>
          <w:p w14:paraId="6F1E97C4"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McNeill, Stoltenberg, &amp; Pierce (1985)</w:t>
            </w:r>
          </w:p>
          <w:p w14:paraId="03B126A1"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Stoltenberg, Solomon, &amp; Ogden (1986)</w:t>
            </w:r>
          </w:p>
          <w:p w14:paraId="3E239BAC"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Wiley &amp; Ray (1986)</w:t>
            </w:r>
          </w:p>
          <w:p w14:paraId="7717DD43"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Stoltenberg, Pierce, &amp; McNeill (1987)</w:t>
            </w:r>
          </w:p>
          <w:p w14:paraId="699053FD"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Krause &amp; Allen (1988)</w:t>
            </w:r>
          </w:p>
          <w:p w14:paraId="60F30C77" w14:textId="77777777" w:rsidR="0026064C" w:rsidRPr="00EA0DC7" w:rsidRDefault="0026064C" w:rsidP="00260855">
            <w:pPr>
              <w:spacing w:after="200" w:line="276" w:lineRule="auto"/>
              <w:jc w:val="left"/>
              <w:rPr>
                <w:rFonts w:eastAsia="Times New Roman" w:cs="Arial"/>
                <w:iCs/>
              </w:rPr>
            </w:pPr>
            <w:r w:rsidRPr="00EA0DC7">
              <w:rPr>
                <w:rFonts w:eastAsia="Times New Roman" w:cs="Arial"/>
                <w:noProof/>
              </w:rPr>
              <w:t>Chagnon &amp; Russell (1995)</w:t>
            </w:r>
          </w:p>
        </w:tc>
        <w:tc>
          <w:tcPr>
            <w:tcW w:w="1989" w:type="dxa"/>
          </w:tcPr>
          <w:p w14:paraId="67321F39" w14:textId="77777777" w:rsidR="0026064C" w:rsidRPr="00EA0DC7" w:rsidRDefault="0026064C" w:rsidP="00926E5A">
            <w:pPr>
              <w:tabs>
                <w:tab w:val="right" w:pos="2865"/>
              </w:tabs>
              <w:spacing w:after="200" w:line="276" w:lineRule="auto"/>
              <w:jc w:val="left"/>
              <w:rPr>
                <w:rFonts w:eastAsia="Times New Roman" w:cs="Arial"/>
                <w:iCs/>
                <w:noProof/>
              </w:rPr>
            </w:pPr>
            <w:r w:rsidRPr="00EA0DC7">
              <w:rPr>
                <w:rFonts w:eastAsia="Times New Roman" w:cs="Arial"/>
                <w:iCs/>
                <w:noProof/>
              </w:rPr>
              <w:t>Krause &amp; Allen (1988)</w:t>
            </w:r>
          </w:p>
        </w:tc>
      </w:tr>
      <w:tr w:rsidR="0026064C" w:rsidRPr="00EA0DC7" w14:paraId="0CEE5833" w14:textId="77777777" w:rsidTr="00926E5A">
        <w:tc>
          <w:tcPr>
            <w:tcW w:w="2268" w:type="dxa"/>
          </w:tcPr>
          <w:p w14:paraId="4AB6CC98" w14:textId="77777777" w:rsidR="0026064C" w:rsidRPr="00EA0DC7" w:rsidRDefault="0026064C" w:rsidP="00926E5A">
            <w:pPr>
              <w:tabs>
                <w:tab w:val="right" w:pos="2865"/>
              </w:tabs>
              <w:spacing w:after="200" w:line="276" w:lineRule="auto"/>
              <w:jc w:val="left"/>
              <w:rPr>
                <w:rFonts w:eastAsia="Times New Roman" w:cs="Arial"/>
                <w:i/>
                <w:iCs/>
              </w:rPr>
            </w:pPr>
            <w:r w:rsidRPr="00EA0DC7">
              <w:rPr>
                <w:rFonts w:eastAsia="Times New Roman" w:cs="Arial"/>
                <w:i/>
                <w:iCs/>
                <w:noProof/>
              </w:rPr>
              <w:t>Loganbill, Hardy, &amp; Delworth (1982)</w:t>
            </w:r>
          </w:p>
        </w:tc>
        <w:tc>
          <w:tcPr>
            <w:tcW w:w="3828" w:type="dxa"/>
          </w:tcPr>
          <w:p w14:paraId="61D3C97E" w14:textId="77777777" w:rsidR="0026064C" w:rsidRPr="00EA0DC7" w:rsidRDefault="0026064C" w:rsidP="00926E5A">
            <w:pPr>
              <w:spacing w:after="200" w:line="276" w:lineRule="auto"/>
              <w:jc w:val="left"/>
              <w:rPr>
                <w:rFonts w:eastAsia="Times New Roman" w:cs="Arial"/>
              </w:rPr>
            </w:pPr>
            <w:r w:rsidRPr="00EA0DC7">
              <w:rPr>
                <w:rFonts w:eastAsia="Times New Roman" w:cs="Arial"/>
                <w:noProof/>
              </w:rPr>
              <w:t>Heppner &amp; Roehlke (1984)</w:t>
            </w:r>
          </w:p>
          <w:p w14:paraId="14E5E4A8" w14:textId="77777777" w:rsidR="0026064C" w:rsidRPr="00EA0DC7" w:rsidRDefault="0026064C" w:rsidP="00926E5A">
            <w:pPr>
              <w:spacing w:after="200" w:line="276" w:lineRule="auto"/>
              <w:jc w:val="left"/>
              <w:rPr>
                <w:rFonts w:eastAsia="Times New Roman" w:cs="Arial"/>
                <w:iCs/>
              </w:rPr>
            </w:pPr>
            <w:r w:rsidRPr="00EA0DC7">
              <w:rPr>
                <w:rFonts w:eastAsia="Times New Roman" w:cs="Arial"/>
                <w:iCs/>
                <w:noProof/>
              </w:rPr>
              <w:t>Ellis (1991)</w:t>
            </w:r>
          </w:p>
          <w:p w14:paraId="5281BA80" w14:textId="77777777" w:rsidR="0026064C" w:rsidRPr="00EA0DC7" w:rsidRDefault="0026064C" w:rsidP="00260855">
            <w:pPr>
              <w:spacing w:after="200" w:line="276" w:lineRule="auto"/>
              <w:jc w:val="left"/>
              <w:rPr>
                <w:rFonts w:eastAsia="Times New Roman" w:cs="Arial"/>
                <w:iCs/>
              </w:rPr>
            </w:pPr>
            <w:r w:rsidRPr="00EA0DC7">
              <w:rPr>
                <w:rFonts w:eastAsia="Times New Roman" w:cs="Arial"/>
                <w:noProof/>
              </w:rPr>
              <w:t>Hutter, Oldenhof-Veldman, &amp; Oudejans (2015)</w:t>
            </w:r>
          </w:p>
        </w:tc>
        <w:tc>
          <w:tcPr>
            <w:tcW w:w="1989" w:type="dxa"/>
          </w:tcPr>
          <w:p w14:paraId="55DCA68D" w14:textId="77777777" w:rsidR="0026064C" w:rsidRPr="00EA0DC7" w:rsidRDefault="0026064C" w:rsidP="00926E5A">
            <w:pPr>
              <w:spacing w:after="200" w:line="276" w:lineRule="auto"/>
              <w:jc w:val="left"/>
              <w:rPr>
                <w:rFonts w:eastAsia="Times New Roman" w:cs="Arial"/>
                <w:iCs/>
              </w:rPr>
            </w:pPr>
            <w:r w:rsidRPr="00EA0DC7">
              <w:rPr>
                <w:rFonts w:eastAsia="Times New Roman" w:cs="Arial"/>
              </w:rPr>
              <w:t>-</w:t>
            </w:r>
          </w:p>
        </w:tc>
      </w:tr>
      <w:tr w:rsidR="0026064C" w:rsidRPr="00EA0DC7" w14:paraId="732D554B" w14:textId="77777777" w:rsidTr="00926E5A">
        <w:tc>
          <w:tcPr>
            <w:tcW w:w="2268" w:type="dxa"/>
          </w:tcPr>
          <w:p w14:paraId="2EBA625D" w14:textId="77777777" w:rsidR="0026064C" w:rsidRPr="00EA0DC7" w:rsidRDefault="0026064C" w:rsidP="00926E5A">
            <w:pPr>
              <w:tabs>
                <w:tab w:val="right" w:pos="2865"/>
              </w:tabs>
              <w:spacing w:after="200" w:line="276" w:lineRule="auto"/>
              <w:jc w:val="left"/>
              <w:rPr>
                <w:rFonts w:eastAsia="Times New Roman" w:cs="Arial"/>
                <w:i/>
                <w:iCs/>
              </w:rPr>
            </w:pPr>
            <w:r w:rsidRPr="00EA0DC7">
              <w:rPr>
                <w:rFonts w:eastAsia="Times New Roman" w:cs="Arial"/>
                <w:i/>
                <w:iCs/>
                <w:noProof/>
              </w:rPr>
              <w:t>Bordin (1983)</w:t>
            </w:r>
          </w:p>
        </w:tc>
        <w:tc>
          <w:tcPr>
            <w:tcW w:w="3828" w:type="dxa"/>
          </w:tcPr>
          <w:p w14:paraId="3F5C485A" w14:textId="77777777" w:rsidR="0026064C" w:rsidRPr="00EA0DC7" w:rsidRDefault="0026064C" w:rsidP="00926E5A">
            <w:pPr>
              <w:tabs>
                <w:tab w:val="right" w:pos="2865"/>
              </w:tabs>
              <w:spacing w:after="200" w:line="276" w:lineRule="auto"/>
              <w:jc w:val="left"/>
              <w:rPr>
                <w:rFonts w:eastAsia="Times New Roman" w:cs="Arial"/>
                <w:iCs/>
                <w:noProof/>
              </w:rPr>
            </w:pPr>
            <w:r w:rsidRPr="00EA0DC7">
              <w:rPr>
                <w:rFonts w:eastAsia="Times New Roman" w:cs="Arial"/>
                <w:iCs/>
                <w:noProof/>
              </w:rPr>
              <w:t>-</w:t>
            </w:r>
          </w:p>
        </w:tc>
        <w:tc>
          <w:tcPr>
            <w:tcW w:w="1989" w:type="dxa"/>
          </w:tcPr>
          <w:p w14:paraId="525071DF" w14:textId="77777777" w:rsidR="0026064C" w:rsidRPr="00EA0DC7" w:rsidRDefault="0026064C" w:rsidP="00260855">
            <w:pPr>
              <w:spacing w:after="200" w:line="276" w:lineRule="auto"/>
              <w:jc w:val="left"/>
              <w:rPr>
                <w:rFonts w:eastAsia="Times New Roman" w:cs="Arial"/>
                <w:iCs/>
                <w:noProof/>
              </w:rPr>
            </w:pPr>
            <w:r w:rsidRPr="00EA0DC7">
              <w:rPr>
                <w:rFonts w:eastAsia="Times New Roman" w:cs="Arial"/>
                <w:noProof/>
              </w:rPr>
              <w:t>Ladany, Ellis, &amp; Friedlander (1999)</w:t>
            </w:r>
          </w:p>
        </w:tc>
      </w:tr>
      <w:tr w:rsidR="0026064C" w:rsidRPr="00EA0DC7" w14:paraId="44F8D985" w14:textId="77777777" w:rsidTr="00926E5A">
        <w:tc>
          <w:tcPr>
            <w:tcW w:w="2268" w:type="dxa"/>
            <w:tcBorders>
              <w:bottom w:val="single" w:sz="4" w:space="0" w:color="auto"/>
            </w:tcBorders>
          </w:tcPr>
          <w:p w14:paraId="2D2E23EB" w14:textId="77777777" w:rsidR="0026064C" w:rsidRPr="00EA0DC7" w:rsidRDefault="0026064C" w:rsidP="00926E5A">
            <w:pPr>
              <w:tabs>
                <w:tab w:val="right" w:pos="2865"/>
              </w:tabs>
              <w:spacing w:after="200" w:line="276" w:lineRule="auto"/>
              <w:jc w:val="left"/>
              <w:rPr>
                <w:rFonts w:eastAsia="Times New Roman" w:cs="Arial"/>
                <w:i/>
                <w:iCs/>
                <w:noProof/>
              </w:rPr>
            </w:pPr>
            <w:r w:rsidRPr="00EA0DC7">
              <w:rPr>
                <w:rFonts w:eastAsia="Times New Roman" w:cs="Arial"/>
                <w:i/>
                <w:iCs/>
                <w:noProof/>
              </w:rPr>
              <w:t>Stoltenberg &amp; Delworth (1987)</w:t>
            </w:r>
          </w:p>
        </w:tc>
        <w:tc>
          <w:tcPr>
            <w:tcW w:w="3828" w:type="dxa"/>
            <w:tcBorders>
              <w:bottom w:val="single" w:sz="4" w:space="0" w:color="auto"/>
            </w:tcBorders>
          </w:tcPr>
          <w:p w14:paraId="5E24CA02" w14:textId="77777777" w:rsidR="0026064C" w:rsidRPr="00EA0DC7" w:rsidRDefault="0026064C" w:rsidP="00926E5A">
            <w:pPr>
              <w:tabs>
                <w:tab w:val="right" w:pos="2865"/>
              </w:tabs>
              <w:spacing w:after="200" w:line="276" w:lineRule="auto"/>
              <w:jc w:val="left"/>
              <w:rPr>
                <w:rFonts w:eastAsia="Times New Roman" w:cs="Arial"/>
                <w:iCs/>
                <w:noProof/>
              </w:rPr>
            </w:pPr>
            <w:r w:rsidRPr="00EA0DC7">
              <w:rPr>
                <w:rFonts w:eastAsia="Times New Roman" w:cs="Arial"/>
                <w:iCs/>
                <w:noProof/>
              </w:rPr>
              <w:t>McNeill, Stoltenberg, &amp; Romans (1992)</w:t>
            </w:r>
          </w:p>
          <w:p w14:paraId="44668E2F" w14:textId="77777777" w:rsidR="0026064C" w:rsidRPr="00EA0DC7" w:rsidRDefault="0026064C" w:rsidP="00926E5A">
            <w:pPr>
              <w:spacing w:after="120" w:line="276" w:lineRule="auto"/>
              <w:jc w:val="left"/>
              <w:rPr>
                <w:rFonts w:eastAsia="Times New Roman" w:cs="Arial"/>
                <w:iCs/>
                <w:noProof/>
              </w:rPr>
            </w:pPr>
            <w:r w:rsidRPr="00EA0DC7">
              <w:rPr>
                <w:rFonts w:eastAsia="Times New Roman" w:cs="Arial"/>
                <w:noProof/>
              </w:rPr>
              <w:t>Bear &amp; Kivlighan (1994)</w:t>
            </w:r>
          </w:p>
        </w:tc>
        <w:tc>
          <w:tcPr>
            <w:tcW w:w="1989" w:type="dxa"/>
            <w:tcBorders>
              <w:bottom w:val="single" w:sz="4" w:space="0" w:color="auto"/>
            </w:tcBorders>
          </w:tcPr>
          <w:p w14:paraId="2D698AA6" w14:textId="77777777" w:rsidR="0026064C" w:rsidRPr="00EA0DC7" w:rsidRDefault="0026064C" w:rsidP="00926E5A">
            <w:pPr>
              <w:tabs>
                <w:tab w:val="right" w:pos="2865"/>
              </w:tabs>
              <w:spacing w:after="200" w:line="276" w:lineRule="auto"/>
              <w:jc w:val="left"/>
              <w:rPr>
                <w:rFonts w:eastAsia="Times New Roman" w:cs="Arial"/>
                <w:iCs/>
                <w:noProof/>
              </w:rPr>
            </w:pPr>
            <w:r w:rsidRPr="00EA0DC7">
              <w:rPr>
                <w:rFonts w:eastAsia="Times New Roman" w:cs="Arial"/>
                <w:iCs/>
                <w:noProof/>
              </w:rPr>
              <w:t>Bear &amp; Kivlighan (1994)</w:t>
            </w:r>
          </w:p>
        </w:tc>
      </w:tr>
    </w:tbl>
    <w:p w14:paraId="1CBB3CC1" w14:textId="06D86BBE" w:rsidR="0026064C" w:rsidRPr="00EA0DC7" w:rsidRDefault="0026064C" w:rsidP="0026064C">
      <w:pPr>
        <w:outlineLvl w:val="2"/>
        <w:rPr>
          <w:rFonts w:eastAsia="SimSun" w:cs="Arial"/>
          <w:b/>
          <w:i/>
          <w:szCs w:val="24"/>
        </w:rPr>
      </w:pPr>
      <w:r w:rsidRPr="00EA0DC7">
        <w:rPr>
          <w:rFonts w:eastAsia="SimSun" w:cs="Arial"/>
          <w:b/>
          <w:i/>
          <w:szCs w:val="24"/>
        </w:rPr>
        <w:lastRenderedPageBreak/>
        <w:t>2.3.2 Temporal Patterns</w:t>
      </w:r>
      <w:bookmarkEnd w:id="79"/>
    </w:p>
    <w:p w14:paraId="5616793A" w14:textId="781B9227" w:rsidR="0026064C" w:rsidRPr="00EA0DC7" w:rsidRDefault="0026064C" w:rsidP="0026064C">
      <w:pPr>
        <w:autoSpaceDE w:val="0"/>
        <w:autoSpaceDN w:val="0"/>
        <w:adjustRightInd w:val="0"/>
        <w:spacing w:after="0"/>
        <w:ind w:firstLine="851"/>
        <w:rPr>
          <w:rFonts w:eastAsia="Times New Roman" w:cs="Arial"/>
          <w:iCs/>
          <w:szCs w:val="24"/>
        </w:rPr>
      </w:pPr>
      <w:r w:rsidRPr="00EA0DC7">
        <w:rPr>
          <w:rFonts w:eastAsia="Times New Roman" w:cs="Arial"/>
          <w:iCs/>
          <w:szCs w:val="24"/>
        </w:rPr>
        <w:t xml:space="preserve">Figure 2.1 shows that the number of models published per decade rose over time, peaking in the 1980s and 90s, </w:t>
      </w:r>
      <w:r w:rsidR="00E13C53" w:rsidRPr="00EA0DC7">
        <w:rPr>
          <w:rFonts w:eastAsia="Times New Roman" w:cs="Arial"/>
          <w:iCs/>
          <w:szCs w:val="24"/>
        </w:rPr>
        <w:t>and then</w:t>
      </w:r>
      <w:r w:rsidRPr="00EA0DC7">
        <w:rPr>
          <w:rFonts w:eastAsia="Times New Roman" w:cs="Arial"/>
          <w:iCs/>
          <w:szCs w:val="24"/>
        </w:rPr>
        <w:t xml:space="preserve"> declined. Although this search for models was conducted only halfway through the current decade (2010s), the very low number of models in that decade demonstrates that the trend is still one of decline. </w:t>
      </w:r>
    </w:p>
    <w:p w14:paraId="373579FE" w14:textId="77777777" w:rsidR="0026064C" w:rsidRPr="00EA0DC7" w:rsidRDefault="0026064C" w:rsidP="0026064C">
      <w:pPr>
        <w:autoSpaceDE w:val="0"/>
        <w:autoSpaceDN w:val="0"/>
        <w:adjustRightInd w:val="0"/>
        <w:spacing w:after="0"/>
        <w:ind w:firstLine="851"/>
        <w:rPr>
          <w:rFonts w:eastAsia="Times New Roman" w:cs="Arial"/>
          <w:iCs/>
          <w:szCs w:val="24"/>
        </w:rPr>
      </w:pPr>
    </w:p>
    <w:p w14:paraId="1995C989" w14:textId="77777777" w:rsidR="0026064C" w:rsidRPr="00EA0DC7" w:rsidRDefault="0026064C" w:rsidP="0026064C">
      <w:pPr>
        <w:spacing w:line="240" w:lineRule="auto"/>
        <w:jc w:val="center"/>
        <w:rPr>
          <w:rFonts w:ascii="Times" w:eastAsia="Calibri" w:hAnsi="Times" w:cs="Times New Roman"/>
          <w:b/>
          <w:bCs/>
          <w:szCs w:val="24"/>
        </w:rPr>
      </w:pPr>
      <w:r w:rsidRPr="00EA0DC7">
        <w:rPr>
          <w:rFonts w:ascii="Times" w:eastAsia="Calibri" w:hAnsi="Times" w:cs="Times New Roman"/>
          <w:b/>
          <w:bCs/>
          <w:noProof/>
          <w:szCs w:val="24"/>
        </w:rPr>
        <w:drawing>
          <wp:inline distT="0" distB="0" distL="0" distR="0" wp14:anchorId="71C4E12A" wp14:editId="28FEF847">
            <wp:extent cx="4572000" cy="2743200"/>
            <wp:effectExtent l="0" t="0" r="0" b="0"/>
            <wp:docPr id="32" name="Chart 3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615274" w14:textId="7E4CCD90" w:rsidR="0026064C" w:rsidRPr="00EA0DC7" w:rsidRDefault="00512B0F" w:rsidP="00512B0F">
      <w:pPr>
        <w:jc w:val="center"/>
        <w:rPr>
          <w:rFonts w:eastAsia="Calibri" w:cs="Arial"/>
          <w:bCs/>
          <w:szCs w:val="24"/>
        </w:rPr>
      </w:pPr>
      <w:bookmarkStart w:id="81" w:name="_Toc47039908"/>
      <w:r w:rsidRPr="00EA0DC7">
        <w:t xml:space="preserve">Figure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1</w:t>
      </w:r>
      <w:r w:rsidR="004F2FDB">
        <w:rPr>
          <w:noProof/>
        </w:rPr>
        <w:fldChar w:fldCharType="end"/>
      </w:r>
      <w:r w:rsidRPr="00EA0DC7">
        <w:t>. Number of new models from each decade.</w:t>
      </w:r>
      <w:bookmarkEnd w:id="81"/>
    </w:p>
    <w:p w14:paraId="777604C4" w14:textId="7F824274" w:rsidR="0026064C" w:rsidRPr="00EA0DC7" w:rsidRDefault="0026064C" w:rsidP="0026064C">
      <w:pPr>
        <w:autoSpaceDE w:val="0"/>
        <w:autoSpaceDN w:val="0"/>
        <w:adjustRightInd w:val="0"/>
        <w:spacing w:after="0"/>
        <w:ind w:firstLine="851"/>
        <w:rPr>
          <w:rFonts w:eastAsia="Times New Roman" w:cs="Arial"/>
          <w:iCs/>
          <w:szCs w:val="24"/>
        </w:rPr>
      </w:pPr>
      <w:r w:rsidRPr="00EA0DC7">
        <w:rPr>
          <w:rFonts w:eastAsia="Times New Roman" w:cs="Arial"/>
          <w:iCs/>
          <w:szCs w:val="24"/>
        </w:rPr>
        <w:t>It was hypothesised that newer models would differ in content to older models. New models would either build on previous ones, so that the number of elements in each mod</w:t>
      </w:r>
      <w:r w:rsidR="00361B1F" w:rsidRPr="00EA0DC7">
        <w:rPr>
          <w:rFonts w:eastAsia="Times New Roman" w:cs="Arial"/>
          <w:iCs/>
          <w:szCs w:val="24"/>
        </w:rPr>
        <w:t xml:space="preserve">el would increase over the time </w:t>
      </w:r>
      <w:r w:rsidRPr="00EA0DC7">
        <w:rPr>
          <w:rFonts w:eastAsia="Times New Roman" w:cs="Arial"/>
          <w:iCs/>
          <w:szCs w:val="24"/>
        </w:rPr>
        <w:t>period when the models were published, or models would become more refined, so the number of elements in each model would decrease. However, contrary to this hypothesis, the number of individual elements in a model was not significantly correlated with the year the model was published (</w:t>
      </w:r>
      <w:r w:rsidRPr="00EA0DC7">
        <w:rPr>
          <w:rFonts w:eastAsia="Times New Roman" w:cs="Arial"/>
          <w:i/>
          <w:iCs/>
          <w:szCs w:val="24"/>
        </w:rPr>
        <w:t>r</w:t>
      </w:r>
      <w:r w:rsidRPr="00EA0DC7">
        <w:rPr>
          <w:rFonts w:eastAsia="Times New Roman" w:cs="Arial"/>
          <w:iCs/>
          <w:szCs w:val="24"/>
        </w:rPr>
        <w:t xml:space="preserve"> = .135, </w:t>
      </w:r>
      <w:r w:rsidRPr="00EA0DC7">
        <w:rPr>
          <w:rFonts w:eastAsia="Times New Roman" w:cs="Arial"/>
          <w:i/>
          <w:iCs/>
          <w:szCs w:val="24"/>
        </w:rPr>
        <w:t>p</w:t>
      </w:r>
      <w:r w:rsidRPr="00EA0DC7">
        <w:rPr>
          <w:rFonts w:eastAsia="Times New Roman" w:cs="Arial"/>
          <w:iCs/>
          <w:szCs w:val="24"/>
        </w:rPr>
        <w:t xml:space="preserve"> = .341).</w:t>
      </w:r>
    </w:p>
    <w:p w14:paraId="05A1D61B" w14:textId="60349CA4" w:rsidR="0026064C" w:rsidRPr="00EA0DC7" w:rsidRDefault="0026064C" w:rsidP="0026064C">
      <w:pPr>
        <w:autoSpaceDE w:val="0"/>
        <w:autoSpaceDN w:val="0"/>
        <w:adjustRightInd w:val="0"/>
        <w:spacing w:after="0"/>
        <w:ind w:firstLine="851"/>
        <w:rPr>
          <w:rFonts w:eastAsia="Times New Roman" w:cs="Arial"/>
          <w:iCs/>
          <w:szCs w:val="24"/>
        </w:rPr>
      </w:pPr>
      <w:r w:rsidRPr="00EA0DC7">
        <w:rPr>
          <w:rFonts w:eastAsia="Times New Roman" w:cs="Arial"/>
          <w:iCs/>
          <w:szCs w:val="24"/>
        </w:rPr>
        <w:lastRenderedPageBreak/>
        <w:t>To determine any changes in model focus over time, models were split into quartiles by year (Q1 = 1964-1981 [12 models]; Q2 = 1982-1988 [13 models]; Q3 = 1990-1998 [14 models]; Q4 = 1999-2015 [13 models]). Model focus over time on the main three factors and three core people of supervision is outlined in Table 2.5.</w:t>
      </w:r>
      <w:bookmarkStart w:id="82" w:name="_Ref445998810"/>
    </w:p>
    <w:p w14:paraId="3B7B1028" w14:textId="67987F78" w:rsidR="00260855" w:rsidRPr="00EA0DC7" w:rsidRDefault="00260855" w:rsidP="00260855">
      <w:pPr>
        <w:autoSpaceDE w:val="0"/>
        <w:autoSpaceDN w:val="0"/>
        <w:adjustRightInd w:val="0"/>
        <w:spacing w:after="0"/>
        <w:ind w:firstLine="720"/>
        <w:rPr>
          <w:rFonts w:eastAsia="Times New Roman" w:cs="Arial"/>
          <w:szCs w:val="24"/>
        </w:rPr>
      </w:pPr>
      <w:bookmarkStart w:id="83" w:name="_Toc508812086"/>
      <w:bookmarkEnd w:id="82"/>
      <w:r w:rsidRPr="00EA0DC7">
        <w:rPr>
          <w:rFonts w:eastAsia="Times New Roman" w:cs="Arial"/>
          <w:szCs w:val="24"/>
        </w:rPr>
        <w:t xml:space="preserve">Focus on </w:t>
      </w:r>
      <w:r w:rsidRPr="00EA0DC7">
        <w:rPr>
          <w:rFonts w:eastAsia="Times New Roman" w:cs="Arial"/>
          <w:i/>
          <w:szCs w:val="24"/>
        </w:rPr>
        <w:t>‘supervisee learning and/or development’</w:t>
      </w:r>
      <w:r w:rsidRPr="00EA0DC7">
        <w:rPr>
          <w:rFonts w:eastAsia="Times New Roman" w:cs="Arial"/>
          <w:szCs w:val="24"/>
        </w:rPr>
        <w:t xml:space="preserve"> aspects stays consistently high across time. </w:t>
      </w:r>
      <w:r w:rsidRPr="00EA0DC7">
        <w:rPr>
          <w:rFonts w:eastAsia="Times New Roman" w:cs="Arial"/>
          <w:i/>
          <w:szCs w:val="24"/>
        </w:rPr>
        <w:t xml:space="preserve">‘Managerial and/or ethical responsibilities’ </w:t>
      </w:r>
      <w:r w:rsidRPr="00EA0DC7">
        <w:rPr>
          <w:rFonts w:eastAsia="Times New Roman" w:cs="Arial"/>
          <w:szCs w:val="24"/>
        </w:rPr>
        <w:t xml:space="preserve">focus increases between quartiles one (1964-1981) and two (1982-1988), then decreases again between quartiles three (1990-1998) and four (1999-2015). Focus on the managerial and ethical aspect varies from around half of the models to around two thirds. Finally, the focus on </w:t>
      </w:r>
      <w:r w:rsidRPr="00EA0DC7">
        <w:rPr>
          <w:rFonts w:eastAsia="Times New Roman" w:cs="Arial"/>
          <w:i/>
          <w:szCs w:val="24"/>
        </w:rPr>
        <w:t>‘emotional effects of work’</w:t>
      </w:r>
      <w:r w:rsidRPr="00EA0DC7">
        <w:rPr>
          <w:rFonts w:eastAsia="Times New Roman" w:cs="Arial"/>
          <w:szCs w:val="24"/>
        </w:rPr>
        <w:t xml:space="preserve"> increases from half the early models to around three quarters of the later models. Focus on the three people in supervision remains relatively consistent over time. Overall, the greatest amount of focus is on the supervisee, then the supervisor. Finally, only around half of the models focus on the client, with no increase over time in this element.</w:t>
      </w:r>
    </w:p>
    <w:p w14:paraId="52855855" w14:textId="77777777" w:rsidR="00260855" w:rsidRPr="00EA0DC7" w:rsidRDefault="00260855" w:rsidP="0026064C">
      <w:pPr>
        <w:spacing w:line="240" w:lineRule="auto"/>
        <w:rPr>
          <w:rFonts w:eastAsia="Times New Roman" w:cs="Arial"/>
          <w:szCs w:val="24"/>
        </w:rPr>
        <w:sectPr w:rsidR="00260855" w:rsidRPr="00EA0DC7" w:rsidSect="004979A5">
          <w:pgSz w:w="11906" w:h="16838"/>
          <w:pgMar w:top="1440" w:right="1440" w:bottom="1440" w:left="2381" w:header="709" w:footer="709" w:gutter="0"/>
          <w:cols w:space="708"/>
          <w:docGrid w:linePitch="360"/>
        </w:sectPr>
      </w:pPr>
    </w:p>
    <w:p w14:paraId="7F791576" w14:textId="1CB7B9F5" w:rsidR="0026064C" w:rsidRPr="00EA0DC7" w:rsidRDefault="008A7246" w:rsidP="008A7246">
      <w:pPr>
        <w:pStyle w:val="Captions"/>
        <w:rPr>
          <w:rFonts w:eastAsia="Times New Roman" w:cs="Arial"/>
          <w:i/>
          <w:szCs w:val="24"/>
        </w:rPr>
      </w:pPr>
      <w:bookmarkStart w:id="84" w:name="_Toc47039921"/>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5</w:t>
      </w:r>
      <w:r w:rsidR="004F2FDB">
        <w:rPr>
          <w:noProof/>
        </w:rPr>
        <w:fldChar w:fldCharType="end"/>
      </w:r>
      <w:r w:rsidRPr="00EA0DC7">
        <w:t>. Change over time in focus on main three factors and people involved in supervision.</w:t>
      </w:r>
      <w:bookmarkEnd w:id="84"/>
    </w:p>
    <w:tbl>
      <w:tblPr>
        <w:tblStyle w:val="TableGrid1"/>
        <w:tblpPr w:leftFromText="180" w:rightFromText="180" w:vertAnchor="text" w:tblpY="126"/>
        <w:tblW w:w="13750" w:type="dxa"/>
        <w:tblBorders>
          <w:left w:val="none" w:sz="0" w:space="0" w:color="auto"/>
          <w:right w:val="none" w:sz="0" w:space="0" w:color="auto"/>
        </w:tblBorders>
        <w:tblLayout w:type="fixed"/>
        <w:tblLook w:val="04A0" w:firstRow="1" w:lastRow="0" w:firstColumn="1" w:lastColumn="0" w:noHBand="0" w:noVBand="1"/>
      </w:tblPr>
      <w:tblGrid>
        <w:gridCol w:w="1843"/>
        <w:gridCol w:w="2268"/>
        <w:gridCol w:w="2410"/>
        <w:gridCol w:w="1984"/>
        <w:gridCol w:w="1843"/>
        <w:gridCol w:w="1701"/>
        <w:gridCol w:w="1701"/>
      </w:tblGrid>
      <w:tr w:rsidR="0026064C" w:rsidRPr="00EA0DC7" w14:paraId="6F04DFC2" w14:textId="77777777" w:rsidTr="00475860">
        <w:trPr>
          <w:trHeight w:val="138"/>
        </w:trPr>
        <w:tc>
          <w:tcPr>
            <w:tcW w:w="1843" w:type="dxa"/>
            <w:tcBorders>
              <w:bottom w:val="single" w:sz="4" w:space="0" w:color="auto"/>
              <w:right w:val="nil"/>
            </w:tcBorders>
            <w:vAlign w:val="center"/>
          </w:tcPr>
          <w:p w14:paraId="63394DD2" w14:textId="77777777" w:rsidR="0026064C" w:rsidRPr="00EA0DC7" w:rsidRDefault="0026064C" w:rsidP="001E34B3">
            <w:pPr>
              <w:autoSpaceDE w:val="0"/>
              <w:autoSpaceDN w:val="0"/>
              <w:adjustRightInd w:val="0"/>
              <w:spacing w:before="240" w:after="120" w:line="240" w:lineRule="auto"/>
              <w:jc w:val="center"/>
              <w:rPr>
                <w:rFonts w:eastAsia="Times New Roman" w:cs="Arial"/>
              </w:rPr>
            </w:pPr>
          </w:p>
        </w:tc>
        <w:tc>
          <w:tcPr>
            <w:tcW w:w="6662" w:type="dxa"/>
            <w:gridSpan w:val="3"/>
            <w:tcBorders>
              <w:left w:val="nil"/>
              <w:bottom w:val="single" w:sz="4" w:space="0" w:color="auto"/>
              <w:right w:val="nil"/>
            </w:tcBorders>
            <w:vAlign w:val="center"/>
          </w:tcPr>
          <w:p w14:paraId="286B582B" w14:textId="77777777" w:rsidR="0026064C" w:rsidRPr="00EA0DC7" w:rsidRDefault="0026064C" w:rsidP="001E34B3">
            <w:pPr>
              <w:spacing w:before="240" w:after="120" w:line="240" w:lineRule="auto"/>
              <w:jc w:val="center"/>
              <w:rPr>
                <w:rFonts w:eastAsia="Times New Roman" w:cs="Arial"/>
                <w:b/>
              </w:rPr>
            </w:pPr>
            <w:r w:rsidRPr="00EA0DC7">
              <w:rPr>
                <w:rFonts w:eastAsia="Times New Roman" w:cs="Arial"/>
                <w:b/>
              </w:rPr>
              <w:t>Main three factors</w:t>
            </w:r>
          </w:p>
        </w:tc>
        <w:tc>
          <w:tcPr>
            <w:tcW w:w="5245" w:type="dxa"/>
            <w:gridSpan w:val="3"/>
            <w:tcBorders>
              <w:left w:val="nil"/>
              <w:bottom w:val="single" w:sz="4" w:space="0" w:color="auto"/>
            </w:tcBorders>
            <w:vAlign w:val="center"/>
          </w:tcPr>
          <w:p w14:paraId="39222C28" w14:textId="77777777" w:rsidR="0026064C" w:rsidRPr="00EA0DC7" w:rsidRDefault="0026064C" w:rsidP="001E34B3">
            <w:pPr>
              <w:spacing w:before="240" w:after="120" w:line="240" w:lineRule="auto"/>
              <w:jc w:val="center"/>
              <w:rPr>
                <w:rFonts w:eastAsia="Times New Roman" w:cs="Arial"/>
                <w:b/>
              </w:rPr>
            </w:pPr>
            <w:r w:rsidRPr="00EA0DC7">
              <w:rPr>
                <w:rFonts w:eastAsia="Times New Roman" w:cs="Arial"/>
                <w:b/>
              </w:rPr>
              <w:t>People in supervision</w:t>
            </w:r>
          </w:p>
        </w:tc>
      </w:tr>
      <w:tr w:rsidR="0026064C" w:rsidRPr="00EA0DC7" w14:paraId="169D6DC1" w14:textId="77777777" w:rsidTr="00475860">
        <w:trPr>
          <w:trHeight w:val="1264"/>
        </w:trPr>
        <w:tc>
          <w:tcPr>
            <w:tcW w:w="1843" w:type="dxa"/>
            <w:tcBorders>
              <w:bottom w:val="single" w:sz="4" w:space="0" w:color="auto"/>
              <w:right w:val="nil"/>
            </w:tcBorders>
            <w:vAlign w:val="center"/>
          </w:tcPr>
          <w:p w14:paraId="2908FE87"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Year</w:t>
            </w:r>
          </w:p>
        </w:tc>
        <w:tc>
          <w:tcPr>
            <w:tcW w:w="2268" w:type="dxa"/>
            <w:tcBorders>
              <w:left w:val="nil"/>
              <w:bottom w:val="single" w:sz="4" w:space="0" w:color="auto"/>
              <w:right w:val="nil"/>
            </w:tcBorders>
            <w:vAlign w:val="center"/>
          </w:tcPr>
          <w:p w14:paraId="59194DFE"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Supervisee learning and/or development (%)</w:t>
            </w:r>
          </w:p>
        </w:tc>
        <w:tc>
          <w:tcPr>
            <w:tcW w:w="2410" w:type="dxa"/>
            <w:tcBorders>
              <w:left w:val="nil"/>
              <w:bottom w:val="single" w:sz="4" w:space="0" w:color="auto"/>
              <w:right w:val="nil"/>
            </w:tcBorders>
            <w:vAlign w:val="center"/>
          </w:tcPr>
          <w:p w14:paraId="3AD1F805"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Managerial and/or ethical responsibilities (%)</w:t>
            </w:r>
          </w:p>
        </w:tc>
        <w:tc>
          <w:tcPr>
            <w:tcW w:w="1984" w:type="dxa"/>
            <w:tcBorders>
              <w:left w:val="nil"/>
              <w:bottom w:val="single" w:sz="4" w:space="0" w:color="auto"/>
              <w:right w:val="nil"/>
            </w:tcBorders>
            <w:vAlign w:val="center"/>
          </w:tcPr>
          <w:p w14:paraId="24249D21"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Emotional effects of work (%)</w:t>
            </w:r>
          </w:p>
        </w:tc>
        <w:tc>
          <w:tcPr>
            <w:tcW w:w="1843" w:type="dxa"/>
            <w:tcBorders>
              <w:left w:val="nil"/>
              <w:bottom w:val="single" w:sz="4" w:space="0" w:color="auto"/>
              <w:right w:val="nil"/>
            </w:tcBorders>
            <w:vAlign w:val="center"/>
          </w:tcPr>
          <w:p w14:paraId="2BACAF24"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Focus on supervisor (%)</w:t>
            </w:r>
          </w:p>
        </w:tc>
        <w:tc>
          <w:tcPr>
            <w:tcW w:w="1701" w:type="dxa"/>
            <w:tcBorders>
              <w:left w:val="nil"/>
              <w:bottom w:val="single" w:sz="4" w:space="0" w:color="auto"/>
              <w:right w:val="nil"/>
            </w:tcBorders>
            <w:vAlign w:val="center"/>
          </w:tcPr>
          <w:p w14:paraId="1AC7BBBE"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Focus on supervisee (%)</w:t>
            </w:r>
          </w:p>
        </w:tc>
        <w:tc>
          <w:tcPr>
            <w:tcW w:w="1701" w:type="dxa"/>
            <w:tcBorders>
              <w:left w:val="nil"/>
              <w:bottom w:val="single" w:sz="4" w:space="0" w:color="auto"/>
            </w:tcBorders>
            <w:vAlign w:val="center"/>
          </w:tcPr>
          <w:p w14:paraId="7B7A1C52" w14:textId="77777777" w:rsidR="0026064C" w:rsidRPr="00EA0DC7" w:rsidRDefault="0026064C" w:rsidP="001E34B3">
            <w:pPr>
              <w:autoSpaceDE w:val="0"/>
              <w:autoSpaceDN w:val="0"/>
              <w:adjustRightInd w:val="0"/>
              <w:spacing w:before="240" w:after="120" w:line="240" w:lineRule="auto"/>
              <w:jc w:val="center"/>
              <w:rPr>
                <w:rFonts w:eastAsia="Times New Roman" w:cs="Arial"/>
                <w:b/>
              </w:rPr>
            </w:pPr>
            <w:r w:rsidRPr="00EA0DC7">
              <w:rPr>
                <w:rFonts w:eastAsia="Times New Roman" w:cs="Arial"/>
                <w:b/>
              </w:rPr>
              <w:t>Focus on client (%)</w:t>
            </w:r>
          </w:p>
        </w:tc>
      </w:tr>
      <w:tr w:rsidR="0026064C" w:rsidRPr="00EA0DC7" w14:paraId="27005FE7" w14:textId="77777777" w:rsidTr="00475860">
        <w:tc>
          <w:tcPr>
            <w:tcW w:w="1843" w:type="dxa"/>
            <w:tcBorders>
              <w:bottom w:val="nil"/>
              <w:right w:val="nil"/>
            </w:tcBorders>
          </w:tcPr>
          <w:p w14:paraId="3088313F"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1964 - 1981</w:t>
            </w:r>
          </w:p>
        </w:tc>
        <w:tc>
          <w:tcPr>
            <w:tcW w:w="2268" w:type="dxa"/>
            <w:tcBorders>
              <w:left w:val="nil"/>
              <w:bottom w:val="nil"/>
              <w:right w:val="nil"/>
            </w:tcBorders>
            <w:vAlign w:val="center"/>
          </w:tcPr>
          <w:p w14:paraId="73D61733"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83.33</w:t>
            </w:r>
          </w:p>
        </w:tc>
        <w:tc>
          <w:tcPr>
            <w:tcW w:w="2410" w:type="dxa"/>
            <w:tcBorders>
              <w:left w:val="nil"/>
              <w:bottom w:val="nil"/>
              <w:right w:val="nil"/>
            </w:tcBorders>
            <w:vAlign w:val="center"/>
          </w:tcPr>
          <w:p w14:paraId="7744ED25"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41.67</w:t>
            </w:r>
          </w:p>
        </w:tc>
        <w:tc>
          <w:tcPr>
            <w:tcW w:w="1984" w:type="dxa"/>
            <w:tcBorders>
              <w:left w:val="nil"/>
              <w:bottom w:val="nil"/>
              <w:right w:val="nil"/>
            </w:tcBorders>
            <w:vAlign w:val="center"/>
          </w:tcPr>
          <w:p w14:paraId="2A4A9AC1"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50</w:t>
            </w:r>
          </w:p>
        </w:tc>
        <w:tc>
          <w:tcPr>
            <w:tcW w:w="1843" w:type="dxa"/>
            <w:tcBorders>
              <w:left w:val="nil"/>
              <w:bottom w:val="nil"/>
              <w:right w:val="nil"/>
            </w:tcBorders>
            <w:vAlign w:val="center"/>
          </w:tcPr>
          <w:p w14:paraId="0B1FB0C3"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75</w:t>
            </w:r>
          </w:p>
        </w:tc>
        <w:tc>
          <w:tcPr>
            <w:tcW w:w="1701" w:type="dxa"/>
            <w:tcBorders>
              <w:left w:val="nil"/>
              <w:bottom w:val="nil"/>
              <w:right w:val="nil"/>
            </w:tcBorders>
            <w:vAlign w:val="center"/>
          </w:tcPr>
          <w:p w14:paraId="59CCE9BA"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100</w:t>
            </w:r>
          </w:p>
        </w:tc>
        <w:tc>
          <w:tcPr>
            <w:tcW w:w="1701" w:type="dxa"/>
            <w:tcBorders>
              <w:left w:val="nil"/>
              <w:bottom w:val="nil"/>
            </w:tcBorders>
            <w:vAlign w:val="center"/>
          </w:tcPr>
          <w:p w14:paraId="252F69F3" w14:textId="77777777" w:rsidR="0026064C" w:rsidRPr="00EA0DC7" w:rsidRDefault="0026064C" w:rsidP="001E34B3">
            <w:pPr>
              <w:autoSpaceDE w:val="0"/>
              <w:autoSpaceDN w:val="0"/>
              <w:adjustRightInd w:val="0"/>
              <w:spacing w:before="240" w:after="120"/>
              <w:jc w:val="center"/>
              <w:rPr>
                <w:rFonts w:eastAsia="Times New Roman" w:cs="Arial"/>
              </w:rPr>
            </w:pPr>
            <w:r w:rsidRPr="00EA0DC7">
              <w:rPr>
                <w:rFonts w:eastAsia="Times New Roman" w:cs="Arial"/>
              </w:rPr>
              <w:t>41.67</w:t>
            </w:r>
          </w:p>
        </w:tc>
      </w:tr>
      <w:tr w:rsidR="0026064C" w:rsidRPr="00EA0DC7" w14:paraId="3510310D" w14:textId="77777777" w:rsidTr="00475860">
        <w:tc>
          <w:tcPr>
            <w:tcW w:w="1843" w:type="dxa"/>
            <w:tcBorders>
              <w:top w:val="nil"/>
              <w:bottom w:val="nil"/>
              <w:right w:val="nil"/>
            </w:tcBorders>
          </w:tcPr>
          <w:p w14:paraId="546BE57A"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1982 - 1988</w:t>
            </w:r>
          </w:p>
        </w:tc>
        <w:tc>
          <w:tcPr>
            <w:tcW w:w="2268" w:type="dxa"/>
            <w:tcBorders>
              <w:top w:val="nil"/>
              <w:left w:val="nil"/>
              <w:bottom w:val="nil"/>
              <w:right w:val="nil"/>
            </w:tcBorders>
            <w:vAlign w:val="center"/>
          </w:tcPr>
          <w:p w14:paraId="4A4F5AE0"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92.31</w:t>
            </w:r>
          </w:p>
        </w:tc>
        <w:tc>
          <w:tcPr>
            <w:tcW w:w="2410" w:type="dxa"/>
            <w:tcBorders>
              <w:top w:val="nil"/>
              <w:left w:val="nil"/>
              <w:bottom w:val="nil"/>
              <w:right w:val="nil"/>
            </w:tcBorders>
            <w:vAlign w:val="center"/>
          </w:tcPr>
          <w:p w14:paraId="615E303E"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69.23</w:t>
            </w:r>
          </w:p>
        </w:tc>
        <w:tc>
          <w:tcPr>
            <w:tcW w:w="1984" w:type="dxa"/>
            <w:tcBorders>
              <w:top w:val="nil"/>
              <w:left w:val="nil"/>
              <w:bottom w:val="nil"/>
              <w:right w:val="nil"/>
            </w:tcBorders>
            <w:vAlign w:val="center"/>
          </w:tcPr>
          <w:p w14:paraId="756DB7CD"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61.54</w:t>
            </w:r>
          </w:p>
        </w:tc>
        <w:tc>
          <w:tcPr>
            <w:tcW w:w="1843" w:type="dxa"/>
            <w:tcBorders>
              <w:top w:val="nil"/>
              <w:left w:val="nil"/>
              <w:bottom w:val="nil"/>
              <w:right w:val="nil"/>
            </w:tcBorders>
            <w:vAlign w:val="center"/>
          </w:tcPr>
          <w:p w14:paraId="0D31284A"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76.92</w:t>
            </w:r>
          </w:p>
        </w:tc>
        <w:tc>
          <w:tcPr>
            <w:tcW w:w="1701" w:type="dxa"/>
            <w:tcBorders>
              <w:top w:val="nil"/>
              <w:left w:val="nil"/>
              <w:bottom w:val="nil"/>
              <w:right w:val="nil"/>
            </w:tcBorders>
            <w:vAlign w:val="center"/>
          </w:tcPr>
          <w:p w14:paraId="31E35941"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92.31</w:t>
            </w:r>
          </w:p>
        </w:tc>
        <w:tc>
          <w:tcPr>
            <w:tcW w:w="1701" w:type="dxa"/>
            <w:tcBorders>
              <w:top w:val="nil"/>
              <w:left w:val="nil"/>
              <w:bottom w:val="nil"/>
            </w:tcBorders>
            <w:vAlign w:val="center"/>
          </w:tcPr>
          <w:p w14:paraId="79E3D931"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53.85</w:t>
            </w:r>
          </w:p>
        </w:tc>
      </w:tr>
      <w:tr w:rsidR="0026064C" w:rsidRPr="00EA0DC7" w14:paraId="26312710" w14:textId="77777777" w:rsidTr="00475860">
        <w:tc>
          <w:tcPr>
            <w:tcW w:w="1843" w:type="dxa"/>
            <w:tcBorders>
              <w:top w:val="nil"/>
              <w:bottom w:val="nil"/>
              <w:right w:val="nil"/>
            </w:tcBorders>
          </w:tcPr>
          <w:p w14:paraId="49368A20"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1990 - 1998</w:t>
            </w:r>
          </w:p>
        </w:tc>
        <w:tc>
          <w:tcPr>
            <w:tcW w:w="2268" w:type="dxa"/>
            <w:tcBorders>
              <w:top w:val="nil"/>
              <w:left w:val="nil"/>
              <w:bottom w:val="nil"/>
              <w:right w:val="nil"/>
            </w:tcBorders>
            <w:vAlign w:val="center"/>
          </w:tcPr>
          <w:p w14:paraId="4C5DD5A0"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85.71</w:t>
            </w:r>
          </w:p>
        </w:tc>
        <w:tc>
          <w:tcPr>
            <w:tcW w:w="2410" w:type="dxa"/>
            <w:tcBorders>
              <w:top w:val="nil"/>
              <w:left w:val="nil"/>
              <w:bottom w:val="nil"/>
              <w:right w:val="nil"/>
            </w:tcBorders>
            <w:vAlign w:val="center"/>
          </w:tcPr>
          <w:p w14:paraId="46D93976"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64.29</w:t>
            </w:r>
          </w:p>
        </w:tc>
        <w:tc>
          <w:tcPr>
            <w:tcW w:w="1984" w:type="dxa"/>
            <w:tcBorders>
              <w:top w:val="nil"/>
              <w:left w:val="nil"/>
              <w:bottom w:val="nil"/>
              <w:right w:val="nil"/>
            </w:tcBorders>
            <w:vAlign w:val="center"/>
          </w:tcPr>
          <w:p w14:paraId="167E31A5"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57.14</w:t>
            </w:r>
          </w:p>
        </w:tc>
        <w:tc>
          <w:tcPr>
            <w:tcW w:w="1843" w:type="dxa"/>
            <w:tcBorders>
              <w:top w:val="nil"/>
              <w:left w:val="nil"/>
              <w:bottom w:val="nil"/>
              <w:right w:val="nil"/>
            </w:tcBorders>
            <w:vAlign w:val="center"/>
          </w:tcPr>
          <w:p w14:paraId="02434F40"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85.71</w:t>
            </w:r>
          </w:p>
        </w:tc>
        <w:tc>
          <w:tcPr>
            <w:tcW w:w="1701" w:type="dxa"/>
            <w:tcBorders>
              <w:top w:val="nil"/>
              <w:left w:val="nil"/>
              <w:bottom w:val="nil"/>
              <w:right w:val="nil"/>
            </w:tcBorders>
            <w:vAlign w:val="center"/>
          </w:tcPr>
          <w:p w14:paraId="6B440897"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92.86</w:t>
            </w:r>
          </w:p>
        </w:tc>
        <w:tc>
          <w:tcPr>
            <w:tcW w:w="1701" w:type="dxa"/>
            <w:tcBorders>
              <w:top w:val="nil"/>
              <w:left w:val="nil"/>
              <w:bottom w:val="nil"/>
            </w:tcBorders>
            <w:vAlign w:val="center"/>
          </w:tcPr>
          <w:p w14:paraId="2C0A677E"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50</w:t>
            </w:r>
          </w:p>
        </w:tc>
      </w:tr>
      <w:tr w:rsidR="0026064C" w:rsidRPr="00EA0DC7" w14:paraId="6D4AE7F2" w14:textId="77777777" w:rsidTr="00475860">
        <w:tc>
          <w:tcPr>
            <w:tcW w:w="1843" w:type="dxa"/>
            <w:tcBorders>
              <w:top w:val="nil"/>
              <w:right w:val="nil"/>
            </w:tcBorders>
          </w:tcPr>
          <w:p w14:paraId="46B465EE"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1999 - 2015</w:t>
            </w:r>
          </w:p>
        </w:tc>
        <w:tc>
          <w:tcPr>
            <w:tcW w:w="2268" w:type="dxa"/>
            <w:tcBorders>
              <w:top w:val="nil"/>
              <w:left w:val="nil"/>
              <w:right w:val="nil"/>
            </w:tcBorders>
            <w:vAlign w:val="center"/>
          </w:tcPr>
          <w:p w14:paraId="11B7427E"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84.62</w:t>
            </w:r>
          </w:p>
        </w:tc>
        <w:tc>
          <w:tcPr>
            <w:tcW w:w="2410" w:type="dxa"/>
            <w:tcBorders>
              <w:top w:val="nil"/>
              <w:left w:val="nil"/>
              <w:right w:val="nil"/>
            </w:tcBorders>
            <w:vAlign w:val="center"/>
          </w:tcPr>
          <w:p w14:paraId="3E7E85E2"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53.85</w:t>
            </w:r>
          </w:p>
        </w:tc>
        <w:tc>
          <w:tcPr>
            <w:tcW w:w="1984" w:type="dxa"/>
            <w:tcBorders>
              <w:top w:val="nil"/>
              <w:left w:val="nil"/>
              <w:right w:val="nil"/>
            </w:tcBorders>
            <w:vAlign w:val="center"/>
          </w:tcPr>
          <w:p w14:paraId="16E30C17"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76.92</w:t>
            </w:r>
          </w:p>
        </w:tc>
        <w:tc>
          <w:tcPr>
            <w:tcW w:w="1843" w:type="dxa"/>
            <w:tcBorders>
              <w:top w:val="nil"/>
              <w:left w:val="nil"/>
              <w:right w:val="nil"/>
            </w:tcBorders>
            <w:vAlign w:val="center"/>
          </w:tcPr>
          <w:p w14:paraId="1F5391CB"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84.62</w:t>
            </w:r>
          </w:p>
        </w:tc>
        <w:tc>
          <w:tcPr>
            <w:tcW w:w="1701" w:type="dxa"/>
            <w:tcBorders>
              <w:top w:val="nil"/>
              <w:left w:val="nil"/>
              <w:right w:val="nil"/>
            </w:tcBorders>
            <w:vAlign w:val="center"/>
          </w:tcPr>
          <w:p w14:paraId="640CDE81"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92.31</w:t>
            </w:r>
          </w:p>
        </w:tc>
        <w:tc>
          <w:tcPr>
            <w:tcW w:w="1701" w:type="dxa"/>
            <w:tcBorders>
              <w:top w:val="nil"/>
              <w:left w:val="nil"/>
            </w:tcBorders>
            <w:vAlign w:val="center"/>
          </w:tcPr>
          <w:p w14:paraId="5CC0D8D2" w14:textId="77777777" w:rsidR="0026064C" w:rsidRPr="00EA0DC7" w:rsidRDefault="0026064C" w:rsidP="004979A5">
            <w:pPr>
              <w:autoSpaceDE w:val="0"/>
              <w:autoSpaceDN w:val="0"/>
              <w:adjustRightInd w:val="0"/>
              <w:spacing w:after="120"/>
              <w:jc w:val="center"/>
              <w:rPr>
                <w:rFonts w:eastAsia="Times New Roman" w:cs="Arial"/>
              </w:rPr>
            </w:pPr>
            <w:r w:rsidRPr="00EA0DC7">
              <w:rPr>
                <w:rFonts w:eastAsia="Times New Roman" w:cs="Arial"/>
              </w:rPr>
              <w:t>46.15</w:t>
            </w:r>
          </w:p>
        </w:tc>
      </w:tr>
    </w:tbl>
    <w:p w14:paraId="6DB13230" w14:textId="77777777" w:rsidR="0026064C" w:rsidRPr="00EA0DC7" w:rsidRDefault="0026064C" w:rsidP="0026064C">
      <w:pPr>
        <w:autoSpaceDE w:val="0"/>
        <w:autoSpaceDN w:val="0"/>
        <w:adjustRightInd w:val="0"/>
        <w:spacing w:after="0" w:line="360" w:lineRule="auto"/>
        <w:rPr>
          <w:rFonts w:ascii="Times" w:eastAsia="Times New Roman" w:hAnsi="Times" w:cs="Times New Roman"/>
          <w:szCs w:val="24"/>
        </w:rPr>
        <w:sectPr w:rsidR="0026064C" w:rsidRPr="00EA0DC7" w:rsidSect="002A29D3">
          <w:pgSz w:w="16838" w:h="11906" w:orient="landscape"/>
          <w:pgMar w:top="1440" w:right="1440" w:bottom="2268" w:left="1440" w:header="709" w:footer="709" w:gutter="0"/>
          <w:cols w:space="708"/>
          <w:docGrid w:linePitch="360"/>
        </w:sectPr>
      </w:pPr>
    </w:p>
    <w:p w14:paraId="2C684F5F" w14:textId="1BA32C6E" w:rsidR="0026064C" w:rsidRPr="00EA0DC7" w:rsidRDefault="0026064C" w:rsidP="0026064C">
      <w:pPr>
        <w:outlineLvl w:val="2"/>
        <w:rPr>
          <w:rFonts w:eastAsia="SimSun" w:cs="Arial"/>
          <w:b/>
          <w:i/>
          <w:szCs w:val="24"/>
        </w:rPr>
      </w:pPr>
      <w:r w:rsidRPr="00EA0DC7">
        <w:rPr>
          <w:rFonts w:eastAsia="SimSun" w:cs="Arial"/>
          <w:b/>
          <w:i/>
          <w:szCs w:val="24"/>
        </w:rPr>
        <w:lastRenderedPageBreak/>
        <w:t>2.3.3 Content of supervision sessions: What is recommended?</w:t>
      </w:r>
      <w:bookmarkEnd w:id="83"/>
    </w:p>
    <w:p w14:paraId="1E2A3DED" w14:textId="00CDFDCC" w:rsidR="00C85223" w:rsidRDefault="0026064C" w:rsidP="00697B21">
      <w:pPr>
        <w:autoSpaceDE w:val="0"/>
        <w:autoSpaceDN w:val="0"/>
        <w:adjustRightInd w:val="0"/>
        <w:spacing w:after="0"/>
        <w:ind w:firstLine="720"/>
        <w:rPr>
          <w:rFonts w:eastAsia="Times New Roman" w:cs="Arial"/>
          <w:szCs w:val="24"/>
        </w:rPr>
      </w:pPr>
      <w:r w:rsidRPr="00EA0DC7">
        <w:rPr>
          <w:rFonts w:eastAsia="Times New Roman" w:cs="Arial"/>
          <w:szCs w:val="24"/>
        </w:rPr>
        <w:t xml:space="preserve">A two-step cluster analysis was carried out using the nine elements of the models that related to the content of supervision sessions (interactive discussion between supervisor and supervisee to further understanding/decide on focus; supervisee takes charge of what is shared in supervision; discussion of theories and reading of literature; shared experience from the supervisor; reporting on therapy sessions; live supervision/observation; recorded therapy sessions; enactment of therapy sessions/role-play; and the supervisor using enquiry as </w:t>
      </w:r>
      <w:r w:rsidR="00361B1F" w:rsidRPr="00EA0DC7">
        <w:rPr>
          <w:rFonts w:eastAsia="Times New Roman" w:cs="Arial"/>
          <w:szCs w:val="24"/>
        </w:rPr>
        <w:t xml:space="preserve">a </w:t>
      </w:r>
      <w:r w:rsidRPr="00EA0DC7">
        <w:rPr>
          <w:rFonts w:eastAsia="Times New Roman" w:cs="Arial"/>
          <w:szCs w:val="24"/>
        </w:rPr>
        <w:t xml:space="preserve">learning technique). </w:t>
      </w:r>
      <w:commentRangeStart w:id="85"/>
      <w:r w:rsidR="005A7DC6">
        <w:rPr>
          <w:rFonts w:eastAsia="Times New Roman" w:cs="Arial"/>
          <w:szCs w:val="24"/>
        </w:rPr>
        <w:t xml:space="preserve">A </w:t>
      </w:r>
      <w:r w:rsidRPr="00EA0DC7">
        <w:rPr>
          <w:rFonts w:eastAsia="Times New Roman" w:cs="Arial"/>
          <w:szCs w:val="24"/>
        </w:rPr>
        <w:t>three-cluster solution</w:t>
      </w:r>
      <w:r w:rsidR="00C85223">
        <w:rPr>
          <w:rFonts w:eastAsia="Times New Roman" w:cs="Arial"/>
          <w:szCs w:val="24"/>
        </w:rPr>
        <w:t xml:space="preserve"> had the highest silhouette coefficient (0.3; ‘fair’) when</w:t>
      </w:r>
      <w:r w:rsidRPr="00EA0DC7">
        <w:rPr>
          <w:rFonts w:eastAsia="Times New Roman" w:cs="Arial"/>
          <w:szCs w:val="24"/>
        </w:rPr>
        <w:t xml:space="preserve"> grouping the models based on what they recommended for the content of sessions. </w:t>
      </w:r>
      <w:r w:rsidR="00C85223">
        <w:rPr>
          <w:rFonts w:eastAsia="Times New Roman" w:cs="Arial"/>
          <w:szCs w:val="24"/>
        </w:rPr>
        <w:t>This solution provides the smallest within-cluster differences with the largest between-cluster differences.</w:t>
      </w:r>
      <w:commentRangeEnd w:id="85"/>
      <w:r w:rsidR="00784FD1">
        <w:rPr>
          <w:rStyle w:val="CommentReference"/>
          <w:rFonts w:eastAsiaTheme="minorHAnsi"/>
          <w:lang w:eastAsia="en-US"/>
        </w:rPr>
        <w:commentReference w:id="85"/>
      </w:r>
    </w:p>
    <w:p w14:paraId="490FA325" w14:textId="5C54E253" w:rsidR="0026064C" w:rsidRDefault="00C85223" w:rsidP="0060127C">
      <w:pPr>
        <w:autoSpaceDE w:val="0"/>
        <w:autoSpaceDN w:val="0"/>
        <w:adjustRightInd w:val="0"/>
        <w:spacing w:after="0"/>
        <w:ind w:firstLine="720"/>
        <w:rPr>
          <w:rFonts w:eastAsia="Times New Roman" w:cs="Arial"/>
          <w:szCs w:val="24"/>
        </w:rPr>
      </w:pPr>
      <w:r w:rsidRPr="00EA0DC7">
        <w:rPr>
          <w:rFonts w:eastAsia="Times New Roman" w:cs="Arial"/>
          <w:szCs w:val="24"/>
        </w:rPr>
        <w:t>The</w:t>
      </w:r>
      <w:r w:rsidR="0026064C" w:rsidRPr="00EA0DC7">
        <w:rPr>
          <w:rFonts w:eastAsia="Times New Roman" w:cs="Arial"/>
          <w:szCs w:val="24"/>
        </w:rPr>
        <w:t xml:space="preserve"> first cluster (30.8% of the sample) included a group of models with little focus on any of the content elements of supervision, apart from reporting on therapy sessions (56.2% of models in the cluster), and are referred to as </w:t>
      </w:r>
      <w:r w:rsidR="0026064C" w:rsidRPr="00EA0DC7">
        <w:rPr>
          <w:rFonts w:eastAsia="Times New Roman" w:cs="Arial"/>
          <w:i/>
          <w:szCs w:val="24"/>
        </w:rPr>
        <w:t xml:space="preserve">Unfocused </w:t>
      </w:r>
      <w:r w:rsidR="0026064C" w:rsidRPr="00EA0DC7">
        <w:rPr>
          <w:rFonts w:eastAsia="Times New Roman" w:cs="Arial"/>
          <w:szCs w:val="24"/>
        </w:rPr>
        <w:t xml:space="preserve">models. The second cluster (36.5% of the sample) included models that all indicated a focus on reporting and recording of therapy sessions. Around half of these models also indicated a focus on live supervision (56.2%). These models are referred to as </w:t>
      </w:r>
      <w:r w:rsidR="0026064C" w:rsidRPr="00EA0DC7">
        <w:rPr>
          <w:rFonts w:eastAsia="Times New Roman" w:cs="Arial"/>
          <w:i/>
          <w:szCs w:val="24"/>
        </w:rPr>
        <w:t xml:space="preserve">Fidelity </w:t>
      </w:r>
      <w:r w:rsidR="0026064C" w:rsidRPr="00EA0DC7">
        <w:rPr>
          <w:rFonts w:eastAsia="Times New Roman" w:cs="Arial"/>
          <w:szCs w:val="24"/>
        </w:rPr>
        <w:t xml:space="preserve">models. The final cluster (32.7% of the sample) included models that, again, focused on reporting (76.5%) and recording of therapy sessions (88.2%), but also focused on theory discussion (100%), the use of live supervision (58.8%), and the use of role play (88.2%). Models in this cluster are referred to as </w:t>
      </w:r>
      <w:r w:rsidR="0026064C" w:rsidRPr="00EA0DC7">
        <w:rPr>
          <w:rFonts w:eastAsia="Times New Roman" w:cs="Arial"/>
          <w:i/>
          <w:szCs w:val="24"/>
        </w:rPr>
        <w:t>Enhanced Fidelity</w:t>
      </w:r>
      <w:r w:rsidR="0026064C" w:rsidRPr="00EA0DC7">
        <w:rPr>
          <w:rFonts w:eastAsia="Times New Roman" w:cs="Arial"/>
          <w:szCs w:val="24"/>
        </w:rPr>
        <w:t xml:space="preserve"> models. </w:t>
      </w:r>
    </w:p>
    <w:p w14:paraId="3F7B6A23" w14:textId="04D469E0" w:rsidR="004E47A5" w:rsidRPr="00EA0DC7" w:rsidRDefault="004E47A5" w:rsidP="0060127C">
      <w:pPr>
        <w:autoSpaceDE w:val="0"/>
        <w:autoSpaceDN w:val="0"/>
        <w:adjustRightInd w:val="0"/>
        <w:spacing w:after="0"/>
        <w:ind w:firstLine="720"/>
        <w:rPr>
          <w:rFonts w:eastAsia="Times New Roman" w:cs="Arial"/>
          <w:szCs w:val="24"/>
        </w:rPr>
      </w:pPr>
      <w:r>
        <w:rPr>
          <w:rFonts w:eastAsia="Times New Roman" w:cs="Arial"/>
          <w:szCs w:val="24"/>
        </w:rPr>
        <w:t xml:space="preserve">Full details of the clusters can be found in Appendix </w:t>
      </w:r>
      <w:r w:rsidR="005C7F23">
        <w:rPr>
          <w:rFonts w:eastAsia="Times New Roman" w:cs="Arial"/>
          <w:szCs w:val="24"/>
        </w:rPr>
        <w:t>2N.</w:t>
      </w:r>
    </w:p>
    <w:p w14:paraId="14FDCD5C" w14:textId="77777777" w:rsidR="00592C38" w:rsidRPr="00EA0DC7" w:rsidRDefault="00592C38" w:rsidP="00592C38">
      <w:pPr>
        <w:pStyle w:val="Heading4"/>
        <w:rPr>
          <w:rStyle w:val="Heading4Char"/>
          <w:bCs/>
          <w:i/>
          <w:iCs/>
        </w:rPr>
      </w:pPr>
      <w:r w:rsidRPr="00EA0DC7">
        <w:rPr>
          <w:rStyle w:val="Heading4Char"/>
          <w:bCs/>
          <w:i/>
          <w:iCs/>
        </w:rPr>
        <w:lastRenderedPageBreak/>
        <w:t xml:space="preserve">2.3.3.1 </w:t>
      </w:r>
      <w:r w:rsidR="0026064C" w:rsidRPr="00EA0DC7">
        <w:rPr>
          <w:rStyle w:val="Heading4Char"/>
          <w:bCs/>
          <w:i/>
          <w:iCs/>
        </w:rPr>
        <w:t>Val</w:t>
      </w:r>
      <w:r w:rsidRPr="00EA0DC7">
        <w:rPr>
          <w:rStyle w:val="Heading4Char"/>
          <w:bCs/>
          <w:i/>
          <w:iCs/>
        </w:rPr>
        <w:t>idation of the Content Clusters</w:t>
      </w:r>
    </w:p>
    <w:p w14:paraId="77F29FE0" w14:textId="02DA4ABC" w:rsidR="0026064C" w:rsidRPr="00EA0DC7" w:rsidRDefault="0026064C" w:rsidP="0026064C">
      <w:pPr>
        <w:ind w:firstLine="720"/>
        <w:rPr>
          <w:rFonts w:eastAsia="Times New Roman" w:cs="Times New Roman"/>
        </w:rPr>
      </w:pPr>
      <w:r w:rsidRPr="00EA0DC7">
        <w:rPr>
          <w:rFonts w:eastAsia="Times New Roman" w:cs="Times New Roman"/>
        </w:rPr>
        <w:t>To determine whether they had external validity, the three clusters were compared on model characteristics. There was no difference between groups in mean year of publication of the relevant models (</w:t>
      </w:r>
      <w:r w:rsidRPr="00EA0DC7">
        <w:rPr>
          <w:rFonts w:eastAsia="Times New Roman" w:cs="Times New Roman"/>
          <w:i/>
        </w:rPr>
        <w:t>F</w:t>
      </w:r>
      <w:r w:rsidRPr="00EA0DC7">
        <w:rPr>
          <w:rFonts w:eastAsia="Times New Roman" w:cs="Times New Roman"/>
        </w:rPr>
        <w:t xml:space="preserve">(2, 51) = 0.475, </w:t>
      </w:r>
      <w:r w:rsidR="00361B1F" w:rsidRPr="00EA0DC7">
        <w:rPr>
          <w:rFonts w:eastAsia="Times New Roman" w:cs="Times New Roman"/>
          <w:i/>
        </w:rPr>
        <w:t>ns</w:t>
      </w:r>
      <w:r w:rsidRPr="00EA0DC7">
        <w:rPr>
          <w:rFonts w:eastAsia="Times New Roman" w:cs="Times New Roman"/>
        </w:rPr>
        <w:t>). Nor was there any difference between groups on whether they cited evidence (</w:t>
      </w:r>
      <w:r w:rsidRPr="00EA0DC7">
        <w:rPr>
          <w:rFonts w:eastAsia="Times New Roman" w:cs="Times New Roman"/>
          <w:i/>
        </w:rPr>
        <w:t>χ 2</w:t>
      </w:r>
      <w:r w:rsidRPr="00EA0DC7">
        <w:rPr>
          <w:rFonts w:eastAsia="Times New Roman" w:cs="Times New Roman"/>
        </w:rPr>
        <w:t xml:space="preserve"> (</w:t>
      </w:r>
      <w:r w:rsidRPr="00EA0DC7">
        <w:rPr>
          <w:rFonts w:eastAsia="Times New Roman" w:cs="Times New Roman"/>
          <w:i/>
        </w:rPr>
        <w:t>df</w:t>
      </w:r>
      <w:r w:rsidRPr="00EA0DC7">
        <w:rPr>
          <w:rFonts w:eastAsia="Times New Roman" w:cs="Times New Roman"/>
        </w:rPr>
        <w:t xml:space="preserve"> = 2) = 0.742</w:t>
      </w:r>
      <w:r w:rsidR="00361B1F" w:rsidRPr="00EA0DC7">
        <w:rPr>
          <w:rFonts w:eastAsia="Times New Roman" w:cs="Times New Roman"/>
          <w:i/>
        </w:rPr>
        <w:t>, ns</w:t>
      </w:r>
      <w:r w:rsidRPr="00EA0DC7">
        <w:rPr>
          <w:rFonts w:eastAsia="Times New Roman" w:cs="Times New Roman"/>
        </w:rPr>
        <w:t>). However, the groups differed in the mean number of elements in the models (</w:t>
      </w:r>
      <w:r w:rsidRPr="00EA0DC7">
        <w:rPr>
          <w:rFonts w:eastAsia="Times New Roman" w:cs="Times New Roman"/>
          <w:i/>
        </w:rPr>
        <w:t>F</w:t>
      </w:r>
      <w:r w:rsidRPr="00EA0DC7">
        <w:rPr>
          <w:rFonts w:eastAsia="Times New Roman" w:cs="Times New Roman"/>
        </w:rPr>
        <w:t xml:space="preserve">(2, 51) = 6.834, </w:t>
      </w:r>
      <w:r w:rsidRPr="00EA0DC7">
        <w:rPr>
          <w:rFonts w:eastAsia="Times New Roman" w:cs="Times New Roman"/>
          <w:i/>
        </w:rPr>
        <w:t>p</w:t>
      </w:r>
      <w:r w:rsidRPr="00EA0DC7">
        <w:rPr>
          <w:rFonts w:eastAsia="Times New Roman" w:cs="Times New Roman"/>
        </w:rPr>
        <w:t xml:space="preserve"> = .002). </w:t>
      </w:r>
      <w:r w:rsidRPr="00EA0DC7">
        <w:rPr>
          <w:rFonts w:eastAsia="Times New Roman" w:cs="Times New Roman"/>
          <w:i/>
        </w:rPr>
        <w:t>Fidelity</w:t>
      </w:r>
      <w:r w:rsidRPr="00EA0DC7">
        <w:rPr>
          <w:rFonts w:eastAsia="Times New Roman" w:cs="Times New Roman"/>
        </w:rPr>
        <w:t xml:space="preserve"> models (</w:t>
      </w:r>
      <w:r w:rsidRPr="00EA0DC7">
        <w:rPr>
          <w:rFonts w:eastAsia="Times New Roman" w:cs="Times New Roman"/>
          <w:i/>
        </w:rPr>
        <w:t>M</w:t>
      </w:r>
      <w:r w:rsidRPr="00EA0DC7">
        <w:rPr>
          <w:rFonts w:eastAsia="Times New Roman" w:cs="Times New Roman"/>
        </w:rPr>
        <w:t xml:space="preserve"> = 18.63, </w:t>
      </w:r>
      <w:r w:rsidRPr="00EA0DC7">
        <w:rPr>
          <w:rFonts w:eastAsia="Times New Roman" w:cs="Times New Roman"/>
          <w:i/>
        </w:rPr>
        <w:t>SD</w:t>
      </w:r>
      <w:r w:rsidRPr="00EA0DC7">
        <w:rPr>
          <w:rFonts w:eastAsia="Times New Roman" w:cs="Times New Roman"/>
        </w:rPr>
        <w:t xml:space="preserve"> = 5.98) and </w:t>
      </w:r>
      <w:r w:rsidRPr="00EA0DC7">
        <w:rPr>
          <w:rFonts w:eastAsia="Times New Roman" w:cs="Times New Roman"/>
          <w:i/>
        </w:rPr>
        <w:t xml:space="preserve">Enhanced </w:t>
      </w:r>
      <w:r w:rsidR="00592C38" w:rsidRPr="00EA0DC7">
        <w:rPr>
          <w:rFonts w:eastAsia="Times New Roman" w:cs="Times New Roman"/>
          <w:i/>
        </w:rPr>
        <w:t>F</w:t>
      </w:r>
      <w:r w:rsidRPr="00EA0DC7">
        <w:rPr>
          <w:rFonts w:eastAsia="Times New Roman" w:cs="Times New Roman"/>
          <w:i/>
        </w:rPr>
        <w:t>idelity</w:t>
      </w:r>
      <w:r w:rsidRPr="00EA0DC7">
        <w:rPr>
          <w:rFonts w:eastAsia="Times New Roman" w:cs="Times New Roman"/>
        </w:rPr>
        <w:t xml:space="preserve"> models (</w:t>
      </w:r>
      <w:r w:rsidRPr="00EA0DC7">
        <w:rPr>
          <w:rFonts w:eastAsia="Times New Roman" w:cs="Times New Roman"/>
          <w:i/>
        </w:rPr>
        <w:t>M</w:t>
      </w:r>
      <w:r w:rsidRPr="00EA0DC7">
        <w:rPr>
          <w:rFonts w:eastAsia="Times New Roman" w:cs="Times New Roman"/>
        </w:rPr>
        <w:t xml:space="preserve"> = 20.76, </w:t>
      </w:r>
      <w:r w:rsidRPr="00EA0DC7">
        <w:rPr>
          <w:rFonts w:eastAsia="Times New Roman" w:cs="Times New Roman"/>
          <w:i/>
        </w:rPr>
        <w:t>SD</w:t>
      </w:r>
      <w:r w:rsidRPr="00EA0DC7">
        <w:rPr>
          <w:rFonts w:eastAsia="Times New Roman" w:cs="Times New Roman"/>
        </w:rPr>
        <w:t xml:space="preserve"> = 7.40) had more elements in them (</w:t>
      </w:r>
      <w:r w:rsidRPr="00EA0DC7">
        <w:rPr>
          <w:rFonts w:eastAsia="Times New Roman" w:cs="Times New Roman"/>
          <w:i/>
        </w:rPr>
        <w:t>p</w:t>
      </w:r>
      <w:r w:rsidRPr="00EA0DC7">
        <w:rPr>
          <w:rFonts w:eastAsia="Times New Roman" w:cs="Times New Roman"/>
        </w:rPr>
        <w:t xml:space="preserve"> &lt; .05) than </w:t>
      </w:r>
      <w:r w:rsidRPr="00EA0DC7">
        <w:rPr>
          <w:rFonts w:eastAsia="Times New Roman" w:cs="Times New Roman"/>
          <w:i/>
        </w:rPr>
        <w:t xml:space="preserve">Unfocused </w:t>
      </w:r>
      <w:r w:rsidRPr="00EA0DC7">
        <w:rPr>
          <w:rFonts w:eastAsia="Times New Roman" w:cs="Times New Roman"/>
        </w:rPr>
        <w:t>models (</w:t>
      </w:r>
      <w:r w:rsidRPr="00EA0DC7">
        <w:rPr>
          <w:rFonts w:eastAsia="Times New Roman" w:cs="Times New Roman"/>
          <w:i/>
        </w:rPr>
        <w:t xml:space="preserve">M </w:t>
      </w:r>
      <w:r w:rsidRPr="00EA0DC7">
        <w:rPr>
          <w:rFonts w:eastAsia="Times New Roman" w:cs="Times New Roman"/>
        </w:rPr>
        <w:t xml:space="preserve">= 13.13, </w:t>
      </w:r>
      <w:r w:rsidRPr="00EA0DC7">
        <w:rPr>
          <w:rFonts w:eastAsia="Times New Roman" w:cs="Times New Roman"/>
          <w:i/>
        </w:rPr>
        <w:t>SD</w:t>
      </w:r>
      <w:r w:rsidRPr="00EA0DC7">
        <w:rPr>
          <w:rFonts w:eastAsia="Times New Roman" w:cs="Times New Roman"/>
        </w:rPr>
        <w:t xml:space="preserve"> = 4.56). </w:t>
      </w:r>
    </w:p>
    <w:p w14:paraId="31EC419F" w14:textId="77777777" w:rsidR="0026064C" w:rsidRPr="00EA0DC7" w:rsidRDefault="0026064C" w:rsidP="0026064C">
      <w:pPr>
        <w:outlineLvl w:val="2"/>
        <w:rPr>
          <w:rFonts w:eastAsia="SimSun" w:cs="Arial"/>
          <w:b/>
          <w:i/>
          <w:szCs w:val="24"/>
        </w:rPr>
      </w:pPr>
      <w:bookmarkStart w:id="86" w:name="_Toc508812087"/>
      <w:r w:rsidRPr="00EA0DC7">
        <w:rPr>
          <w:rFonts w:eastAsia="SimSun" w:cs="Arial"/>
          <w:b/>
          <w:i/>
          <w:szCs w:val="24"/>
        </w:rPr>
        <w:t>2.3.4 Supervisor elements</w:t>
      </w:r>
      <w:bookmarkEnd w:id="86"/>
    </w:p>
    <w:p w14:paraId="4F9E444E" w14:textId="1080A976" w:rsidR="0026064C" w:rsidRPr="00EA0DC7" w:rsidRDefault="0026064C" w:rsidP="0026064C">
      <w:pPr>
        <w:autoSpaceDE w:val="0"/>
        <w:autoSpaceDN w:val="0"/>
        <w:adjustRightInd w:val="0"/>
        <w:spacing w:after="0"/>
        <w:ind w:firstLine="851"/>
        <w:rPr>
          <w:rFonts w:eastAsia="Times New Roman" w:cs="Arial"/>
          <w:szCs w:val="24"/>
        </w:rPr>
      </w:pPr>
      <w:r w:rsidRPr="00EA0DC7">
        <w:rPr>
          <w:rFonts w:eastAsia="Times New Roman" w:cs="Arial"/>
          <w:szCs w:val="24"/>
        </w:rPr>
        <w:t>A two-step cluster analysis was carried out using the eight elements of the models that emerged as aspects of the supervisor (supervisor gender; supervisor ethnicity/culture; supervisor anxiety; development of supervisor; the supervisor has ability to assign clients; supervisor can take on a variety of roles; supervisor as authority figure/expert; and supervisors have their own supervisory styles).</w:t>
      </w:r>
      <w:r w:rsidR="005A7DC6">
        <w:rPr>
          <w:rFonts w:eastAsia="Times New Roman" w:cs="Arial"/>
          <w:szCs w:val="24"/>
        </w:rPr>
        <w:t xml:space="preserve"> </w:t>
      </w:r>
      <w:commentRangeStart w:id="87"/>
      <w:r w:rsidR="005A7DC6">
        <w:rPr>
          <w:rFonts w:eastAsia="Times New Roman" w:cs="Arial"/>
          <w:szCs w:val="24"/>
        </w:rPr>
        <w:t xml:space="preserve">A </w:t>
      </w:r>
      <w:r w:rsidRPr="00EA0DC7">
        <w:rPr>
          <w:rFonts w:eastAsia="Times New Roman" w:cs="Arial"/>
          <w:szCs w:val="24"/>
        </w:rPr>
        <w:t>four-cluster solution</w:t>
      </w:r>
      <w:r w:rsidR="005A7DC6">
        <w:rPr>
          <w:rFonts w:eastAsia="Times New Roman" w:cs="Arial"/>
          <w:szCs w:val="24"/>
        </w:rPr>
        <w:t xml:space="preserve"> was found to have the highest silhouette coefficient (0.6)</w:t>
      </w:r>
      <w:r w:rsidRPr="00EA0DC7">
        <w:rPr>
          <w:rFonts w:eastAsia="Times New Roman" w:cs="Arial"/>
          <w:szCs w:val="24"/>
        </w:rPr>
        <w:t xml:space="preserve">. </w:t>
      </w:r>
      <w:r w:rsidR="005A7DC6">
        <w:rPr>
          <w:rFonts w:eastAsia="Times New Roman" w:cs="Arial"/>
          <w:szCs w:val="24"/>
        </w:rPr>
        <w:t>This is a ‘good’ solution, indicating that the within-cluster differences are small and the between-cluster differences are large.</w:t>
      </w:r>
      <w:commentRangeEnd w:id="87"/>
      <w:r w:rsidR="00784FD1">
        <w:rPr>
          <w:rStyle w:val="CommentReference"/>
          <w:rFonts w:eastAsiaTheme="minorHAnsi"/>
          <w:lang w:eastAsia="en-US"/>
        </w:rPr>
        <w:commentReference w:id="87"/>
      </w:r>
    </w:p>
    <w:p w14:paraId="05AF527C" w14:textId="2B697061" w:rsidR="0026064C" w:rsidRDefault="0026064C" w:rsidP="0026064C">
      <w:pPr>
        <w:autoSpaceDE w:val="0"/>
        <w:autoSpaceDN w:val="0"/>
        <w:adjustRightInd w:val="0"/>
        <w:spacing w:after="0"/>
        <w:ind w:firstLine="851"/>
        <w:rPr>
          <w:rFonts w:eastAsia="Times New Roman" w:cs="Arial"/>
          <w:szCs w:val="24"/>
        </w:rPr>
      </w:pPr>
      <w:r w:rsidRPr="00EA0DC7">
        <w:rPr>
          <w:rFonts w:eastAsia="Times New Roman" w:cs="Arial"/>
          <w:szCs w:val="24"/>
        </w:rPr>
        <w:t xml:space="preserve">The first cluster (50% of the sample) included a group of models with little focus on any of the supervisor elements, and this cluster is referred to as </w:t>
      </w:r>
      <w:r w:rsidRPr="00EA0DC7">
        <w:rPr>
          <w:rFonts w:eastAsia="Times New Roman" w:cs="Arial"/>
          <w:i/>
          <w:szCs w:val="24"/>
        </w:rPr>
        <w:t>Unfocused</w:t>
      </w:r>
      <w:r w:rsidRPr="00EA0DC7">
        <w:rPr>
          <w:rFonts w:eastAsia="Times New Roman" w:cs="Arial"/>
          <w:szCs w:val="24"/>
        </w:rPr>
        <w:t xml:space="preserve"> models. The second cluster (21.2% of the sample) contained models, which, on the whole, described the supervisor as an authority figure (90.9% of the models in the cluster). This cluster is referred to as </w:t>
      </w:r>
      <w:r w:rsidRPr="00EA0DC7">
        <w:rPr>
          <w:rFonts w:eastAsia="Times New Roman" w:cs="Arial"/>
          <w:i/>
          <w:szCs w:val="24"/>
        </w:rPr>
        <w:t>Supervisor as an authority figure</w:t>
      </w:r>
      <w:r w:rsidRPr="00EA0DC7">
        <w:rPr>
          <w:rFonts w:eastAsia="Times New Roman" w:cs="Arial"/>
          <w:szCs w:val="24"/>
        </w:rPr>
        <w:t xml:space="preserve"> models. The third cluster (17.3% of the sample) contains models, which all indicated a focus on the supervisor taking on a variety of </w:t>
      </w:r>
      <w:r w:rsidRPr="00EA0DC7">
        <w:rPr>
          <w:rFonts w:eastAsia="Times New Roman" w:cs="Arial"/>
          <w:szCs w:val="24"/>
        </w:rPr>
        <w:lastRenderedPageBreak/>
        <w:t xml:space="preserve">roles. This cluster is referred to as </w:t>
      </w:r>
      <w:r w:rsidRPr="00EA0DC7">
        <w:rPr>
          <w:rFonts w:eastAsia="Times New Roman" w:cs="Arial"/>
          <w:i/>
          <w:szCs w:val="24"/>
        </w:rPr>
        <w:t>Supervisor as a multitasker</w:t>
      </w:r>
      <w:r w:rsidRPr="00EA0DC7">
        <w:rPr>
          <w:rFonts w:eastAsia="Times New Roman" w:cs="Arial"/>
          <w:szCs w:val="24"/>
        </w:rPr>
        <w:t xml:space="preserve"> models. The final cluster (11.5% of the sample) consisted of models that focus mainly on the supervisor as an authority figure (83.3% of the models in the cluster), supervisor’s culture (100%), and supervisor’s gender (100%). This cluster is referred to as </w:t>
      </w:r>
      <w:r w:rsidRPr="00EA0DC7">
        <w:rPr>
          <w:rFonts w:eastAsia="Times New Roman" w:cs="Arial"/>
          <w:i/>
          <w:szCs w:val="24"/>
        </w:rPr>
        <w:t>Supervisor as an individual</w:t>
      </w:r>
      <w:r w:rsidRPr="00EA0DC7">
        <w:rPr>
          <w:rFonts w:eastAsia="Times New Roman" w:cs="Arial"/>
          <w:szCs w:val="24"/>
        </w:rPr>
        <w:t xml:space="preserve"> models. </w:t>
      </w:r>
    </w:p>
    <w:p w14:paraId="070909A4" w14:textId="6E9DB223" w:rsidR="005C7F23" w:rsidRPr="00EA0DC7" w:rsidRDefault="005C7F23" w:rsidP="0060127C">
      <w:pPr>
        <w:autoSpaceDE w:val="0"/>
        <w:autoSpaceDN w:val="0"/>
        <w:adjustRightInd w:val="0"/>
        <w:spacing w:after="0"/>
        <w:ind w:firstLine="720"/>
        <w:rPr>
          <w:rFonts w:eastAsia="Times New Roman" w:cs="Arial"/>
          <w:szCs w:val="24"/>
        </w:rPr>
      </w:pPr>
      <w:r>
        <w:rPr>
          <w:rFonts w:eastAsia="Times New Roman" w:cs="Arial"/>
          <w:szCs w:val="24"/>
        </w:rPr>
        <w:t>Full details of the clusters can be found in Appendix 2N.</w:t>
      </w:r>
    </w:p>
    <w:p w14:paraId="32B5F001" w14:textId="097D74DB" w:rsidR="000B25F9" w:rsidRPr="00EA0DC7" w:rsidRDefault="000B25F9" w:rsidP="000B25F9">
      <w:pPr>
        <w:pStyle w:val="Heading4"/>
      </w:pPr>
      <w:r w:rsidRPr="00EA0DC7">
        <w:t xml:space="preserve">2.3.4.1 </w:t>
      </w:r>
      <w:r w:rsidR="0026064C" w:rsidRPr="00EA0DC7">
        <w:t>Valida</w:t>
      </w:r>
      <w:r w:rsidRPr="00EA0DC7">
        <w:t>tion of the supervisor clusters</w:t>
      </w:r>
    </w:p>
    <w:p w14:paraId="31FC12F9" w14:textId="70239DF2" w:rsidR="0026064C" w:rsidRPr="00EA0DC7" w:rsidRDefault="0026064C" w:rsidP="0026064C">
      <w:pPr>
        <w:ind w:firstLine="720"/>
        <w:rPr>
          <w:rFonts w:eastAsia="Times New Roman" w:cs="Times New Roman"/>
          <w:b/>
          <w:u w:val="single"/>
        </w:rPr>
      </w:pPr>
      <w:r w:rsidRPr="00EA0DC7">
        <w:rPr>
          <w:rFonts w:eastAsia="Times New Roman" w:cs="Times New Roman"/>
        </w:rPr>
        <w:t>The four clusters were compared to other characteristics of the models. No difference was found between groups in mean year of publication of the relevant models (</w:t>
      </w:r>
      <w:r w:rsidRPr="00EA0DC7">
        <w:rPr>
          <w:rFonts w:eastAsia="Times New Roman" w:cs="Times New Roman"/>
          <w:i/>
        </w:rPr>
        <w:t>F</w:t>
      </w:r>
      <w:r w:rsidRPr="00EA0DC7">
        <w:rPr>
          <w:rFonts w:eastAsia="Times New Roman" w:cs="Times New Roman"/>
        </w:rPr>
        <w:t xml:space="preserve">(3, 51) = 2.174, </w:t>
      </w:r>
      <w:r w:rsidR="004525C3" w:rsidRPr="00EA0DC7">
        <w:rPr>
          <w:rFonts w:eastAsia="Times New Roman" w:cs="Times New Roman"/>
          <w:i/>
        </w:rPr>
        <w:t>ns</w:t>
      </w:r>
      <w:r w:rsidRPr="00EA0DC7">
        <w:rPr>
          <w:rFonts w:eastAsia="Times New Roman" w:cs="Times New Roman"/>
        </w:rPr>
        <w:t>). Nor was there any difference between groups on whether they cited evidence (</w:t>
      </w:r>
      <w:r w:rsidRPr="00EA0DC7">
        <w:rPr>
          <w:rFonts w:eastAsia="Times New Roman" w:cs="Arial"/>
          <w:i/>
        </w:rPr>
        <w:t>χ</w:t>
      </w:r>
      <w:r w:rsidRPr="00EA0DC7">
        <w:rPr>
          <w:rFonts w:eastAsia="Times New Roman" w:cs="Times New Roman"/>
          <w:vertAlign w:val="superscript"/>
        </w:rPr>
        <w:t xml:space="preserve"> </w:t>
      </w:r>
      <w:r w:rsidRPr="00EA0DC7">
        <w:rPr>
          <w:rFonts w:eastAsia="Times New Roman" w:cs="Times New Roman"/>
          <w:i/>
          <w:vertAlign w:val="superscript"/>
        </w:rPr>
        <w:t>2</w:t>
      </w:r>
      <w:r w:rsidRPr="00EA0DC7">
        <w:rPr>
          <w:rFonts w:eastAsia="Times New Roman" w:cs="Times New Roman"/>
          <w:vertAlign w:val="superscript"/>
        </w:rPr>
        <w:t xml:space="preserve"> </w:t>
      </w:r>
      <w:r w:rsidRPr="00EA0DC7">
        <w:rPr>
          <w:rFonts w:eastAsia="Times New Roman" w:cs="Times New Roman"/>
        </w:rPr>
        <w:t>(</w:t>
      </w:r>
      <w:r w:rsidRPr="00EA0DC7">
        <w:rPr>
          <w:rFonts w:eastAsia="Times New Roman" w:cs="Times New Roman"/>
          <w:i/>
        </w:rPr>
        <w:t xml:space="preserve">df </w:t>
      </w:r>
      <w:r w:rsidRPr="00EA0DC7">
        <w:rPr>
          <w:rFonts w:eastAsia="Times New Roman" w:cs="Times New Roman"/>
        </w:rPr>
        <w:t xml:space="preserve">= 3) = 2.90, </w:t>
      </w:r>
      <w:r w:rsidR="004525C3" w:rsidRPr="00EA0DC7">
        <w:rPr>
          <w:rFonts w:eastAsia="Times New Roman" w:cs="Times New Roman"/>
          <w:i/>
        </w:rPr>
        <w:t>ns</w:t>
      </w:r>
      <w:r w:rsidRPr="00EA0DC7">
        <w:rPr>
          <w:rFonts w:eastAsia="Times New Roman" w:cs="Times New Roman"/>
        </w:rPr>
        <w:t>). However, there was a significant difference between the groups on the mean number of elements in the models (</w:t>
      </w:r>
      <w:r w:rsidRPr="00EA0DC7">
        <w:rPr>
          <w:rFonts w:eastAsia="Times New Roman" w:cs="Times New Roman"/>
          <w:i/>
        </w:rPr>
        <w:t>F</w:t>
      </w:r>
      <w:r w:rsidRPr="00EA0DC7">
        <w:rPr>
          <w:rFonts w:eastAsia="Times New Roman" w:cs="Times New Roman"/>
        </w:rPr>
        <w:t xml:space="preserve">(3, 51) = 12.636, </w:t>
      </w:r>
      <w:r w:rsidRPr="00EA0DC7">
        <w:rPr>
          <w:rFonts w:eastAsia="Times New Roman" w:cs="Times New Roman"/>
          <w:i/>
        </w:rPr>
        <w:t>p</w:t>
      </w:r>
      <w:r w:rsidRPr="00EA0DC7">
        <w:rPr>
          <w:rFonts w:eastAsia="Times New Roman" w:cs="Times New Roman"/>
        </w:rPr>
        <w:t xml:space="preserve"> &lt; .001). </w:t>
      </w:r>
      <w:r w:rsidRPr="00EA0DC7">
        <w:rPr>
          <w:rFonts w:eastAsia="Times New Roman" w:cs="Times New Roman"/>
          <w:i/>
        </w:rPr>
        <w:t>Supervisor as an individual</w:t>
      </w:r>
      <w:r w:rsidRPr="00EA0DC7">
        <w:rPr>
          <w:rFonts w:eastAsia="Times New Roman" w:cs="Times New Roman"/>
        </w:rPr>
        <w:t xml:space="preserve"> models had significantly more elements in them (</w:t>
      </w:r>
      <w:r w:rsidRPr="00EA0DC7">
        <w:rPr>
          <w:rFonts w:eastAsia="Times New Roman" w:cs="Times New Roman"/>
          <w:i/>
        </w:rPr>
        <w:t>M</w:t>
      </w:r>
      <w:r w:rsidRPr="00EA0DC7">
        <w:rPr>
          <w:rFonts w:eastAsia="Times New Roman" w:cs="Times New Roman"/>
        </w:rPr>
        <w:t xml:space="preserve"> = 28.83, </w:t>
      </w:r>
      <w:r w:rsidRPr="00EA0DC7">
        <w:rPr>
          <w:rFonts w:eastAsia="Times New Roman" w:cs="Times New Roman"/>
          <w:i/>
        </w:rPr>
        <w:t>SD</w:t>
      </w:r>
      <w:r w:rsidRPr="00EA0DC7">
        <w:rPr>
          <w:rFonts w:eastAsia="Times New Roman" w:cs="Times New Roman"/>
        </w:rPr>
        <w:t xml:space="preserve"> = 4.07) than all other groups (</w:t>
      </w:r>
      <w:r w:rsidRPr="00EA0DC7">
        <w:rPr>
          <w:rFonts w:eastAsia="Times New Roman" w:cs="Times New Roman"/>
          <w:i/>
        </w:rPr>
        <w:t>Unfocused</w:t>
      </w:r>
      <w:r w:rsidRPr="00EA0DC7">
        <w:rPr>
          <w:rFonts w:eastAsia="Times New Roman" w:cs="Times New Roman"/>
        </w:rPr>
        <w:t xml:space="preserve"> (</w:t>
      </w:r>
      <w:r w:rsidRPr="00EA0DC7">
        <w:rPr>
          <w:rFonts w:eastAsia="Times New Roman" w:cs="Times New Roman"/>
          <w:i/>
        </w:rPr>
        <w:t>M</w:t>
      </w:r>
      <w:r w:rsidRPr="00EA0DC7">
        <w:rPr>
          <w:rFonts w:eastAsia="Times New Roman" w:cs="Times New Roman"/>
        </w:rPr>
        <w:t xml:space="preserve"> = 14.58, </w:t>
      </w:r>
      <w:r w:rsidRPr="00EA0DC7">
        <w:rPr>
          <w:rFonts w:eastAsia="Times New Roman" w:cs="Times New Roman"/>
          <w:i/>
        </w:rPr>
        <w:t>SD</w:t>
      </w:r>
      <w:r w:rsidRPr="00EA0DC7">
        <w:rPr>
          <w:rFonts w:eastAsia="Times New Roman" w:cs="Times New Roman"/>
        </w:rPr>
        <w:t xml:space="preserve"> = 5.10); </w:t>
      </w:r>
      <w:r w:rsidRPr="00EA0DC7">
        <w:rPr>
          <w:rFonts w:eastAsia="Times New Roman" w:cs="Times New Roman"/>
          <w:i/>
        </w:rPr>
        <w:t>Supervisor as an authority figure</w:t>
      </w:r>
      <w:r w:rsidRPr="00EA0DC7">
        <w:rPr>
          <w:rFonts w:eastAsia="Times New Roman" w:cs="Times New Roman"/>
        </w:rPr>
        <w:t xml:space="preserve"> (</w:t>
      </w:r>
      <w:r w:rsidRPr="00EA0DC7">
        <w:rPr>
          <w:rFonts w:eastAsia="Times New Roman" w:cs="Times New Roman"/>
          <w:i/>
        </w:rPr>
        <w:t>M</w:t>
      </w:r>
      <w:r w:rsidRPr="00EA0DC7">
        <w:rPr>
          <w:rFonts w:eastAsia="Times New Roman" w:cs="Times New Roman"/>
        </w:rPr>
        <w:t xml:space="preserve"> = 19.36, </w:t>
      </w:r>
      <w:r w:rsidRPr="00EA0DC7">
        <w:rPr>
          <w:rFonts w:eastAsia="Times New Roman" w:cs="Times New Roman"/>
          <w:i/>
        </w:rPr>
        <w:t>SD</w:t>
      </w:r>
      <w:r w:rsidRPr="00EA0DC7">
        <w:rPr>
          <w:rFonts w:eastAsia="Times New Roman" w:cs="Times New Roman"/>
        </w:rPr>
        <w:t xml:space="preserve"> = 6.70); and </w:t>
      </w:r>
      <w:r w:rsidRPr="00EA0DC7">
        <w:rPr>
          <w:rFonts w:eastAsia="Times New Roman" w:cs="Times New Roman"/>
          <w:i/>
        </w:rPr>
        <w:t>Supervisor as a multitasker</w:t>
      </w:r>
      <w:r w:rsidRPr="00EA0DC7">
        <w:rPr>
          <w:rFonts w:eastAsia="Times New Roman" w:cs="Times New Roman"/>
        </w:rPr>
        <w:t xml:space="preserve"> (</w:t>
      </w:r>
      <w:r w:rsidRPr="00EA0DC7">
        <w:rPr>
          <w:rFonts w:eastAsia="Times New Roman" w:cs="Times New Roman"/>
          <w:i/>
        </w:rPr>
        <w:t>M</w:t>
      </w:r>
      <w:r w:rsidRPr="00EA0DC7">
        <w:rPr>
          <w:rFonts w:eastAsia="Times New Roman" w:cs="Times New Roman"/>
        </w:rPr>
        <w:t xml:space="preserve"> = 16.89, </w:t>
      </w:r>
      <w:r w:rsidRPr="00EA0DC7">
        <w:rPr>
          <w:rFonts w:eastAsia="Times New Roman" w:cs="Times New Roman"/>
          <w:i/>
        </w:rPr>
        <w:t>SD</w:t>
      </w:r>
      <w:r w:rsidRPr="00EA0DC7">
        <w:rPr>
          <w:rFonts w:eastAsia="Times New Roman" w:cs="Times New Roman"/>
        </w:rPr>
        <w:t xml:space="preserve"> = 3.98)). </w:t>
      </w:r>
    </w:p>
    <w:p w14:paraId="2E70AF94" w14:textId="77777777" w:rsidR="0026064C" w:rsidRPr="00EA0DC7" w:rsidRDefault="0026064C" w:rsidP="0026064C">
      <w:pPr>
        <w:spacing w:line="360" w:lineRule="auto"/>
        <w:outlineLvl w:val="2"/>
        <w:rPr>
          <w:rFonts w:eastAsia="Times New Roman" w:cs="Arial"/>
          <w:b/>
          <w:i/>
          <w:szCs w:val="24"/>
        </w:rPr>
      </w:pPr>
      <w:bookmarkStart w:id="88" w:name="_Toc508812088"/>
      <w:r w:rsidRPr="00EA0DC7">
        <w:rPr>
          <w:rFonts w:eastAsia="Times New Roman" w:cs="Arial"/>
          <w:b/>
          <w:i/>
          <w:szCs w:val="24"/>
        </w:rPr>
        <w:t>2.3.5 Supervisee elements</w:t>
      </w:r>
      <w:bookmarkEnd w:id="88"/>
    </w:p>
    <w:p w14:paraId="340C816E" w14:textId="53750887" w:rsidR="0026064C" w:rsidRPr="00EA0DC7" w:rsidRDefault="0026064C" w:rsidP="0026064C">
      <w:pPr>
        <w:autoSpaceDE w:val="0"/>
        <w:autoSpaceDN w:val="0"/>
        <w:adjustRightInd w:val="0"/>
        <w:spacing w:after="0"/>
        <w:ind w:firstLine="851"/>
        <w:rPr>
          <w:rFonts w:eastAsia="Times New Roman" w:cs="Arial"/>
          <w:szCs w:val="24"/>
        </w:rPr>
      </w:pPr>
      <w:r w:rsidRPr="00EA0DC7">
        <w:rPr>
          <w:rFonts w:eastAsia="Times New Roman" w:cs="Arial"/>
          <w:szCs w:val="24"/>
        </w:rPr>
        <w:t xml:space="preserve">A two-step cluster analysis was carried out using the nine elements of the models that were considered to be aspects of the supervisee (supervisee gender; supervisee ethnicity/culture; supervisee anxiety; supervisee motivation; supervisee autonomy vs dependency; supervisee awareness of self and/or others; development of supervisee; supervisee individual learning styles; and supervisee can take on a variety of roles). </w:t>
      </w:r>
      <w:commentRangeStart w:id="89"/>
      <w:r w:rsidR="00C85223">
        <w:rPr>
          <w:rFonts w:eastAsia="Times New Roman" w:cs="Arial"/>
          <w:szCs w:val="24"/>
        </w:rPr>
        <w:t xml:space="preserve">A three cluster solution </w:t>
      </w:r>
      <w:r w:rsidR="00C85223">
        <w:rPr>
          <w:rFonts w:eastAsia="Times New Roman" w:cs="Arial"/>
          <w:szCs w:val="24"/>
        </w:rPr>
        <w:lastRenderedPageBreak/>
        <w:t>had the highest silhouette coefficient (0.4; ‘fair</w:t>
      </w:r>
      <w:r w:rsidR="00DC693D">
        <w:rPr>
          <w:rFonts w:eastAsia="Times New Roman" w:cs="Arial"/>
          <w:szCs w:val="24"/>
        </w:rPr>
        <w:t>’</w:t>
      </w:r>
      <w:r w:rsidR="00C85223">
        <w:rPr>
          <w:rFonts w:eastAsia="Times New Roman" w:cs="Arial"/>
          <w:szCs w:val="24"/>
        </w:rPr>
        <w:t>), indicating the highest between</w:t>
      </w:r>
      <w:r w:rsidR="00D71BC9">
        <w:rPr>
          <w:rFonts w:eastAsia="Times New Roman" w:cs="Arial"/>
          <w:szCs w:val="24"/>
        </w:rPr>
        <w:t>-</w:t>
      </w:r>
      <w:r w:rsidR="00C85223">
        <w:rPr>
          <w:rFonts w:eastAsia="Times New Roman" w:cs="Arial"/>
          <w:szCs w:val="24"/>
        </w:rPr>
        <w:t>group differences with the lowest within</w:t>
      </w:r>
      <w:r w:rsidR="00D71BC9">
        <w:rPr>
          <w:rFonts w:eastAsia="Times New Roman" w:cs="Arial"/>
          <w:szCs w:val="24"/>
        </w:rPr>
        <w:t>-</w:t>
      </w:r>
      <w:r w:rsidR="00C85223">
        <w:rPr>
          <w:rFonts w:eastAsia="Times New Roman" w:cs="Arial"/>
          <w:szCs w:val="24"/>
        </w:rPr>
        <w:t>group differences.</w:t>
      </w:r>
      <w:commentRangeEnd w:id="89"/>
      <w:r w:rsidR="00784FD1">
        <w:rPr>
          <w:rStyle w:val="CommentReference"/>
          <w:rFonts w:eastAsiaTheme="minorHAnsi"/>
          <w:lang w:eastAsia="en-US"/>
        </w:rPr>
        <w:commentReference w:id="89"/>
      </w:r>
    </w:p>
    <w:p w14:paraId="5ECE296F" w14:textId="5AA33814" w:rsidR="0026064C" w:rsidRDefault="0026064C" w:rsidP="0026064C">
      <w:pPr>
        <w:autoSpaceDE w:val="0"/>
        <w:autoSpaceDN w:val="0"/>
        <w:adjustRightInd w:val="0"/>
        <w:spacing w:after="0"/>
        <w:ind w:firstLine="851"/>
        <w:rPr>
          <w:rFonts w:eastAsia="Times New Roman" w:cs="Arial"/>
          <w:szCs w:val="24"/>
        </w:rPr>
      </w:pPr>
      <w:r w:rsidRPr="00EA0DC7">
        <w:rPr>
          <w:rFonts w:eastAsia="Times New Roman" w:cs="Arial"/>
          <w:szCs w:val="24"/>
        </w:rPr>
        <w:t xml:space="preserve">The first cluster (38.5% of the sample) contained models with little focus on any of the supervisee elements, and is referred to as </w:t>
      </w:r>
      <w:r w:rsidRPr="00EA0DC7">
        <w:rPr>
          <w:rFonts w:eastAsia="Times New Roman" w:cs="Arial"/>
          <w:i/>
          <w:szCs w:val="24"/>
        </w:rPr>
        <w:t>Unfocused</w:t>
      </w:r>
      <w:r w:rsidRPr="00EA0DC7">
        <w:rPr>
          <w:rFonts w:eastAsia="Times New Roman" w:cs="Arial"/>
          <w:szCs w:val="24"/>
        </w:rPr>
        <w:t xml:space="preserve"> models. The second cluster (38.5% of the sample) contained models that all focused on supervisee development. Many of the models in this cluster also focused on supervisee anxiety (55%) and supervisee autonomy vs. dependency (45%). This cluster is referred to as </w:t>
      </w:r>
      <w:r w:rsidRPr="00EA0DC7">
        <w:rPr>
          <w:rFonts w:eastAsia="Times New Roman" w:cs="Arial"/>
          <w:i/>
          <w:szCs w:val="24"/>
        </w:rPr>
        <w:t>Supervisee as an individual</w:t>
      </w:r>
      <w:r w:rsidRPr="00EA0DC7">
        <w:rPr>
          <w:rFonts w:eastAsia="Times New Roman" w:cs="Arial"/>
          <w:szCs w:val="24"/>
        </w:rPr>
        <w:t xml:space="preserve"> models. The final cluster (23.1% of the sample) contained </w:t>
      </w:r>
      <w:r w:rsidR="00592C38" w:rsidRPr="00EA0DC7">
        <w:rPr>
          <w:rFonts w:eastAsia="Times New Roman" w:cs="Arial"/>
          <w:szCs w:val="24"/>
        </w:rPr>
        <w:t>models that</w:t>
      </w:r>
      <w:r w:rsidRPr="00EA0DC7">
        <w:rPr>
          <w:rFonts w:eastAsia="Times New Roman" w:cs="Arial"/>
          <w:szCs w:val="24"/>
        </w:rPr>
        <w:t xml:space="preserve"> all focused on supervisee culture and supervisee gender. Other areas of focus for models in this cluster were supervisee development (75%), supervisee awareness of self and/ or others (58.3%), supervisee anxiety (50%), and supervisees having their own learning styles (41.7%). This cluster is referred to as </w:t>
      </w:r>
      <w:r w:rsidRPr="00EA0DC7">
        <w:rPr>
          <w:rFonts w:eastAsia="Times New Roman" w:cs="Arial"/>
          <w:i/>
          <w:szCs w:val="24"/>
        </w:rPr>
        <w:t>Supervisee as an individual in context</w:t>
      </w:r>
      <w:r w:rsidRPr="00EA0DC7">
        <w:rPr>
          <w:rFonts w:eastAsia="Times New Roman" w:cs="Arial"/>
          <w:szCs w:val="24"/>
        </w:rPr>
        <w:t xml:space="preserve"> models. </w:t>
      </w:r>
    </w:p>
    <w:p w14:paraId="42AB47CF" w14:textId="3AD118E1" w:rsidR="005C7F23" w:rsidRPr="00EA0DC7" w:rsidRDefault="005C7F23" w:rsidP="0060127C">
      <w:pPr>
        <w:autoSpaceDE w:val="0"/>
        <w:autoSpaceDN w:val="0"/>
        <w:adjustRightInd w:val="0"/>
        <w:spacing w:after="0"/>
        <w:ind w:firstLine="720"/>
        <w:rPr>
          <w:rFonts w:eastAsia="Times New Roman" w:cs="Arial"/>
          <w:szCs w:val="24"/>
        </w:rPr>
      </w:pPr>
      <w:r>
        <w:rPr>
          <w:rFonts w:eastAsia="Times New Roman" w:cs="Arial"/>
          <w:szCs w:val="24"/>
        </w:rPr>
        <w:t>Full details of the clusters can be found in Appendix 2N.</w:t>
      </w:r>
    </w:p>
    <w:p w14:paraId="7172800B" w14:textId="45FB3ADF" w:rsidR="000B25F9" w:rsidRPr="00EA0DC7" w:rsidRDefault="000B25F9" w:rsidP="000B25F9">
      <w:pPr>
        <w:pStyle w:val="Heading4"/>
      </w:pPr>
      <w:r w:rsidRPr="00EA0DC7">
        <w:t xml:space="preserve">2.3.5.1 </w:t>
      </w:r>
      <w:r w:rsidR="0026064C" w:rsidRPr="00EA0DC7">
        <w:t>Valida</w:t>
      </w:r>
      <w:r w:rsidRPr="00EA0DC7">
        <w:t>tion of the supervisee clusters</w:t>
      </w:r>
    </w:p>
    <w:p w14:paraId="26186450" w14:textId="4A17CF16" w:rsidR="0026064C" w:rsidRPr="00EA0DC7" w:rsidRDefault="0026064C" w:rsidP="0026064C">
      <w:pPr>
        <w:autoSpaceDE w:val="0"/>
        <w:autoSpaceDN w:val="0"/>
        <w:adjustRightInd w:val="0"/>
        <w:spacing w:after="0"/>
        <w:ind w:firstLine="851"/>
        <w:rPr>
          <w:rFonts w:eastAsia="Times New Roman" w:cs="Arial"/>
          <w:szCs w:val="24"/>
        </w:rPr>
      </w:pPr>
      <w:r w:rsidRPr="00EA0DC7">
        <w:rPr>
          <w:rFonts w:eastAsia="Times New Roman" w:cs="Arial"/>
          <w:szCs w:val="24"/>
        </w:rPr>
        <w:t>The three clusters were compared on model characteristics. There was a significant difference between groups in mean year of model publication (</w:t>
      </w:r>
      <w:r w:rsidRPr="00EA0DC7">
        <w:rPr>
          <w:rFonts w:eastAsia="Times New Roman" w:cs="Arial"/>
          <w:i/>
          <w:szCs w:val="24"/>
        </w:rPr>
        <w:t>F</w:t>
      </w:r>
      <w:r w:rsidR="00E13C53" w:rsidRPr="00EA0DC7">
        <w:rPr>
          <w:rFonts w:eastAsia="Times New Roman" w:cs="Arial"/>
          <w:szCs w:val="24"/>
        </w:rPr>
        <w:t>(2, 51) =</w:t>
      </w:r>
      <w:r w:rsidRPr="00EA0DC7">
        <w:rPr>
          <w:rFonts w:eastAsia="Times New Roman" w:cs="Arial"/>
          <w:szCs w:val="24"/>
        </w:rPr>
        <w:t xml:space="preserve"> 4.34, </w:t>
      </w:r>
      <w:r w:rsidRPr="00EA0DC7">
        <w:rPr>
          <w:rFonts w:eastAsia="Times New Roman" w:cs="Arial"/>
          <w:i/>
          <w:szCs w:val="24"/>
        </w:rPr>
        <w:t>p</w:t>
      </w:r>
      <w:r w:rsidRPr="00EA0DC7">
        <w:rPr>
          <w:rFonts w:eastAsia="Times New Roman" w:cs="Arial"/>
          <w:szCs w:val="24"/>
        </w:rPr>
        <w:t xml:space="preserve"> = .018). The models of </w:t>
      </w:r>
      <w:r w:rsidRPr="00EA0DC7">
        <w:rPr>
          <w:rFonts w:eastAsia="Times New Roman" w:cs="Arial"/>
          <w:i/>
          <w:szCs w:val="24"/>
        </w:rPr>
        <w:t>Supervisee as an individual</w:t>
      </w:r>
      <w:r w:rsidRPr="00EA0DC7">
        <w:rPr>
          <w:rFonts w:eastAsia="Times New Roman" w:cs="Arial"/>
          <w:szCs w:val="24"/>
        </w:rPr>
        <w:t xml:space="preserve"> were published earlier (</w:t>
      </w:r>
      <w:r w:rsidRPr="00EA0DC7">
        <w:rPr>
          <w:rFonts w:eastAsia="Times New Roman" w:cs="Arial"/>
          <w:i/>
          <w:iCs/>
          <w:szCs w:val="24"/>
        </w:rPr>
        <w:t>M</w:t>
      </w:r>
      <w:r w:rsidRPr="00EA0DC7">
        <w:rPr>
          <w:rFonts w:eastAsia="Times New Roman" w:cs="Arial"/>
          <w:szCs w:val="24"/>
        </w:rPr>
        <w:t xml:space="preserve"> = 1985, </w:t>
      </w:r>
      <w:r w:rsidRPr="00EA0DC7">
        <w:rPr>
          <w:rFonts w:eastAsia="Times New Roman" w:cs="Arial"/>
          <w:i/>
          <w:iCs/>
          <w:szCs w:val="24"/>
        </w:rPr>
        <w:t>SD</w:t>
      </w:r>
      <w:r w:rsidRPr="00EA0DC7">
        <w:rPr>
          <w:rFonts w:eastAsia="Times New Roman" w:cs="Arial"/>
          <w:szCs w:val="24"/>
        </w:rPr>
        <w:t xml:space="preserve"> = 10.88) than the </w:t>
      </w:r>
      <w:r w:rsidRPr="00EA0DC7">
        <w:rPr>
          <w:rFonts w:eastAsia="Times New Roman" w:cs="Arial"/>
          <w:i/>
          <w:szCs w:val="24"/>
        </w:rPr>
        <w:t>Supervisee as an individual in context</w:t>
      </w:r>
      <w:r w:rsidRPr="00EA0DC7">
        <w:rPr>
          <w:rFonts w:eastAsia="Times New Roman" w:cs="Arial"/>
          <w:szCs w:val="24"/>
        </w:rPr>
        <w:t xml:space="preserve"> models (</w:t>
      </w:r>
      <w:r w:rsidRPr="00EA0DC7">
        <w:rPr>
          <w:rFonts w:eastAsia="Times New Roman" w:cs="Arial"/>
          <w:i/>
          <w:iCs/>
          <w:szCs w:val="24"/>
        </w:rPr>
        <w:t>M</w:t>
      </w:r>
      <w:r w:rsidRPr="00EA0DC7">
        <w:rPr>
          <w:rFonts w:eastAsia="Times New Roman" w:cs="Arial"/>
          <w:szCs w:val="24"/>
        </w:rPr>
        <w:t xml:space="preserve"> = 1996, </w:t>
      </w:r>
      <w:r w:rsidRPr="00EA0DC7">
        <w:rPr>
          <w:rFonts w:eastAsia="Times New Roman" w:cs="Arial"/>
          <w:i/>
          <w:iCs/>
          <w:szCs w:val="24"/>
        </w:rPr>
        <w:t>SD</w:t>
      </w:r>
      <w:r w:rsidRPr="00EA0DC7">
        <w:rPr>
          <w:rFonts w:eastAsia="Times New Roman" w:cs="Arial"/>
          <w:szCs w:val="24"/>
        </w:rPr>
        <w:t xml:space="preserve"> = 10.22). There was also a significant difference between the groups in the mean number of elements in the models (</w:t>
      </w:r>
      <w:r w:rsidRPr="00EA0DC7">
        <w:rPr>
          <w:rFonts w:eastAsia="Times New Roman" w:cs="Arial"/>
          <w:i/>
          <w:szCs w:val="24"/>
        </w:rPr>
        <w:t>F</w:t>
      </w:r>
      <w:r w:rsidRPr="00EA0DC7">
        <w:rPr>
          <w:rFonts w:eastAsia="Times New Roman" w:cs="Arial"/>
          <w:szCs w:val="24"/>
        </w:rPr>
        <w:t xml:space="preserve">(2, 51) </w:t>
      </w:r>
      <w:r w:rsidR="00E13C53" w:rsidRPr="00EA0DC7">
        <w:rPr>
          <w:rFonts w:eastAsia="Times New Roman" w:cs="Arial"/>
          <w:szCs w:val="24"/>
        </w:rPr>
        <w:t>= 42.24</w:t>
      </w:r>
      <w:r w:rsidRPr="00EA0DC7">
        <w:rPr>
          <w:rFonts w:eastAsia="Times New Roman" w:cs="Arial"/>
          <w:szCs w:val="24"/>
        </w:rPr>
        <w:t xml:space="preserve">, </w:t>
      </w:r>
      <w:r w:rsidRPr="00EA0DC7">
        <w:rPr>
          <w:rFonts w:eastAsia="Times New Roman" w:cs="Arial"/>
          <w:i/>
          <w:szCs w:val="24"/>
        </w:rPr>
        <w:t>p</w:t>
      </w:r>
      <w:r w:rsidRPr="00EA0DC7">
        <w:rPr>
          <w:rFonts w:eastAsia="Times New Roman" w:cs="Arial"/>
          <w:szCs w:val="24"/>
        </w:rPr>
        <w:t xml:space="preserve"> &lt; .001). </w:t>
      </w:r>
      <w:r w:rsidRPr="00EA0DC7">
        <w:rPr>
          <w:rFonts w:eastAsia="Times New Roman" w:cs="Arial"/>
          <w:i/>
          <w:szCs w:val="24"/>
        </w:rPr>
        <w:t>Supervisee as an individual in context</w:t>
      </w:r>
      <w:r w:rsidRPr="00EA0DC7">
        <w:rPr>
          <w:rFonts w:eastAsia="Times New Roman" w:cs="Arial"/>
          <w:szCs w:val="24"/>
        </w:rPr>
        <w:t xml:space="preserve"> models had significantly more elements in them (</w:t>
      </w:r>
      <w:r w:rsidRPr="00EA0DC7">
        <w:rPr>
          <w:rFonts w:eastAsia="Times New Roman" w:cs="Arial"/>
          <w:i/>
          <w:iCs/>
          <w:szCs w:val="24"/>
        </w:rPr>
        <w:t>M</w:t>
      </w:r>
      <w:r w:rsidRPr="00EA0DC7">
        <w:rPr>
          <w:rFonts w:eastAsia="Times New Roman" w:cs="Arial"/>
          <w:szCs w:val="24"/>
        </w:rPr>
        <w:t xml:space="preserve"> = 27.25, </w:t>
      </w:r>
      <w:r w:rsidRPr="00EA0DC7">
        <w:rPr>
          <w:rFonts w:eastAsia="Times New Roman" w:cs="Arial"/>
          <w:i/>
          <w:iCs/>
          <w:szCs w:val="24"/>
        </w:rPr>
        <w:t>SD</w:t>
      </w:r>
      <w:r w:rsidRPr="00EA0DC7">
        <w:rPr>
          <w:rFonts w:eastAsia="Times New Roman" w:cs="Arial"/>
          <w:szCs w:val="24"/>
        </w:rPr>
        <w:t xml:space="preserve"> = 4.97) than both other groups (</w:t>
      </w:r>
      <w:r w:rsidRPr="00EA0DC7">
        <w:rPr>
          <w:rFonts w:eastAsia="Times New Roman" w:cs="Arial"/>
          <w:i/>
          <w:szCs w:val="24"/>
        </w:rPr>
        <w:t>Unfocused</w:t>
      </w:r>
      <w:r w:rsidRPr="00EA0DC7">
        <w:rPr>
          <w:rFonts w:eastAsia="Times New Roman" w:cs="Arial"/>
          <w:szCs w:val="24"/>
        </w:rPr>
        <w:t xml:space="preserve"> (</w:t>
      </w:r>
      <w:r w:rsidRPr="00EA0DC7">
        <w:rPr>
          <w:rFonts w:eastAsia="Times New Roman" w:cs="Arial"/>
          <w:i/>
          <w:iCs/>
          <w:szCs w:val="24"/>
        </w:rPr>
        <w:t>M</w:t>
      </w:r>
      <w:r w:rsidRPr="00EA0DC7">
        <w:rPr>
          <w:rFonts w:eastAsia="Times New Roman" w:cs="Arial"/>
          <w:szCs w:val="24"/>
        </w:rPr>
        <w:t xml:space="preserve"> = 13.75, </w:t>
      </w:r>
      <w:r w:rsidRPr="00EA0DC7">
        <w:rPr>
          <w:rFonts w:eastAsia="Times New Roman" w:cs="Arial"/>
          <w:i/>
          <w:iCs/>
          <w:szCs w:val="24"/>
        </w:rPr>
        <w:t>SD</w:t>
      </w:r>
      <w:r w:rsidRPr="00EA0DC7">
        <w:rPr>
          <w:rFonts w:eastAsia="Times New Roman" w:cs="Arial"/>
          <w:szCs w:val="24"/>
        </w:rPr>
        <w:t xml:space="preserve"> = 3.43) and </w:t>
      </w:r>
      <w:r w:rsidRPr="00EA0DC7">
        <w:rPr>
          <w:rFonts w:eastAsia="Times New Roman" w:cs="Arial"/>
          <w:i/>
          <w:szCs w:val="24"/>
        </w:rPr>
        <w:t>Supervisee as an individual</w:t>
      </w:r>
      <w:r w:rsidRPr="00EA0DC7">
        <w:rPr>
          <w:rFonts w:eastAsia="Times New Roman" w:cs="Arial"/>
          <w:szCs w:val="24"/>
        </w:rPr>
        <w:t xml:space="preserve"> </w:t>
      </w:r>
      <w:r w:rsidRPr="00EA0DC7">
        <w:rPr>
          <w:rFonts w:eastAsia="Times New Roman" w:cs="Arial"/>
          <w:szCs w:val="24"/>
        </w:rPr>
        <w:lastRenderedPageBreak/>
        <w:t>(</w:t>
      </w:r>
      <w:r w:rsidRPr="00EA0DC7">
        <w:rPr>
          <w:rFonts w:eastAsia="Times New Roman" w:cs="Arial"/>
          <w:i/>
          <w:iCs/>
          <w:szCs w:val="24"/>
        </w:rPr>
        <w:t>M</w:t>
      </w:r>
      <w:r w:rsidRPr="00EA0DC7">
        <w:rPr>
          <w:rFonts w:eastAsia="Times New Roman" w:cs="Arial"/>
          <w:szCs w:val="24"/>
        </w:rPr>
        <w:t xml:space="preserve"> = 15.75, </w:t>
      </w:r>
      <w:r w:rsidRPr="00EA0DC7">
        <w:rPr>
          <w:rFonts w:eastAsia="Times New Roman" w:cs="Arial"/>
          <w:i/>
          <w:iCs/>
          <w:szCs w:val="24"/>
        </w:rPr>
        <w:t>SD</w:t>
      </w:r>
      <w:r w:rsidRPr="00EA0DC7">
        <w:rPr>
          <w:rFonts w:eastAsia="Times New Roman" w:cs="Arial"/>
          <w:szCs w:val="24"/>
        </w:rPr>
        <w:t xml:space="preserve"> = 4.37). However, there was no difference between groups on whether they cited evidence (</w:t>
      </w:r>
      <w:r w:rsidRPr="00EA0DC7">
        <w:rPr>
          <w:rFonts w:eastAsia="Times New Roman" w:cs="Arial"/>
          <w:i/>
          <w:szCs w:val="24"/>
        </w:rPr>
        <w:t>χ</w:t>
      </w:r>
      <w:r w:rsidRPr="00EA0DC7">
        <w:rPr>
          <w:rFonts w:eastAsia="Times New Roman" w:cs="Arial"/>
          <w:szCs w:val="24"/>
          <w:vertAlign w:val="superscript"/>
        </w:rPr>
        <w:t xml:space="preserve"> </w:t>
      </w:r>
      <w:r w:rsidRPr="00EA0DC7">
        <w:rPr>
          <w:rFonts w:eastAsia="Times New Roman" w:cs="Arial"/>
          <w:i/>
          <w:szCs w:val="24"/>
          <w:vertAlign w:val="superscript"/>
        </w:rPr>
        <w:t>2</w:t>
      </w:r>
      <w:r w:rsidRPr="00EA0DC7">
        <w:rPr>
          <w:rFonts w:eastAsia="Times New Roman" w:cs="Arial"/>
          <w:szCs w:val="24"/>
          <w:vertAlign w:val="superscript"/>
        </w:rPr>
        <w:t xml:space="preserve"> </w:t>
      </w:r>
      <w:r w:rsidRPr="00EA0DC7">
        <w:rPr>
          <w:rFonts w:eastAsia="Times New Roman" w:cs="Arial"/>
          <w:szCs w:val="24"/>
        </w:rPr>
        <w:t>(</w:t>
      </w:r>
      <w:r w:rsidRPr="00EA0DC7">
        <w:rPr>
          <w:rFonts w:eastAsia="Times New Roman" w:cs="Arial"/>
          <w:i/>
          <w:szCs w:val="24"/>
        </w:rPr>
        <w:t>df</w:t>
      </w:r>
      <w:r w:rsidRPr="00EA0DC7">
        <w:rPr>
          <w:rFonts w:eastAsia="Times New Roman" w:cs="Arial"/>
          <w:szCs w:val="24"/>
        </w:rPr>
        <w:t xml:space="preserve"> = 2) = 2.32, </w:t>
      </w:r>
      <w:r w:rsidRPr="00EA0DC7">
        <w:rPr>
          <w:rFonts w:eastAsia="Times New Roman" w:cs="Arial"/>
          <w:i/>
          <w:szCs w:val="24"/>
        </w:rPr>
        <w:t>p</w:t>
      </w:r>
      <w:r w:rsidRPr="00EA0DC7">
        <w:rPr>
          <w:rFonts w:eastAsia="Times New Roman" w:cs="Arial"/>
          <w:szCs w:val="24"/>
        </w:rPr>
        <w:t xml:space="preserve"> = .313).</w:t>
      </w:r>
    </w:p>
    <w:p w14:paraId="10CD1480" w14:textId="77777777" w:rsidR="0026064C" w:rsidRPr="00EA0DC7" w:rsidRDefault="0026064C" w:rsidP="00592C38">
      <w:pPr>
        <w:keepNext/>
        <w:outlineLvl w:val="2"/>
        <w:rPr>
          <w:rFonts w:eastAsia="SimSun" w:cs="Arial"/>
          <w:b/>
          <w:i/>
          <w:szCs w:val="24"/>
        </w:rPr>
      </w:pPr>
      <w:bookmarkStart w:id="90" w:name="_Toc508812089"/>
      <w:r w:rsidRPr="00EA0DC7">
        <w:rPr>
          <w:rFonts w:eastAsia="SimSun" w:cs="Arial"/>
          <w:b/>
          <w:i/>
          <w:szCs w:val="24"/>
        </w:rPr>
        <w:t>2.3.6 Client elements</w:t>
      </w:r>
      <w:bookmarkEnd w:id="90"/>
    </w:p>
    <w:p w14:paraId="26983843"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t>It was planned to conduct a comparable cluster analysis that grouped models according to their focus on client elements. However, the very small number of such elements (see Table 2.2) meant that this analysis was not viable.</w:t>
      </w:r>
    </w:p>
    <w:p w14:paraId="38B319F0" w14:textId="77777777" w:rsidR="0026064C" w:rsidRPr="00EA0DC7" w:rsidRDefault="0026064C" w:rsidP="00E6188B">
      <w:pPr>
        <w:keepNext/>
        <w:outlineLvl w:val="2"/>
        <w:rPr>
          <w:rFonts w:eastAsia="SimSun" w:cs="Arial"/>
          <w:b/>
          <w:i/>
          <w:szCs w:val="24"/>
        </w:rPr>
      </w:pPr>
      <w:bookmarkStart w:id="91" w:name="_Toc508812090"/>
      <w:r w:rsidRPr="00EA0DC7">
        <w:rPr>
          <w:rFonts w:eastAsia="SimSun" w:cs="Arial"/>
          <w:b/>
          <w:i/>
          <w:szCs w:val="24"/>
        </w:rPr>
        <w:t>2.3.7 Associations between the content, supervisor, and supervisee clusters</w:t>
      </w:r>
      <w:bookmarkEnd w:id="91"/>
    </w:p>
    <w:p w14:paraId="49F6DD7C"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t>Table 2.6 shows which of the supervisor and supervisee clusters of models were associated with each other. The two sets of clusters were significantly associated overall (</w:t>
      </w:r>
      <w:r w:rsidRPr="00EA0DC7">
        <w:rPr>
          <w:rFonts w:eastAsia="Times New Roman" w:cs="Arial"/>
          <w:i/>
          <w:szCs w:val="24"/>
        </w:rPr>
        <w:t>χ</w:t>
      </w:r>
      <w:r w:rsidRPr="00EA0DC7">
        <w:rPr>
          <w:rFonts w:eastAsia="Times New Roman" w:cs="Arial"/>
          <w:szCs w:val="24"/>
          <w:vertAlign w:val="superscript"/>
        </w:rPr>
        <w:t xml:space="preserve"> 2 </w:t>
      </w:r>
      <w:r w:rsidRPr="00EA0DC7">
        <w:rPr>
          <w:rFonts w:eastAsia="Times New Roman" w:cs="Arial"/>
          <w:szCs w:val="24"/>
        </w:rPr>
        <w:t>(</w:t>
      </w:r>
      <w:r w:rsidRPr="00EA0DC7">
        <w:rPr>
          <w:rFonts w:eastAsia="Times New Roman" w:cs="Arial"/>
          <w:i/>
          <w:szCs w:val="24"/>
        </w:rPr>
        <w:t>df</w:t>
      </w:r>
      <w:r w:rsidRPr="00EA0DC7">
        <w:rPr>
          <w:rFonts w:eastAsia="Times New Roman" w:cs="Arial"/>
          <w:szCs w:val="24"/>
        </w:rPr>
        <w:t xml:space="preserve"> = 6) = 27.03, </w:t>
      </w:r>
      <w:r w:rsidRPr="00EA0DC7">
        <w:rPr>
          <w:rFonts w:eastAsia="Times New Roman" w:cs="Arial"/>
          <w:i/>
          <w:szCs w:val="24"/>
        </w:rPr>
        <w:t>p</w:t>
      </w:r>
      <w:r w:rsidRPr="00EA0DC7">
        <w:rPr>
          <w:rFonts w:eastAsia="Times New Roman" w:cs="Arial"/>
          <w:szCs w:val="24"/>
        </w:rPr>
        <w:t xml:space="preserve"> &lt; .001). 53.85% of models in the </w:t>
      </w:r>
      <w:r w:rsidRPr="00EA0DC7">
        <w:rPr>
          <w:rFonts w:eastAsia="Times New Roman" w:cs="Arial"/>
          <w:i/>
          <w:szCs w:val="24"/>
        </w:rPr>
        <w:t>Unfocused</w:t>
      </w:r>
      <w:r w:rsidRPr="00EA0DC7">
        <w:rPr>
          <w:rFonts w:eastAsia="Times New Roman" w:cs="Arial"/>
          <w:szCs w:val="24"/>
        </w:rPr>
        <w:t xml:space="preserve"> supervisor cluster also fall into the </w:t>
      </w:r>
      <w:r w:rsidRPr="00EA0DC7">
        <w:rPr>
          <w:rFonts w:eastAsia="Times New Roman" w:cs="Arial"/>
          <w:i/>
          <w:szCs w:val="24"/>
        </w:rPr>
        <w:t>Unfocused</w:t>
      </w:r>
      <w:r w:rsidRPr="00EA0DC7">
        <w:rPr>
          <w:rFonts w:eastAsia="Times New Roman" w:cs="Arial"/>
          <w:szCs w:val="24"/>
        </w:rPr>
        <w:t xml:space="preserve"> supervisee cluster, indicating that if a model lacked specific guidance on the role and behaviours of the supervisor, it also tended to lack specific guidance on the supervisee’s role. 63.63% of models in the </w:t>
      </w:r>
      <w:r w:rsidRPr="00EA0DC7">
        <w:rPr>
          <w:rFonts w:eastAsia="Times New Roman" w:cs="Arial"/>
          <w:i/>
          <w:szCs w:val="24"/>
        </w:rPr>
        <w:t xml:space="preserve">Supervisor as an authority figure </w:t>
      </w:r>
      <w:r w:rsidRPr="00EA0DC7">
        <w:rPr>
          <w:rFonts w:eastAsia="Times New Roman" w:cs="Arial"/>
          <w:szCs w:val="24"/>
        </w:rPr>
        <w:t xml:space="preserve">cluster were associated with the </w:t>
      </w:r>
      <w:r w:rsidRPr="00EA0DC7">
        <w:rPr>
          <w:rFonts w:eastAsia="Times New Roman" w:cs="Arial"/>
          <w:i/>
          <w:szCs w:val="24"/>
        </w:rPr>
        <w:t>Supervisee as an individual</w:t>
      </w:r>
      <w:r w:rsidRPr="00EA0DC7">
        <w:rPr>
          <w:rFonts w:eastAsia="Times New Roman" w:cs="Arial"/>
          <w:szCs w:val="24"/>
        </w:rPr>
        <w:t xml:space="preserve"> cluster. Finally, 100% of models in the </w:t>
      </w:r>
      <w:r w:rsidRPr="00EA0DC7">
        <w:rPr>
          <w:rFonts w:eastAsia="Times New Roman" w:cs="Arial"/>
          <w:i/>
          <w:szCs w:val="24"/>
        </w:rPr>
        <w:t>Supervisor as an individual</w:t>
      </w:r>
      <w:r w:rsidRPr="00EA0DC7">
        <w:rPr>
          <w:rFonts w:eastAsia="Times New Roman" w:cs="Arial"/>
          <w:szCs w:val="24"/>
        </w:rPr>
        <w:t xml:space="preserve"> cluster corresponded to the </w:t>
      </w:r>
      <w:r w:rsidRPr="00EA0DC7">
        <w:rPr>
          <w:rFonts w:eastAsia="Times New Roman" w:cs="Arial"/>
          <w:i/>
          <w:szCs w:val="24"/>
        </w:rPr>
        <w:t xml:space="preserve">Supervisee as an individual in context </w:t>
      </w:r>
      <w:r w:rsidRPr="00EA0DC7">
        <w:rPr>
          <w:rFonts w:eastAsia="Times New Roman" w:cs="Arial"/>
          <w:szCs w:val="24"/>
        </w:rPr>
        <w:t>cluster.</w:t>
      </w:r>
    </w:p>
    <w:p w14:paraId="57602BD5" w14:textId="7216DD8A" w:rsidR="006444D6" w:rsidRPr="00EA0DC7" w:rsidRDefault="00E6188B" w:rsidP="007D633C">
      <w:pPr>
        <w:spacing w:after="0"/>
        <w:ind w:firstLine="720"/>
        <w:rPr>
          <w:rFonts w:eastAsia="Times New Roman" w:cs="Arial"/>
          <w:szCs w:val="24"/>
        </w:rPr>
      </w:pPr>
      <w:r w:rsidRPr="00EA0DC7">
        <w:rPr>
          <w:rFonts w:eastAsia="Times New Roman" w:cs="Arial"/>
          <w:szCs w:val="24"/>
        </w:rPr>
        <w:t>Neither the supervisor clusters nor</w:t>
      </w:r>
      <w:r w:rsidR="0026064C" w:rsidRPr="00EA0DC7">
        <w:rPr>
          <w:rFonts w:eastAsia="Times New Roman" w:cs="Arial"/>
          <w:szCs w:val="24"/>
        </w:rPr>
        <w:t xml:space="preserve"> the supervisee clusters were associated with the content clusters (</w:t>
      </w:r>
      <w:r w:rsidR="0026064C" w:rsidRPr="00EA0DC7">
        <w:rPr>
          <w:rFonts w:eastAsia="Times New Roman" w:cs="Arial"/>
          <w:i/>
          <w:iCs/>
          <w:szCs w:val="24"/>
        </w:rPr>
        <w:t>χ</w:t>
      </w:r>
      <w:r w:rsidR="0026064C" w:rsidRPr="00EA0DC7">
        <w:rPr>
          <w:rFonts w:eastAsia="Times New Roman" w:cs="Arial"/>
          <w:szCs w:val="24"/>
          <w:vertAlign w:val="superscript"/>
        </w:rPr>
        <w:t xml:space="preserve">2 </w:t>
      </w:r>
      <w:r w:rsidR="0026064C" w:rsidRPr="00EA0DC7">
        <w:rPr>
          <w:rFonts w:eastAsia="Times New Roman" w:cs="Arial"/>
          <w:szCs w:val="24"/>
        </w:rPr>
        <w:t>(</w:t>
      </w:r>
      <w:r w:rsidR="0026064C" w:rsidRPr="00EA0DC7">
        <w:rPr>
          <w:rFonts w:eastAsia="Times New Roman" w:cs="Arial"/>
          <w:i/>
          <w:iCs/>
          <w:szCs w:val="24"/>
        </w:rPr>
        <w:t xml:space="preserve">df </w:t>
      </w:r>
      <w:r w:rsidR="0026064C" w:rsidRPr="00EA0DC7">
        <w:rPr>
          <w:rFonts w:eastAsia="Times New Roman" w:cs="Arial"/>
          <w:szCs w:val="24"/>
        </w:rPr>
        <w:t xml:space="preserve">= 6) = 7.50, </w:t>
      </w:r>
      <w:r w:rsidR="0026064C" w:rsidRPr="00EA0DC7">
        <w:rPr>
          <w:rFonts w:eastAsia="Times New Roman" w:cs="Arial"/>
          <w:i/>
          <w:iCs/>
          <w:szCs w:val="24"/>
        </w:rPr>
        <w:t>p</w:t>
      </w:r>
      <w:r w:rsidR="0026064C" w:rsidRPr="00EA0DC7">
        <w:rPr>
          <w:rFonts w:eastAsia="Times New Roman" w:cs="Arial"/>
          <w:szCs w:val="24"/>
        </w:rPr>
        <w:t xml:space="preserve"> = .277; and </w:t>
      </w:r>
      <w:r w:rsidR="0026064C" w:rsidRPr="00EA0DC7">
        <w:rPr>
          <w:rFonts w:eastAsia="Times New Roman" w:cs="Arial"/>
          <w:i/>
          <w:iCs/>
          <w:szCs w:val="24"/>
        </w:rPr>
        <w:t>χ</w:t>
      </w:r>
      <w:r w:rsidR="0026064C" w:rsidRPr="00EA0DC7">
        <w:rPr>
          <w:rFonts w:eastAsia="Times New Roman" w:cs="Arial"/>
          <w:i/>
          <w:szCs w:val="24"/>
          <w:vertAlign w:val="superscript"/>
        </w:rPr>
        <w:t>2</w:t>
      </w:r>
      <w:r w:rsidR="0026064C" w:rsidRPr="00EA0DC7">
        <w:rPr>
          <w:rFonts w:eastAsia="Times New Roman" w:cs="Arial"/>
          <w:szCs w:val="24"/>
        </w:rPr>
        <w:t xml:space="preserve"> (</w:t>
      </w:r>
      <w:r w:rsidR="0026064C" w:rsidRPr="00EA0DC7">
        <w:rPr>
          <w:rFonts w:eastAsia="Times New Roman" w:cs="Arial"/>
          <w:i/>
          <w:iCs/>
          <w:szCs w:val="24"/>
        </w:rPr>
        <w:t>df</w:t>
      </w:r>
      <w:r w:rsidR="0026064C" w:rsidRPr="00EA0DC7">
        <w:rPr>
          <w:rFonts w:eastAsia="Times New Roman" w:cs="Arial"/>
          <w:szCs w:val="24"/>
        </w:rPr>
        <w:t xml:space="preserve"> = 4) = 8.68, </w:t>
      </w:r>
      <w:r w:rsidR="0026064C" w:rsidRPr="00EA0DC7">
        <w:rPr>
          <w:rFonts w:eastAsia="Times New Roman" w:cs="Arial"/>
          <w:i/>
          <w:iCs/>
          <w:szCs w:val="24"/>
        </w:rPr>
        <w:t>p</w:t>
      </w:r>
      <w:r w:rsidR="0026064C" w:rsidRPr="00EA0DC7">
        <w:rPr>
          <w:rFonts w:eastAsia="Times New Roman" w:cs="Arial"/>
          <w:szCs w:val="24"/>
        </w:rPr>
        <w:t xml:space="preserve"> = .07 respectively). Therefore, it cannot be concluded that the models link the content of supervision to the characteristics of either the supervisor of supervisee.</w:t>
      </w:r>
      <w:bookmarkStart w:id="92" w:name="_Ref446346730"/>
    </w:p>
    <w:p w14:paraId="2975085D" w14:textId="77777777" w:rsidR="006444D6" w:rsidRPr="00EA0DC7" w:rsidRDefault="006444D6">
      <w:pPr>
        <w:spacing w:line="276" w:lineRule="auto"/>
        <w:jc w:val="left"/>
        <w:rPr>
          <w:rFonts w:eastAsia="Times New Roman" w:cs="Arial"/>
          <w:szCs w:val="24"/>
        </w:rPr>
      </w:pPr>
      <w:r w:rsidRPr="00EA0DC7">
        <w:rPr>
          <w:rFonts w:eastAsia="Times New Roman" w:cs="Arial"/>
          <w:szCs w:val="24"/>
        </w:rPr>
        <w:br w:type="page"/>
      </w:r>
    </w:p>
    <w:bookmarkEnd w:id="92"/>
    <w:p w14:paraId="71359BB1" w14:textId="3D8A9532" w:rsidR="00D570F5" w:rsidRPr="00EA0DC7" w:rsidRDefault="00D570F5" w:rsidP="008A7246">
      <w:pPr>
        <w:pStyle w:val="Captions"/>
        <w:sectPr w:rsidR="00D570F5" w:rsidRPr="00EA0DC7" w:rsidSect="007D633C">
          <w:footerReference w:type="default" r:id="rId17"/>
          <w:pgSz w:w="11906" w:h="16838"/>
          <w:pgMar w:top="1440" w:right="1440" w:bottom="1440" w:left="2268" w:header="709" w:footer="709" w:gutter="0"/>
          <w:cols w:space="708"/>
          <w:docGrid w:linePitch="360"/>
        </w:sectPr>
      </w:pPr>
    </w:p>
    <w:p w14:paraId="1F7E7AA0" w14:textId="6012D5E8" w:rsidR="0026064C" w:rsidRPr="00EA0DC7" w:rsidRDefault="008A7246" w:rsidP="008A7246">
      <w:pPr>
        <w:pStyle w:val="Captions"/>
        <w:rPr>
          <w:rFonts w:eastAsia="Calibri" w:cs="Arial"/>
          <w:bCs/>
          <w:i/>
          <w:szCs w:val="24"/>
        </w:rPr>
      </w:pPr>
      <w:bookmarkStart w:id="93" w:name="_Toc47039922"/>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2</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6</w:t>
      </w:r>
      <w:r w:rsidR="004F2FDB">
        <w:rPr>
          <w:noProof/>
        </w:rPr>
        <w:fldChar w:fldCharType="end"/>
      </w:r>
      <w:r w:rsidRPr="00EA0DC7">
        <w:t>. Association between the supervisor aspects clusters and supervisee aspects clusters. Percentages indicate the proportion of models in a supervisor aspects cluster that correspond to those in the supervisee aspects cluster.</w:t>
      </w:r>
      <w:bookmarkEnd w:id="93"/>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2848"/>
        <w:gridCol w:w="2279"/>
        <w:gridCol w:w="2136"/>
        <w:gridCol w:w="2136"/>
        <w:gridCol w:w="1993"/>
      </w:tblGrid>
      <w:tr w:rsidR="0026064C" w:rsidRPr="00EA0DC7" w14:paraId="6C76562A" w14:textId="77777777" w:rsidTr="00E6188B">
        <w:trPr>
          <w:trHeight w:val="946"/>
        </w:trPr>
        <w:tc>
          <w:tcPr>
            <w:tcW w:w="919" w:type="pct"/>
            <w:tcBorders>
              <w:top w:val="single" w:sz="4" w:space="0" w:color="auto"/>
              <w:bottom w:val="single" w:sz="4" w:space="0" w:color="auto"/>
              <w:tl2br w:val="single" w:sz="4" w:space="0" w:color="auto"/>
            </w:tcBorders>
          </w:tcPr>
          <w:p w14:paraId="52330359" w14:textId="77777777" w:rsidR="0026064C" w:rsidRPr="00EA0DC7" w:rsidRDefault="0026064C" w:rsidP="004525C3">
            <w:pPr>
              <w:spacing w:before="240" w:after="200" w:line="276" w:lineRule="auto"/>
              <w:jc w:val="right"/>
              <w:rPr>
                <w:rFonts w:eastAsia="Times New Roman" w:cs="Arial"/>
                <w:b/>
              </w:rPr>
            </w:pPr>
            <w:r w:rsidRPr="00EA0DC7">
              <w:rPr>
                <w:rFonts w:eastAsia="Times New Roman" w:cs="Arial"/>
                <w:b/>
              </w:rPr>
              <w:t xml:space="preserve">        Supervisor                 clusters</w:t>
            </w:r>
          </w:p>
          <w:p w14:paraId="463A9D52" w14:textId="77777777" w:rsidR="0026064C" w:rsidRPr="00EA0DC7" w:rsidRDefault="0026064C" w:rsidP="006444D6">
            <w:pPr>
              <w:spacing w:after="200" w:line="276" w:lineRule="auto"/>
              <w:rPr>
                <w:rFonts w:eastAsia="Times New Roman" w:cs="Arial"/>
                <w:b/>
              </w:rPr>
            </w:pPr>
            <w:r w:rsidRPr="00EA0DC7">
              <w:rPr>
                <w:rFonts w:eastAsia="Times New Roman" w:cs="Arial"/>
                <w:b/>
              </w:rPr>
              <w:t>Supervisee    clusters</w:t>
            </w:r>
          </w:p>
        </w:tc>
        <w:tc>
          <w:tcPr>
            <w:tcW w:w="1020" w:type="pct"/>
            <w:tcBorders>
              <w:top w:val="single" w:sz="4" w:space="0" w:color="auto"/>
              <w:bottom w:val="single" w:sz="4" w:space="0" w:color="auto"/>
            </w:tcBorders>
            <w:vAlign w:val="center"/>
          </w:tcPr>
          <w:p w14:paraId="51B233BF" w14:textId="77777777" w:rsidR="0026064C" w:rsidRPr="00EA0DC7" w:rsidRDefault="0026064C" w:rsidP="006444D6">
            <w:pPr>
              <w:spacing w:after="120" w:line="276" w:lineRule="auto"/>
              <w:jc w:val="center"/>
              <w:rPr>
                <w:rFonts w:eastAsia="Times New Roman" w:cs="Arial"/>
                <w:i/>
              </w:rPr>
            </w:pPr>
            <w:r w:rsidRPr="00EA0DC7">
              <w:rPr>
                <w:rFonts w:eastAsia="Times New Roman" w:cs="Arial"/>
                <w:i/>
              </w:rPr>
              <w:t>Unfocused</w:t>
            </w:r>
          </w:p>
        </w:tc>
        <w:tc>
          <w:tcPr>
            <w:tcW w:w="816" w:type="pct"/>
            <w:tcBorders>
              <w:top w:val="single" w:sz="4" w:space="0" w:color="auto"/>
              <w:bottom w:val="single" w:sz="4" w:space="0" w:color="auto"/>
            </w:tcBorders>
            <w:vAlign w:val="center"/>
          </w:tcPr>
          <w:p w14:paraId="3C7801E0" w14:textId="77777777" w:rsidR="0026064C" w:rsidRPr="00EA0DC7" w:rsidRDefault="0026064C" w:rsidP="006444D6">
            <w:pPr>
              <w:spacing w:after="120" w:line="276" w:lineRule="auto"/>
              <w:jc w:val="center"/>
              <w:rPr>
                <w:rFonts w:eastAsia="Times New Roman" w:cs="Arial"/>
                <w:i/>
              </w:rPr>
            </w:pPr>
            <w:r w:rsidRPr="00EA0DC7">
              <w:rPr>
                <w:rFonts w:eastAsia="Times New Roman" w:cs="Arial"/>
                <w:i/>
              </w:rPr>
              <w:t>Supervisor as an authority figure</w:t>
            </w:r>
          </w:p>
        </w:tc>
        <w:tc>
          <w:tcPr>
            <w:tcW w:w="765" w:type="pct"/>
            <w:tcBorders>
              <w:top w:val="single" w:sz="4" w:space="0" w:color="auto"/>
              <w:bottom w:val="single" w:sz="4" w:space="0" w:color="auto"/>
            </w:tcBorders>
            <w:vAlign w:val="center"/>
          </w:tcPr>
          <w:p w14:paraId="62ECBFE5" w14:textId="77777777" w:rsidR="0026064C" w:rsidRPr="00EA0DC7" w:rsidRDefault="0026064C" w:rsidP="006444D6">
            <w:pPr>
              <w:spacing w:after="120" w:line="276" w:lineRule="auto"/>
              <w:jc w:val="center"/>
              <w:rPr>
                <w:rFonts w:eastAsia="Times New Roman" w:cs="Arial"/>
                <w:i/>
              </w:rPr>
            </w:pPr>
            <w:r w:rsidRPr="00EA0DC7">
              <w:rPr>
                <w:rFonts w:eastAsia="Times New Roman" w:cs="Arial"/>
                <w:i/>
              </w:rPr>
              <w:t>Supervisor as an individual</w:t>
            </w:r>
          </w:p>
        </w:tc>
        <w:tc>
          <w:tcPr>
            <w:tcW w:w="765" w:type="pct"/>
            <w:tcBorders>
              <w:top w:val="single" w:sz="4" w:space="0" w:color="auto"/>
              <w:bottom w:val="single" w:sz="4" w:space="0" w:color="auto"/>
            </w:tcBorders>
            <w:vAlign w:val="center"/>
          </w:tcPr>
          <w:p w14:paraId="2F8AA602" w14:textId="77777777" w:rsidR="0026064C" w:rsidRPr="00EA0DC7" w:rsidRDefault="0026064C" w:rsidP="006444D6">
            <w:pPr>
              <w:spacing w:after="120" w:line="276" w:lineRule="auto"/>
              <w:jc w:val="center"/>
              <w:rPr>
                <w:rFonts w:eastAsia="Times New Roman" w:cs="Arial"/>
                <w:i/>
              </w:rPr>
            </w:pPr>
            <w:r w:rsidRPr="00EA0DC7">
              <w:rPr>
                <w:rFonts w:eastAsia="Times New Roman" w:cs="Arial"/>
                <w:i/>
              </w:rPr>
              <w:t>Supervisor as a multitasker</w:t>
            </w:r>
          </w:p>
        </w:tc>
        <w:tc>
          <w:tcPr>
            <w:tcW w:w="714" w:type="pct"/>
            <w:tcBorders>
              <w:top w:val="single" w:sz="4" w:space="0" w:color="auto"/>
              <w:bottom w:val="single" w:sz="4" w:space="0" w:color="auto"/>
            </w:tcBorders>
            <w:vAlign w:val="center"/>
          </w:tcPr>
          <w:p w14:paraId="750F7131" w14:textId="77777777" w:rsidR="0026064C" w:rsidRPr="00EA0DC7" w:rsidRDefault="0026064C" w:rsidP="006444D6">
            <w:pPr>
              <w:spacing w:after="120" w:line="276" w:lineRule="auto"/>
              <w:jc w:val="center"/>
              <w:rPr>
                <w:rFonts w:eastAsia="Times New Roman" w:cs="Arial"/>
                <w:b/>
              </w:rPr>
            </w:pPr>
            <w:r w:rsidRPr="00EA0DC7">
              <w:rPr>
                <w:rFonts w:eastAsia="Times New Roman" w:cs="Arial"/>
                <w:b/>
              </w:rPr>
              <w:t>Total</w:t>
            </w:r>
          </w:p>
        </w:tc>
      </w:tr>
      <w:tr w:rsidR="0026064C" w:rsidRPr="00EA0DC7" w14:paraId="27AD09C7" w14:textId="77777777" w:rsidTr="00E6188B">
        <w:tc>
          <w:tcPr>
            <w:tcW w:w="919" w:type="pct"/>
            <w:tcBorders>
              <w:top w:val="single" w:sz="4" w:space="0" w:color="auto"/>
            </w:tcBorders>
            <w:vAlign w:val="center"/>
          </w:tcPr>
          <w:p w14:paraId="12D482B8" w14:textId="77777777" w:rsidR="0026064C" w:rsidRPr="00EA0DC7" w:rsidRDefault="0026064C" w:rsidP="004525C3">
            <w:pPr>
              <w:spacing w:before="240" w:after="120" w:line="276" w:lineRule="auto"/>
              <w:jc w:val="left"/>
              <w:rPr>
                <w:rFonts w:eastAsia="Times New Roman" w:cs="Arial"/>
                <w:i/>
              </w:rPr>
            </w:pPr>
            <w:r w:rsidRPr="00EA0DC7">
              <w:rPr>
                <w:rFonts w:eastAsia="Times New Roman" w:cs="Arial"/>
                <w:i/>
              </w:rPr>
              <w:t>Unfocused</w:t>
            </w:r>
          </w:p>
        </w:tc>
        <w:tc>
          <w:tcPr>
            <w:tcW w:w="1020" w:type="pct"/>
            <w:tcBorders>
              <w:top w:val="single" w:sz="4" w:space="0" w:color="auto"/>
            </w:tcBorders>
            <w:vAlign w:val="center"/>
          </w:tcPr>
          <w:p w14:paraId="7DA79140" w14:textId="77777777" w:rsidR="0026064C" w:rsidRPr="00EA0DC7" w:rsidRDefault="0026064C" w:rsidP="004525C3">
            <w:pPr>
              <w:spacing w:before="240" w:after="200" w:line="276" w:lineRule="auto"/>
              <w:jc w:val="center"/>
              <w:rPr>
                <w:rFonts w:eastAsia="Times New Roman" w:cs="Arial"/>
              </w:rPr>
            </w:pPr>
            <w:r w:rsidRPr="00EA0DC7">
              <w:rPr>
                <w:rFonts w:eastAsia="Times New Roman" w:cs="Arial"/>
              </w:rPr>
              <w:t>14 (53.84%)</w:t>
            </w:r>
          </w:p>
        </w:tc>
        <w:tc>
          <w:tcPr>
            <w:tcW w:w="816" w:type="pct"/>
            <w:tcBorders>
              <w:top w:val="single" w:sz="4" w:space="0" w:color="auto"/>
            </w:tcBorders>
            <w:vAlign w:val="center"/>
          </w:tcPr>
          <w:p w14:paraId="207C3E3C" w14:textId="77777777" w:rsidR="0026064C" w:rsidRPr="00EA0DC7" w:rsidRDefault="0026064C" w:rsidP="004525C3">
            <w:pPr>
              <w:spacing w:before="240" w:after="200" w:line="276" w:lineRule="auto"/>
              <w:jc w:val="center"/>
              <w:rPr>
                <w:rFonts w:eastAsia="Times New Roman" w:cs="Arial"/>
              </w:rPr>
            </w:pPr>
            <w:r w:rsidRPr="00EA0DC7">
              <w:rPr>
                <w:rFonts w:eastAsia="Times New Roman" w:cs="Arial"/>
              </w:rPr>
              <w:t>2 (18.18%)</w:t>
            </w:r>
          </w:p>
        </w:tc>
        <w:tc>
          <w:tcPr>
            <w:tcW w:w="765" w:type="pct"/>
            <w:tcBorders>
              <w:top w:val="single" w:sz="4" w:space="0" w:color="auto"/>
            </w:tcBorders>
            <w:vAlign w:val="center"/>
          </w:tcPr>
          <w:p w14:paraId="596C528C" w14:textId="77777777" w:rsidR="0026064C" w:rsidRPr="00EA0DC7" w:rsidRDefault="0026064C" w:rsidP="004525C3">
            <w:pPr>
              <w:spacing w:before="240" w:after="200" w:line="276" w:lineRule="auto"/>
              <w:jc w:val="center"/>
              <w:rPr>
                <w:rFonts w:eastAsia="Times New Roman" w:cs="Arial"/>
              </w:rPr>
            </w:pPr>
            <w:r w:rsidRPr="00EA0DC7">
              <w:rPr>
                <w:rFonts w:eastAsia="Times New Roman" w:cs="Arial"/>
              </w:rPr>
              <w:t>0 (0%)</w:t>
            </w:r>
          </w:p>
        </w:tc>
        <w:tc>
          <w:tcPr>
            <w:tcW w:w="765" w:type="pct"/>
            <w:tcBorders>
              <w:top w:val="single" w:sz="4" w:space="0" w:color="auto"/>
            </w:tcBorders>
            <w:vAlign w:val="center"/>
          </w:tcPr>
          <w:p w14:paraId="2BA79B07" w14:textId="77777777" w:rsidR="0026064C" w:rsidRPr="00EA0DC7" w:rsidRDefault="0026064C" w:rsidP="004525C3">
            <w:pPr>
              <w:spacing w:before="240" w:after="200" w:line="276" w:lineRule="auto"/>
              <w:jc w:val="center"/>
              <w:rPr>
                <w:rFonts w:eastAsia="Times New Roman" w:cs="Arial"/>
              </w:rPr>
            </w:pPr>
            <w:r w:rsidRPr="00EA0DC7">
              <w:rPr>
                <w:rFonts w:eastAsia="Times New Roman" w:cs="Arial"/>
              </w:rPr>
              <w:t>4 (44.44%)</w:t>
            </w:r>
          </w:p>
        </w:tc>
        <w:tc>
          <w:tcPr>
            <w:tcW w:w="714" w:type="pct"/>
            <w:tcBorders>
              <w:top w:val="single" w:sz="4" w:space="0" w:color="auto"/>
            </w:tcBorders>
            <w:vAlign w:val="center"/>
          </w:tcPr>
          <w:p w14:paraId="57F33109" w14:textId="77777777" w:rsidR="0026064C" w:rsidRPr="00EA0DC7" w:rsidRDefault="0026064C" w:rsidP="004525C3">
            <w:pPr>
              <w:spacing w:before="240" w:after="200" w:line="276" w:lineRule="auto"/>
              <w:jc w:val="center"/>
              <w:rPr>
                <w:rFonts w:eastAsia="Times New Roman" w:cs="Arial"/>
              </w:rPr>
            </w:pPr>
            <w:r w:rsidRPr="00EA0DC7">
              <w:rPr>
                <w:rFonts w:eastAsia="Times New Roman" w:cs="Arial"/>
              </w:rPr>
              <w:t>20</w:t>
            </w:r>
          </w:p>
        </w:tc>
      </w:tr>
      <w:tr w:rsidR="0026064C" w:rsidRPr="00EA0DC7" w14:paraId="5B0FF6C8" w14:textId="77777777" w:rsidTr="00E6188B">
        <w:tc>
          <w:tcPr>
            <w:tcW w:w="919" w:type="pct"/>
            <w:vAlign w:val="center"/>
          </w:tcPr>
          <w:p w14:paraId="345CD329" w14:textId="77777777" w:rsidR="0026064C" w:rsidRPr="00EA0DC7" w:rsidRDefault="0026064C" w:rsidP="006444D6">
            <w:pPr>
              <w:spacing w:after="120" w:line="276" w:lineRule="auto"/>
              <w:jc w:val="left"/>
              <w:rPr>
                <w:rFonts w:eastAsia="Times New Roman" w:cs="Arial"/>
                <w:i/>
              </w:rPr>
            </w:pPr>
            <w:r w:rsidRPr="00EA0DC7">
              <w:rPr>
                <w:rFonts w:eastAsia="Times New Roman" w:cs="Arial"/>
                <w:i/>
              </w:rPr>
              <w:t>Supervisee as an individual</w:t>
            </w:r>
          </w:p>
        </w:tc>
        <w:tc>
          <w:tcPr>
            <w:tcW w:w="1020" w:type="pct"/>
            <w:vAlign w:val="center"/>
          </w:tcPr>
          <w:p w14:paraId="681DAAC0"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9 (34.62%)</w:t>
            </w:r>
          </w:p>
        </w:tc>
        <w:tc>
          <w:tcPr>
            <w:tcW w:w="816" w:type="pct"/>
            <w:vAlign w:val="center"/>
          </w:tcPr>
          <w:p w14:paraId="552C864E"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7 (63.63%)</w:t>
            </w:r>
          </w:p>
        </w:tc>
        <w:tc>
          <w:tcPr>
            <w:tcW w:w="765" w:type="pct"/>
            <w:vAlign w:val="center"/>
          </w:tcPr>
          <w:p w14:paraId="28293029"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0 (0%)</w:t>
            </w:r>
          </w:p>
        </w:tc>
        <w:tc>
          <w:tcPr>
            <w:tcW w:w="765" w:type="pct"/>
            <w:vAlign w:val="center"/>
          </w:tcPr>
          <w:p w14:paraId="4F2955DB"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4 (44.44%)</w:t>
            </w:r>
          </w:p>
        </w:tc>
        <w:tc>
          <w:tcPr>
            <w:tcW w:w="714" w:type="pct"/>
            <w:vAlign w:val="center"/>
          </w:tcPr>
          <w:p w14:paraId="7FCF9EE7"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20</w:t>
            </w:r>
          </w:p>
        </w:tc>
      </w:tr>
      <w:tr w:rsidR="0026064C" w:rsidRPr="00EA0DC7" w14:paraId="143498CB" w14:textId="77777777" w:rsidTr="00E6188B">
        <w:trPr>
          <w:trHeight w:val="80"/>
        </w:trPr>
        <w:tc>
          <w:tcPr>
            <w:tcW w:w="919" w:type="pct"/>
            <w:vAlign w:val="center"/>
          </w:tcPr>
          <w:p w14:paraId="0E7B4208" w14:textId="77777777" w:rsidR="0026064C" w:rsidRPr="00EA0DC7" w:rsidRDefault="0026064C" w:rsidP="006444D6">
            <w:pPr>
              <w:spacing w:after="120" w:line="276" w:lineRule="auto"/>
              <w:jc w:val="left"/>
              <w:rPr>
                <w:rFonts w:eastAsia="Times New Roman" w:cs="Arial"/>
                <w:i/>
              </w:rPr>
            </w:pPr>
            <w:r w:rsidRPr="00EA0DC7">
              <w:rPr>
                <w:rFonts w:eastAsia="Times New Roman" w:cs="Arial"/>
                <w:i/>
              </w:rPr>
              <w:t>Supervisee as an individual in context</w:t>
            </w:r>
          </w:p>
        </w:tc>
        <w:tc>
          <w:tcPr>
            <w:tcW w:w="1020" w:type="pct"/>
            <w:vAlign w:val="center"/>
          </w:tcPr>
          <w:p w14:paraId="29A0EB8C"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3 (11.54%)</w:t>
            </w:r>
          </w:p>
        </w:tc>
        <w:tc>
          <w:tcPr>
            <w:tcW w:w="816" w:type="pct"/>
            <w:vAlign w:val="center"/>
          </w:tcPr>
          <w:p w14:paraId="1D792E02"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2 (18.18%)</w:t>
            </w:r>
          </w:p>
        </w:tc>
        <w:tc>
          <w:tcPr>
            <w:tcW w:w="765" w:type="pct"/>
            <w:vAlign w:val="center"/>
          </w:tcPr>
          <w:p w14:paraId="4CE6B587"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6 (100%)</w:t>
            </w:r>
          </w:p>
        </w:tc>
        <w:tc>
          <w:tcPr>
            <w:tcW w:w="765" w:type="pct"/>
            <w:vAlign w:val="center"/>
          </w:tcPr>
          <w:p w14:paraId="49CEDBBA"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1 (11.11%)</w:t>
            </w:r>
          </w:p>
        </w:tc>
        <w:tc>
          <w:tcPr>
            <w:tcW w:w="714" w:type="pct"/>
            <w:vAlign w:val="center"/>
          </w:tcPr>
          <w:p w14:paraId="1FD046B0"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12</w:t>
            </w:r>
          </w:p>
        </w:tc>
      </w:tr>
      <w:tr w:rsidR="0026064C" w:rsidRPr="00EA0DC7" w14:paraId="6049411C" w14:textId="77777777" w:rsidTr="00E6188B">
        <w:tc>
          <w:tcPr>
            <w:tcW w:w="919" w:type="pct"/>
            <w:tcBorders>
              <w:bottom w:val="single" w:sz="4" w:space="0" w:color="auto"/>
            </w:tcBorders>
            <w:vAlign w:val="center"/>
          </w:tcPr>
          <w:p w14:paraId="40D668D5" w14:textId="77777777" w:rsidR="0026064C" w:rsidRPr="00EA0DC7" w:rsidRDefault="0026064C" w:rsidP="006444D6">
            <w:pPr>
              <w:spacing w:after="120" w:line="276" w:lineRule="auto"/>
              <w:jc w:val="left"/>
              <w:rPr>
                <w:rFonts w:eastAsia="Times New Roman" w:cs="Arial"/>
                <w:b/>
              </w:rPr>
            </w:pPr>
            <w:r w:rsidRPr="00EA0DC7">
              <w:rPr>
                <w:rFonts w:eastAsia="Times New Roman" w:cs="Arial"/>
                <w:b/>
              </w:rPr>
              <w:t>Total</w:t>
            </w:r>
          </w:p>
        </w:tc>
        <w:tc>
          <w:tcPr>
            <w:tcW w:w="1020" w:type="pct"/>
            <w:tcBorders>
              <w:bottom w:val="single" w:sz="4" w:space="0" w:color="auto"/>
            </w:tcBorders>
            <w:vAlign w:val="center"/>
          </w:tcPr>
          <w:p w14:paraId="7C8078FC"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26</w:t>
            </w:r>
          </w:p>
        </w:tc>
        <w:tc>
          <w:tcPr>
            <w:tcW w:w="816" w:type="pct"/>
            <w:tcBorders>
              <w:bottom w:val="single" w:sz="4" w:space="0" w:color="auto"/>
            </w:tcBorders>
            <w:vAlign w:val="center"/>
          </w:tcPr>
          <w:p w14:paraId="67AE51EE"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11</w:t>
            </w:r>
          </w:p>
        </w:tc>
        <w:tc>
          <w:tcPr>
            <w:tcW w:w="765" w:type="pct"/>
            <w:tcBorders>
              <w:bottom w:val="single" w:sz="4" w:space="0" w:color="auto"/>
            </w:tcBorders>
            <w:vAlign w:val="center"/>
          </w:tcPr>
          <w:p w14:paraId="258A175E"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6</w:t>
            </w:r>
          </w:p>
        </w:tc>
        <w:tc>
          <w:tcPr>
            <w:tcW w:w="765" w:type="pct"/>
            <w:tcBorders>
              <w:bottom w:val="single" w:sz="4" w:space="0" w:color="auto"/>
            </w:tcBorders>
            <w:vAlign w:val="center"/>
          </w:tcPr>
          <w:p w14:paraId="3DAF26F3"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9</w:t>
            </w:r>
          </w:p>
        </w:tc>
        <w:tc>
          <w:tcPr>
            <w:tcW w:w="714" w:type="pct"/>
            <w:tcBorders>
              <w:bottom w:val="single" w:sz="4" w:space="0" w:color="auto"/>
            </w:tcBorders>
            <w:vAlign w:val="center"/>
          </w:tcPr>
          <w:p w14:paraId="0375FBCB" w14:textId="77777777" w:rsidR="0026064C" w:rsidRPr="00EA0DC7" w:rsidRDefault="0026064C" w:rsidP="006444D6">
            <w:pPr>
              <w:spacing w:after="200" w:line="276" w:lineRule="auto"/>
              <w:jc w:val="center"/>
              <w:rPr>
                <w:rFonts w:eastAsia="Times New Roman" w:cs="Arial"/>
              </w:rPr>
            </w:pPr>
            <w:r w:rsidRPr="00EA0DC7">
              <w:rPr>
                <w:rFonts w:eastAsia="Times New Roman" w:cs="Arial"/>
              </w:rPr>
              <w:t>52</w:t>
            </w:r>
          </w:p>
        </w:tc>
      </w:tr>
    </w:tbl>
    <w:p w14:paraId="7553A902" w14:textId="77777777" w:rsidR="0026064C" w:rsidRPr="00EA0DC7" w:rsidRDefault="0026064C" w:rsidP="0026064C">
      <w:pPr>
        <w:rPr>
          <w:rFonts w:eastAsia="SimSun" w:cs="Arial"/>
        </w:rPr>
      </w:pPr>
      <w:bookmarkStart w:id="94" w:name="_Toc508812091"/>
    </w:p>
    <w:p w14:paraId="6E702F71" w14:textId="77777777" w:rsidR="00D570F5" w:rsidRPr="00EA0DC7" w:rsidRDefault="00D570F5">
      <w:pPr>
        <w:spacing w:line="276" w:lineRule="auto"/>
        <w:jc w:val="left"/>
        <w:rPr>
          <w:rFonts w:eastAsia="SimSun" w:cs="Arial"/>
          <w:b/>
          <w:sz w:val="28"/>
          <w:szCs w:val="24"/>
        </w:rPr>
        <w:sectPr w:rsidR="00D570F5" w:rsidRPr="00EA0DC7" w:rsidSect="002A29D3">
          <w:pgSz w:w="16838" w:h="11906" w:orient="landscape"/>
          <w:pgMar w:top="1440" w:right="1440" w:bottom="2268" w:left="1440" w:header="709" w:footer="709" w:gutter="0"/>
          <w:cols w:space="708"/>
          <w:docGrid w:linePitch="360"/>
        </w:sectPr>
      </w:pPr>
      <w:bookmarkStart w:id="95" w:name="_Toc517453257"/>
    </w:p>
    <w:p w14:paraId="2587A9C3" w14:textId="7ECD38C4" w:rsidR="0026064C" w:rsidRPr="00EA0DC7" w:rsidRDefault="0026064C" w:rsidP="00285BE8">
      <w:pPr>
        <w:keepNext/>
        <w:outlineLvl w:val="1"/>
        <w:rPr>
          <w:rFonts w:eastAsia="SimSun" w:cs="Arial"/>
          <w:b/>
          <w:sz w:val="28"/>
          <w:szCs w:val="24"/>
        </w:rPr>
      </w:pPr>
      <w:bookmarkStart w:id="96" w:name="_Toc47039833"/>
      <w:r w:rsidRPr="00EA0DC7">
        <w:rPr>
          <w:rFonts w:eastAsia="SimSun" w:cs="Arial"/>
          <w:b/>
          <w:sz w:val="28"/>
          <w:szCs w:val="24"/>
        </w:rPr>
        <w:lastRenderedPageBreak/>
        <w:t>2.4 Discussion</w:t>
      </w:r>
      <w:bookmarkEnd w:id="94"/>
      <w:bookmarkEnd w:id="95"/>
      <w:bookmarkEnd w:id="96"/>
    </w:p>
    <w:p w14:paraId="60887761" w14:textId="77777777" w:rsidR="0026064C" w:rsidRPr="00EA0DC7" w:rsidRDefault="0026064C" w:rsidP="0026064C">
      <w:pPr>
        <w:ind w:firstLine="720"/>
        <w:rPr>
          <w:rFonts w:eastAsia="Times New Roman" w:cs="Times New Roman"/>
          <w:b/>
        </w:rPr>
      </w:pPr>
      <w:r w:rsidRPr="00EA0DC7">
        <w:rPr>
          <w:rFonts w:eastAsia="Times New Roman" w:cs="Times New Roman"/>
        </w:rPr>
        <w:t>The aim of this review was to investigate similarities and differences across models of clinical supervision within psychotherapy, and therefore determine whether there is a reliable pattern of recommendations across models. A content analysis was used to analyse 52 models of clinical supervision (further models were not sought after a saturation point was reached). Seventy-one elements were identified in total, including both higher and lower level constructs, and the categorisation of model content was well validated by a second rater.</w:t>
      </w:r>
    </w:p>
    <w:p w14:paraId="6E58A066" w14:textId="77777777" w:rsidR="0026064C" w:rsidRPr="00EA0DC7" w:rsidRDefault="0026064C" w:rsidP="0026064C">
      <w:pPr>
        <w:outlineLvl w:val="2"/>
        <w:rPr>
          <w:rFonts w:eastAsia="SimSun" w:cs="Arial"/>
          <w:b/>
          <w:i/>
          <w:szCs w:val="24"/>
        </w:rPr>
      </w:pPr>
      <w:bookmarkStart w:id="97" w:name="_Toc508812092"/>
      <w:r w:rsidRPr="00EA0DC7">
        <w:rPr>
          <w:rFonts w:eastAsia="SimSun" w:cs="Arial"/>
          <w:b/>
          <w:i/>
          <w:szCs w:val="24"/>
        </w:rPr>
        <w:t>2.4.1 Summary of findings</w:t>
      </w:r>
      <w:bookmarkEnd w:id="97"/>
    </w:p>
    <w:p w14:paraId="590E52ED" w14:textId="77777777" w:rsidR="0026064C" w:rsidRPr="00EA0DC7" w:rsidRDefault="0026064C" w:rsidP="0026064C">
      <w:pPr>
        <w:spacing w:after="0"/>
        <w:rPr>
          <w:rFonts w:eastAsia="Times New Roman" w:cs="Arial"/>
          <w:szCs w:val="24"/>
        </w:rPr>
      </w:pPr>
      <w:r w:rsidRPr="00EA0DC7">
        <w:rPr>
          <w:rFonts w:eastAsia="Times New Roman" w:cs="Arial"/>
          <w:szCs w:val="24"/>
        </w:rPr>
        <w:tab/>
        <w:t xml:space="preserve">First, it was hypothesised that the broad content of different models would be similar. However, in general, the models lacked consistency. It was expected that all models would discuss the three core factors in supervision identified in the literature </w:t>
      </w:r>
      <w:r w:rsidRPr="00EA0DC7">
        <w:rPr>
          <w:rFonts w:eastAsia="Times New Roman" w:cs="Arial"/>
          <w:noProof/>
          <w:szCs w:val="24"/>
        </w:rPr>
        <w:t>(Kadushin, 1976; Proctor, 1988)</w:t>
      </w:r>
      <w:r w:rsidRPr="00EA0DC7">
        <w:rPr>
          <w:rFonts w:eastAsia="Times New Roman" w:cs="Arial"/>
          <w:szCs w:val="24"/>
        </w:rPr>
        <w:t xml:space="preserve">, but they were not focused on equally. Although most models focused on supervisee learning and development, there was less of a focus on the emotional effects of work and on managerial and ethical responsibilities. Within this hypothesis, it was also suggested that all models would focus on the three people in the supervision process. However, these were also not focused on equally – most models focused on the supervisee and supervisor, but only half focused on the client. The final element of this hypothesis was that the use of evaluation would be present in all supervisory models. However, not all models recommended this. Only a small number suggested using client outcomes as a form of evaluation. </w:t>
      </w:r>
    </w:p>
    <w:p w14:paraId="15904144"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lastRenderedPageBreak/>
        <w:t xml:space="preserve">The second hypothesis predicted some variation across models - specifically that the amount of content in models would change over time. However, there was no significant correlation between the model publication year and number of elements in the model. </w:t>
      </w:r>
    </w:p>
    <w:p w14:paraId="5A248825"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t>Finally, it was hypothesised that supervision models would be based on empirical evidence. Unfortunately, although most models cited empirical research, none were directly based on an empirical study. Nor had any been tested fully, making it difficult to know whether we have a model that works or to agree on what models to promote or reject.</w:t>
      </w:r>
    </w:p>
    <w:p w14:paraId="4687E75B" w14:textId="77777777" w:rsidR="0026064C" w:rsidRPr="00EA0DC7" w:rsidRDefault="0026064C" w:rsidP="00E6188B">
      <w:pPr>
        <w:ind w:firstLine="720"/>
        <w:rPr>
          <w:rFonts w:eastAsia="Times New Roman" w:cs="Arial"/>
          <w:szCs w:val="24"/>
        </w:rPr>
      </w:pPr>
      <w:r w:rsidRPr="00EA0DC7">
        <w:rPr>
          <w:rFonts w:eastAsia="Times New Roman" w:cs="Arial"/>
          <w:szCs w:val="24"/>
        </w:rPr>
        <w:t>To summarise, none of the hypotheses were supported in this review. Overall, the models lack consistency, and therefore lack reliability. Consequently, one cannot assume that any of the models are valid unless there is empirical evidence to support them.</w:t>
      </w:r>
    </w:p>
    <w:p w14:paraId="66C367D2" w14:textId="77777777" w:rsidR="0026064C" w:rsidRPr="00EA0DC7" w:rsidRDefault="0026064C" w:rsidP="0026064C">
      <w:pPr>
        <w:outlineLvl w:val="2"/>
        <w:rPr>
          <w:rFonts w:eastAsia="SimSun" w:cs="Arial"/>
          <w:b/>
          <w:i/>
          <w:szCs w:val="24"/>
        </w:rPr>
      </w:pPr>
      <w:bookmarkStart w:id="98" w:name="_Toc508812093"/>
      <w:r w:rsidRPr="00EA0DC7">
        <w:rPr>
          <w:rFonts w:eastAsia="SimSun" w:cs="Arial"/>
          <w:b/>
          <w:i/>
          <w:szCs w:val="24"/>
        </w:rPr>
        <w:t>2.4.2 Relationship to reasonable assumptions about supervision</w:t>
      </w:r>
      <w:bookmarkEnd w:id="98"/>
      <w:r w:rsidRPr="00EA0DC7">
        <w:rPr>
          <w:rFonts w:eastAsia="SimSun" w:cs="Arial"/>
          <w:b/>
          <w:i/>
          <w:szCs w:val="24"/>
        </w:rPr>
        <w:tab/>
      </w:r>
    </w:p>
    <w:p w14:paraId="7172D45A"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t xml:space="preserve">It is surprising that nothing one might reasonably expect to be true about supervision models seems to be validated by the data. Within the area of clinical supervision, there appear to be many widely held assumptions that may or may not be supported </w:t>
      </w:r>
      <w:r w:rsidRPr="00EA0DC7">
        <w:rPr>
          <w:rFonts w:eastAsia="Times New Roman" w:cs="Arial"/>
          <w:noProof/>
          <w:szCs w:val="24"/>
        </w:rPr>
        <w:t>(Ellis &amp; Ladany, 1997; Milne &amp; James, 2000)</w:t>
      </w:r>
      <w:r w:rsidRPr="00EA0DC7">
        <w:rPr>
          <w:rFonts w:eastAsia="Times New Roman" w:cs="Arial"/>
          <w:szCs w:val="24"/>
        </w:rPr>
        <w:t xml:space="preserve">. One might assume that clinical supervision ensures therapist adherence and results in positive patient outcomes, but there is little empirical evidence to support this </w:t>
      </w:r>
      <w:r w:rsidRPr="00EA0DC7">
        <w:rPr>
          <w:rFonts w:eastAsia="Times New Roman" w:cs="Arial"/>
          <w:noProof/>
          <w:szCs w:val="24"/>
        </w:rPr>
        <w:t>(O’Donovan et al., 2011; Watkins, 2011)</w:t>
      </w:r>
      <w:r w:rsidRPr="00EA0DC7">
        <w:rPr>
          <w:rFonts w:eastAsia="Times New Roman" w:cs="Arial"/>
          <w:szCs w:val="24"/>
        </w:rPr>
        <w:t xml:space="preserve">. Where there </w:t>
      </w:r>
      <w:r w:rsidRPr="00EA0DC7">
        <w:rPr>
          <w:rFonts w:eastAsia="Times New Roman" w:cs="Arial"/>
          <w:i/>
          <w:szCs w:val="24"/>
        </w:rPr>
        <w:t>is</w:t>
      </w:r>
      <w:r w:rsidRPr="00EA0DC7">
        <w:rPr>
          <w:rFonts w:eastAsia="Times New Roman" w:cs="Arial"/>
          <w:szCs w:val="24"/>
        </w:rPr>
        <w:t xml:space="preserve"> empirical evidence, results are often inconsistent </w:t>
      </w:r>
      <w:r w:rsidRPr="00EA0DC7">
        <w:rPr>
          <w:rFonts w:eastAsia="Times New Roman" w:cs="Arial"/>
          <w:noProof/>
          <w:szCs w:val="24"/>
        </w:rPr>
        <w:t>(Bambling et al., 2006; Bradshaw et al., 2007; Callahan et al., 2009; Livni et al., 2012; Schoenwald et al., 2009; White &amp; Winstanley, 2010)</w:t>
      </w:r>
      <w:r w:rsidRPr="00EA0DC7">
        <w:rPr>
          <w:rFonts w:eastAsia="Times New Roman" w:cs="Arial"/>
          <w:szCs w:val="24"/>
        </w:rPr>
        <w:t xml:space="preserve">. This review highlights some incorrect assumptions that we might hold about supervision models specifically – that they are </w:t>
      </w:r>
      <w:r w:rsidRPr="00EA0DC7">
        <w:rPr>
          <w:rFonts w:eastAsia="Times New Roman" w:cs="Arial"/>
          <w:szCs w:val="24"/>
        </w:rPr>
        <w:lastRenderedPageBreak/>
        <w:t xml:space="preserve">empirically tested, that they provide a consistent view of the supervisory process, or that newer models will either build on or refine past models. The assumption-based nature of clinical supervision models is in contrast to models of therapy or treatment manuals, which rely heavily on empirical research and provide clear and consistent direction on how therapy should be conducted </w:t>
      </w:r>
      <w:r w:rsidRPr="00EA0DC7">
        <w:rPr>
          <w:rFonts w:eastAsia="Times New Roman" w:cs="Arial"/>
          <w:noProof/>
          <w:szCs w:val="24"/>
        </w:rPr>
        <w:t>(Wilson, 1996)</w:t>
      </w:r>
      <w:r w:rsidRPr="00EA0DC7">
        <w:rPr>
          <w:rFonts w:eastAsia="Times New Roman" w:cs="Arial"/>
          <w:szCs w:val="24"/>
        </w:rPr>
        <w:t xml:space="preserve">. </w:t>
      </w:r>
    </w:p>
    <w:p w14:paraId="5D498491" w14:textId="3BFB376A" w:rsidR="0026064C" w:rsidRPr="00EA0DC7" w:rsidRDefault="0026064C" w:rsidP="00BC4F60">
      <w:pPr>
        <w:ind w:firstLine="720"/>
        <w:rPr>
          <w:rFonts w:eastAsia="Times New Roman" w:cs="Arial"/>
          <w:szCs w:val="24"/>
        </w:rPr>
      </w:pPr>
      <w:r w:rsidRPr="00EA0DC7">
        <w:rPr>
          <w:rFonts w:eastAsia="Times New Roman" w:cs="Arial"/>
          <w:szCs w:val="24"/>
        </w:rPr>
        <w:t xml:space="preserve">Of course, it is reasonable to assume that clinical supervision will have one key goal – the maintenance and improvement of care for patients. Therefore, one of the starkest findings of this review is the lack of focus on the patient in supervision, challenging the </w:t>
      </w:r>
      <w:r w:rsidR="00E3747D" w:rsidRPr="00EA0DC7">
        <w:rPr>
          <w:rFonts w:eastAsia="Times New Roman" w:cs="Arial"/>
          <w:szCs w:val="24"/>
        </w:rPr>
        <w:t>widely held</w:t>
      </w:r>
      <w:r w:rsidRPr="00EA0DC7">
        <w:rPr>
          <w:rFonts w:eastAsia="Times New Roman" w:cs="Arial"/>
          <w:szCs w:val="24"/>
        </w:rPr>
        <w:t xml:space="preserve"> assumption that supervision ensures positive patient outcomes </w:t>
      </w:r>
      <w:r w:rsidRPr="00EA0DC7">
        <w:rPr>
          <w:rFonts w:eastAsia="Times New Roman" w:cs="Arial"/>
          <w:noProof/>
          <w:szCs w:val="24"/>
        </w:rPr>
        <w:t>(Ellis &amp; Ladany, 1997; Milne &amp; James, 2000)</w:t>
      </w:r>
      <w:r w:rsidRPr="00EA0DC7">
        <w:rPr>
          <w:rFonts w:eastAsia="Times New Roman" w:cs="Arial"/>
          <w:szCs w:val="24"/>
        </w:rPr>
        <w:t xml:space="preserve">. A large number of models do not specifically discuss the patient, lacking any focus on individual patient differences, patient expectations, and patient development. The great majority of models do not consider the use of feedback from the patient or recommend patient outcome monitoring as a form of evaluation. Some models do not even consider the possibility that supervision might include the discussion of therapy sessions. In contrast, almost all models place a heavy focus on the supervisee, including their personal characteristics, development, motivation and learning styles. Given their content, the purpose of supervision models could be interpreted to be to ensure that the therapist feels better, rather than to ensure that they do better. There are disagreements between researchers as to whether supervision should be judged through the learning of supervisees or the outcomes of patients </w:t>
      </w:r>
      <w:r w:rsidRPr="00EA0DC7">
        <w:rPr>
          <w:rFonts w:eastAsia="Times New Roman" w:cs="Arial"/>
          <w:noProof/>
          <w:szCs w:val="24"/>
        </w:rPr>
        <w:t xml:space="preserve">(Milne, Pilkington, Gracie, &amp; James, 2003). </w:t>
      </w:r>
      <w:r w:rsidRPr="00EA0DC7">
        <w:rPr>
          <w:rFonts w:eastAsia="Times New Roman" w:cs="Arial"/>
          <w:szCs w:val="24"/>
        </w:rPr>
        <w:t xml:space="preserve">A problem with the main focus being on the therapist, rather than the patient, is that we know that </w:t>
      </w:r>
      <w:r w:rsidRPr="00EA0DC7">
        <w:rPr>
          <w:rFonts w:eastAsia="Times New Roman" w:cs="Arial"/>
          <w:szCs w:val="24"/>
        </w:rPr>
        <w:lastRenderedPageBreak/>
        <w:t xml:space="preserve">supervisors can have biases and overestimate the abilities of their supervisees </w:t>
      </w:r>
      <w:r w:rsidRPr="00EA0DC7">
        <w:rPr>
          <w:rFonts w:eastAsia="Times New Roman" w:cs="Arial"/>
          <w:noProof/>
          <w:szCs w:val="24"/>
        </w:rPr>
        <w:t>(Dennhag, Gibbons, Barber, Gallop, &amp; Crits-Christoph, 2012; Gonsalvez &amp; Freestone, 2007)</w:t>
      </w:r>
      <w:r w:rsidRPr="00EA0DC7">
        <w:rPr>
          <w:rFonts w:eastAsia="Times New Roman" w:cs="Arial"/>
          <w:szCs w:val="24"/>
        </w:rPr>
        <w:t>. Without objectively measurable outcomes of supervision, we do not know whether it is effective.</w:t>
      </w:r>
    </w:p>
    <w:p w14:paraId="686FA2E3" w14:textId="77777777" w:rsidR="0026064C" w:rsidRPr="00EA0DC7" w:rsidRDefault="0026064C" w:rsidP="0026064C">
      <w:pPr>
        <w:outlineLvl w:val="2"/>
        <w:rPr>
          <w:rFonts w:eastAsia="SimSun" w:cs="Arial"/>
          <w:b/>
          <w:i/>
          <w:szCs w:val="24"/>
        </w:rPr>
      </w:pPr>
      <w:bookmarkStart w:id="99" w:name="_Toc508812094"/>
      <w:r w:rsidRPr="00EA0DC7">
        <w:rPr>
          <w:rFonts w:eastAsia="SimSun" w:cs="Arial"/>
          <w:b/>
          <w:i/>
          <w:szCs w:val="24"/>
        </w:rPr>
        <w:t>2.4.3 Implications for supervisory practice</w:t>
      </w:r>
      <w:bookmarkEnd w:id="99"/>
    </w:p>
    <w:p w14:paraId="1DC8D41B" w14:textId="5EDD51FB" w:rsidR="0026064C" w:rsidRPr="00EA0DC7" w:rsidRDefault="0026064C" w:rsidP="00BC4F60">
      <w:pPr>
        <w:ind w:firstLine="720"/>
        <w:rPr>
          <w:rFonts w:eastAsia="Times New Roman" w:cs="Arial"/>
          <w:szCs w:val="24"/>
        </w:rPr>
      </w:pPr>
      <w:r w:rsidRPr="00EA0DC7">
        <w:rPr>
          <w:rFonts w:eastAsia="Times New Roman" w:cs="Arial"/>
          <w:szCs w:val="24"/>
        </w:rPr>
        <w:t xml:space="preserve">As there is a lack of consistency in supervision models, then how do we know what to do in supervision? Clinical supervision is costly in both time and money </w:t>
      </w:r>
      <w:r w:rsidRPr="00EA0DC7">
        <w:rPr>
          <w:rFonts w:eastAsia="Times New Roman" w:cs="Arial"/>
          <w:noProof/>
          <w:szCs w:val="24"/>
        </w:rPr>
        <w:t>(Lyth, 2000)</w:t>
      </w:r>
      <w:r w:rsidRPr="00EA0DC7">
        <w:rPr>
          <w:rFonts w:eastAsia="Times New Roman" w:cs="Arial"/>
          <w:szCs w:val="24"/>
        </w:rPr>
        <w:t xml:space="preserve">. At a time when promises of investment for mental health services are not being seen by providers </w:t>
      </w:r>
      <w:r w:rsidRPr="00EA0DC7">
        <w:rPr>
          <w:rFonts w:eastAsia="Times New Roman" w:cs="Arial"/>
          <w:noProof/>
          <w:szCs w:val="24"/>
        </w:rPr>
        <w:t>(NHS Providers, 2016)</w:t>
      </w:r>
      <w:r w:rsidRPr="00EA0DC7">
        <w:rPr>
          <w:rFonts w:eastAsia="Times New Roman" w:cs="Arial"/>
          <w:szCs w:val="24"/>
        </w:rPr>
        <w:t>, perhaps services need to assess how to conduct supervision most effectively. Assuming that clinical supervision is helpful is not enough to justify the use</w:t>
      </w:r>
      <w:r w:rsidR="00E3747D" w:rsidRPr="00EA0DC7">
        <w:rPr>
          <w:rFonts w:eastAsia="Times New Roman" w:cs="Arial"/>
          <w:szCs w:val="24"/>
        </w:rPr>
        <w:t xml:space="preserve"> of models</w:t>
      </w:r>
      <w:r w:rsidRPr="00EA0DC7">
        <w:rPr>
          <w:rFonts w:eastAsia="Times New Roman" w:cs="Arial"/>
          <w:szCs w:val="24"/>
        </w:rPr>
        <w:t>, given that none are based on an empirical study and few have been tested in any way.</w:t>
      </w:r>
    </w:p>
    <w:p w14:paraId="3C7DCA07" w14:textId="77777777" w:rsidR="0026064C" w:rsidRPr="00EA0DC7" w:rsidRDefault="0026064C" w:rsidP="00E3747D">
      <w:pPr>
        <w:keepNext/>
        <w:outlineLvl w:val="2"/>
        <w:rPr>
          <w:rFonts w:eastAsia="SimSun" w:cs="Arial"/>
          <w:b/>
          <w:i/>
          <w:szCs w:val="24"/>
        </w:rPr>
      </w:pPr>
      <w:bookmarkStart w:id="100" w:name="_Toc508812095"/>
      <w:r w:rsidRPr="00EA0DC7">
        <w:rPr>
          <w:rFonts w:eastAsia="SimSun" w:cs="Arial"/>
          <w:b/>
          <w:i/>
          <w:szCs w:val="24"/>
        </w:rPr>
        <w:t>2.4.4 Future development</w:t>
      </w:r>
      <w:bookmarkEnd w:id="100"/>
      <w:r w:rsidRPr="00EA0DC7">
        <w:rPr>
          <w:rFonts w:eastAsia="SimSun" w:cs="Arial"/>
          <w:b/>
          <w:i/>
          <w:szCs w:val="24"/>
        </w:rPr>
        <w:t xml:space="preserve"> </w:t>
      </w:r>
    </w:p>
    <w:p w14:paraId="40BC4D8D" w14:textId="13FAC590" w:rsidR="0026064C" w:rsidRPr="00EA0DC7" w:rsidRDefault="0026064C" w:rsidP="0026064C">
      <w:pPr>
        <w:spacing w:after="0"/>
        <w:ind w:firstLine="720"/>
        <w:rPr>
          <w:rFonts w:eastAsia="Times New Roman" w:cs="Arial"/>
          <w:szCs w:val="24"/>
        </w:rPr>
      </w:pPr>
      <w:r w:rsidRPr="00EA0DC7">
        <w:rPr>
          <w:rFonts w:eastAsia="Times New Roman" w:cs="Arial"/>
          <w:szCs w:val="24"/>
        </w:rPr>
        <w:t xml:space="preserve">It is highly possible that supervision is effective and therefore worth our investment, but there needs to be further development of supervision models to demonstrate such effectiveness. It is possible that authors of models fail to include key aspects because they assume that the reader will already know how supervision is carried out. Unfortunately, by not directly laying out important aspects of supervision (and perhaps assuming prior knowledge), it appears that authors of models have created a disorganised and complicated picture of supervision in the literature. In particular, it could be recommended that authors should always aim explicitly to address patient perspectives and outcomes when outlining supervision processes. Clearly, it is also essential </w:t>
      </w:r>
      <w:r w:rsidRPr="00EA0DC7">
        <w:rPr>
          <w:rFonts w:eastAsia="Times New Roman" w:cs="Arial"/>
          <w:szCs w:val="24"/>
        </w:rPr>
        <w:lastRenderedPageBreak/>
        <w:t xml:space="preserve">that models </w:t>
      </w:r>
      <w:r w:rsidR="00E3747D" w:rsidRPr="00EA0DC7">
        <w:rPr>
          <w:rFonts w:eastAsia="Times New Roman" w:cs="Arial"/>
          <w:szCs w:val="24"/>
        </w:rPr>
        <w:t>be</w:t>
      </w:r>
      <w:r w:rsidRPr="00EA0DC7">
        <w:rPr>
          <w:rFonts w:eastAsia="Times New Roman" w:cs="Arial"/>
          <w:szCs w:val="24"/>
        </w:rPr>
        <w:t xml:space="preserve"> empirically tested to investigate their impact on both supervisees and patients.</w:t>
      </w:r>
    </w:p>
    <w:p w14:paraId="12F8005A" w14:textId="2237AC11" w:rsidR="0026064C" w:rsidRPr="00EA0DC7" w:rsidRDefault="0026064C" w:rsidP="0026064C">
      <w:pPr>
        <w:spacing w:after="0"/>
        <w:ind w:firstLine="720"/>
        <w:rPr>
          <w:rFonts w:eastAsia="Times New Roman" w:cs="Arial"/>
          <w:szCs w:val="24"/>
        </w:rPr>
      </w:pPr>
      <w:r w:rsidRPr="00EA0DC7">
        <w:rPr>
          <w:rFonts w:eastAsia="Times New Roman" w:cs="Arial"/>
          <w:szCs w:val="24"/>
        </w:rPr>
        <w:t xml:space="preserve">There needs to be further investigation into the use of supervision and which aspects of supervision are the most effective. The impact of supervision on therapists can be explored in a number of ways, including therapist competence, job satisfaction and burn-out. It is important to get a realistic view of supervisee abilities and outcomes </w:t>
      </w:r>
      <w:r w:rsidRPr="00EA0DC7">
        <w:rPr>
          <w:rFonts w:eastAsia="Times New Roman" w:cs="Arial"/>
          <w:noProof/>
          <w:szCs w:val="24"/>
        </w:rPr>
        <w:t>(Dennhag et al., 2012)</w:t>
      </w:r>
      <w:r w:rsidRPr="00EA0DC7">
        <w:rPr>
          <w:rFonts w:eastAsia="Times New Roman" w:cs="Arial"/>
          <w:szCs w:val="24"/>
        </w:rPr>
        <w:t>. Most importantly, the patient should not be lost from the supervisory literature. To fully establish supervisory effectiveness and the strengths and weaknesses of different, potentially competing supervisory models, future research into supervision must be conducted with patient outcome as the primary outcome variable. Factors relating to the therapist, while valuable, are secondary outcomes. Aspects of supervision that are found to be effective through empirical testing can then be pulled together to create an explicit model of supervision.</w:t>
      </w:r>
    </w:p>
    <w:p w14:paraId="4F324646" w14:textId="77777777" w:rsidR="0026064C" w:rsidRPr="00EA0DC7" w:rsidRDefault="0026064C" w:rsidP="0026064C">
      <w:pPr>
        <w:spacing w:after="0"/>
        <w:ind w:firstLine="720"/>
        <w:rPr>
          <w:rFonts w:eastAsia="Times New Roman" w:cs="Arial"/>
          <w:szCs w:val="24"/>
        </w:rPr>
      </w:pPr>
      <w:r w:rsidRPr="00EA0DC7">
        <w:rPr>
          <w:rFonts w:eastAsia="Times New Roman" w:cs="Arial"/>
          <w:szCs w:val="24"/>
        </w:rPr>
        <w:t>Finally, the effectiveness of supervision needs to be established through a review of the empirical literature on supervision. Given the costs associated with supervision, is the spending justified in the form of positive patient outcomes? Or is supervision mainly a tool to support therapists (as has been found in many supervision models), making very little impact on the patients themselves?</w:t>
      </w:r>
    </w:p>
    <w:p w14:paraId="56BED381" w14:textId="77777777" w:rsidR="0026064C" w:rsidRPr="00EA0DC7" w:rsidRDefault="0026064C" w:rsidP="0026064C"/>
    <w:p w14:paraId="3C689470" w14:textId="77777777" w:rsidR="00F51F47" w:rsidRPr="00EA0DC7" w:rsidRDefault="00F51F47" w:rsidP="00F51F47">
      <w:pPr>
        <w:spacing w:after="160" w:line="259" w:lineRule="auto"/>
        <w:jc w:val="left"/>
        <w:rPr>
          <w:rFonts w:ascii="Calibri" w:eastAsia="Calibri" w:hAnsi="Calibri" w:cs="Times New Roman"/>
          <w:sz w:val="22"/>
          <w:lang w:eastAsia="en-US"/>
        </w:rPr>
      </w:pPr>
    </w:p>
    <w:p w14:paraId="23F40657" w14:textId="77777777" w:rsidR="0096655F" w:rsidRPr="00EA0DC7" w:rsidRDefault="0096655F">
      <w:pPr>
        <w:spacing w:line="276" w:lineRule="auto"/>
        <w:jc w:val="left"/>
        <w:rPr>
          <w:rFonts w:cs="Arial"/>
          <w:b/>
          <w:sz w:val="32"/>
          <w:szCs w:val="32"/>
        </w:rPr>
      </w:pPr>
      <w:r w:rsidRPr="00EA0DC7">
        <w:br w:type="page"/>
      </w:r>
    </w:p>
    <w:p w14:paraId="306EB724" w14:textId="77777777" w:rsidR="00144D1E" w:rsidRPr="00EA0DC7" w:rsidRDefault="00144D1E" w:rsidP="00144D1E">
      <w:pPr>
        <w:pStyle w:val="Heading1"/>
        <w:numPr>
          <w:ilvl w:val="0"/>
          <w:numId w:val="45"/>
        </w:numPr>
        <w:ind w:left="0"/>
        <w:rPr>
          <w:lang w:eastAsia="en-US"/>
        </w:rPr>
      </w:pPr>
      <w:bookmarkStart w:id="101" w:name="_Toc47039834"/>
      <w:bookmarkEnd w:id="55"/>
      <w:r w:rsidRPr="00EA0DC7">
        <w:rPr>
          <w:lang w:eastAsia="en-US"/>
        </w:rPr>
        <w:lastRenderedPageBreak/>
        <w:t>– Does clinical supervision contribute to supervisee and patient outcomes? A meta-analysis</w:t>
      </w:r>
      <w:bookmarkEnd w:id="101"/>
    </w:p>
    <w:p w14:paraId="22749E45"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 xml:space="preserve">As outlined in Chapter 2, although supervision is used widely in both clinical and research practice </w:t>
      </w:r>
      <w:r w:rsidRPr="00EA0DC7">
        <w:rPr>
          <w:rFonts w:eastAsia="Calibri" w:cs="Arial"/>
          <w:noProof/>
          <w:szCs w:val="24"/>
          <w:lang w:eastAsia="en-US"/>
        </w:rPr>
        <w:t>(Roth &amp; Fonagy, 2005; Wheeler &amp; Richards, 2007)</w:t>
      </w:r>
      <w:r w:rsidRPr="00EA0DC7">
        <w:rPr>
          <w:rFonts w:eastAsia="Calibri" w:cs="Arial"/>
          <w:szCs w:val="24"/>
          <w:lang w:eastAsia="en-US"/>
        </w:rPr>
        <w:t xml:space="preserve">, it can be argued that the supervision model literature does not provide a coherent message for practitioners to follow. Perhaps most concerning about the supervision model literature is the lack of empirical evidence for the majority of the models </w:t>
      </w:r>
      <w:r w:rsidRPr="00EA0DC7">
        <w:rPr>
          <w:rFonts w:eastAsia="Calibri" w:cs="Arial"/>
          <w:noProof/>
          <w:szCs w:val="24"/>
          <w:lang w:eastAsia="en-US"/>
        </w:rPr>
        <w:t>(Simpson-Southward et al., 2017)</w:t>
      </w:r>
      <w:r w:rsidRPr="00EA0DC7">
        <w:rPr>
          <w:rFonts w:eastAsia="Calibri" w:cs="Arial"/>
          <w:szCs w:val="24"/>
          <w:lang w:eastAsia="en-US"/>
        </w:rPr>
        <w:t>. The present chapter turns specifically to the empirical literature exploring whether supervision is effective for supervisees or for patients. The chapter presents a meta-analysis of the outcomes of clinical supervision delivered to mental health professionals. Due to the limited amount of empirical research in this area, studies investigating the use of supervision in all mental health contexts were included in the review.</w:t>
      </w:r>
    </w:p>
    <w:p w14:paraId="6EE88DC3" w14:textId="77777777" w:rsidR="00144D1E" w:rsidRPr="00EA0DC7" w:rsidRDefault="00144D1E" w:rsidP="00144D1E">
      <w:pPr>
        <w:pStyle w:val="Heading2"/>
        <w:numPr>
          <w:ilvl w:val="1"/>
          <w:numId w:val="45"/>
        </w:numPr>
        <w:rPr>
          <w:lang w:eastAsia="en-US"/>
        </w:rPr>
      </w:pPr>
      <w:bookmarkStart w:id="102" w:name="_Toc47039835"/>
      <w:r w:rsidRPr="00EA0DC7">
        <w:rPr>
          <w:lang w:eastAsia="en-US"/>
        </w:rPr>
        <w:t>3.1 Background</w:t>
      </w:r>
      <w:bookmarkEnd w:id="102"/>
    </w:p>
    <w:p w14:paraId="6A9363BB" w14:textId="77777777" w:rsidR="00144D1E" w:rsidRPr="00EA0DC7" w:rsidRDefault="00144D1E" w:rsidP="00144D1E">
      <w:pPr>
        <w:autoSpaceDE w:val="0"/>
        <w:autoSpaceDN w:val="0"/>
        <w:adjustRightInd w:val="0"/>
        <w:spacing w:after="0"/>
        <w:ind w:firstLine="720"/>
        <w:rPr>
          <w:rFonts w:eastAsia="Calibri" w:cs="Arial"/>
          <w:szCs w:val="24"/>
          <w:lang w:eastAsia="en-US"/>
        </w:rPr>
      </w:pPr>
      <w:r w:rsidRPr="00EA0DC7">
        <w:rPr>
          <w:rFonts w:eastAsia="Calibri" w:cs="Arial"/>
          <w:szCs w:val="24"/>
          <w:lang w:eastAsia="en-US"/>
        </w:rPr>
        <w:t xml:space="preserve">The use of clinical supervision is standard practice within many clinical settings, particularly in the UK </w:t>
      </w:r>
      <w:r w:rsidRPr="00EA0DC7">
        <w:rPr>
          <w:rFonts w:eastAsia="Calibri" w:cs="Arial"/>
          <w:noProof/>
          <w:szCs w:val="24"/>
          <w:lang w:eastAsia="en-US"/>
        </w:rPr>
        <w:t>(</w:t>
      </w:r>
      <w:r w:rsidRPr="00EA0DC7">
        <w:rPr>
          <w:rFonts w:eastAsia="SimSun" w:cs="Arial"/>
          <w:szCs w:val="24"/>
        </w:rPr>
        <w:t xml:space="preserve">BABCP, 2012; BACP, 2016; </w:t>
      </w:r>
      <w:r w:rsidRPr="00EA0DC7">
        <w:rPr>
          <w:rFonts w:eastAsia="Calibri" w:cs="Arial"/>
          <w:noProof/>
          <w:szCs w:val="24"/>
          <w:lang w:eastAsia="en-US"/>
        </w:rPr>
        <w:t>Wheeler &amp; Richards, 2007)</w:t>
      </w:r>
      <w:r w:rsidRPr="00EA0DC7">
        <w:rPr>
          <w:rFonts w:eastAsia="Calibri" w:cs="Arial"/>
          <w:szCs w:val="24"/>
          <w:lang w:eastAsia="en-US"/>
        </w:rPr>
        <w:t xml:space="preserve">. An important consideration is the cost-effectiveness of clinical supervision, as this element of clinical practice has the potential to be costly in terms of both time and money </w:t>
      </w:r>
      <w:r w:rsidRPr="00EA0DC7">
        <w:rPr>
          <w:rFonts w:eastAsia="Calibri" w:cs="Arial"/>
          <w:noProof/>
          <w:szCs w:val="24"/>
          <w:lang w:eastAsia="en-US"/>
        </w:rPr>
        <w:t xml:space="preserve">(Lyth, 2000). However, cost-effectiveness cannot be appraised without first addressing the question of how effective that supervision is. </w:t>
      </w:r>
      <w:r w:rsidRPr="00EA0DC7">
        <w:rPr>
          <w:rFonts w:eastAsia="Calibri" w:cs="Arial"/>
          <w:szCs w:val="24"/>
          <w:lang w:eastAsia="en-US"/>
        </w:rPr>
        <w:t xml:space="preserve">It is commonly assumed that clinical supervision </w:t>
      </w:r>
      <w:r>
        <w:rPr>
          <w:rFonts w:eastAsia="Calibri" w:cs="Arial"/>
          <w:szCs w:val="24"/>
          <w:lang w:eastAsia="en-US"/>
        </w:rPr>
        <w:t>aids</w:t>
      </w:r>
      <w:r w:rsidRPr="00EA0DC7">
        <w:rPr>
          <w:rFonts w:eastAsia="Calibri" w:cs="Arial"/>
          <w:szCs w:val="24"/>
          <w:lang w:eastAsia="en-US"/>
        </w:rPr>
        <w:t xml:space="preserve"> therapist adherence, competence, and well-being (Lambert &amp; Ogles, </w:t>
      </w:r>
      <w:r w:rsidRPr="00EA0DC7">
        <w:rPr>
          <w:rFonts w:eastAsia="Calibri" w:cs="Arial"/>
          <w:szCs w:val="24"/>
          <w:lang w:eastAsia="en-US"/>
        </w:rPr>
        <w:lastRenderedPageBreak/>
        <w:t xml:space="preserve">1997). In turn, it is assumed that these effects will contribute to positive patient outcomes (Ellis &amp; Ladany, 1997; Milne &amp; James, 2000). However, those assumptions need to be verified, making it essential to establish the clinical effectiveness of supervision. </w:t>
      </w:r>
    </w:p>
    <w:p w14:paraId="3365DA5F" w14:textId="77777777" w:rsidR="00144D1E" w:rsidRPr="00EA0DC7" w:rsidRDefault="00144D1E" w:rsidP="00144D1E">
      <w:pPr>
        <w:autoSpaceDE w:val="0"/>
        <w:autoSpaceDN w:val="0"/>
        <w:adjustRightInd w:val="0"/>
        <w:ind w:firstLine="720"/>
      </w:pPr>
      <w:r w:rsidRPr="00EA0DC7">
        <w:rPr>
          <w:rFonts w:eastAsia="Calibri" w:cs="Arial"/>
          <w:szCs w:val="24"/>
          <w:lang w:eastAsia="en-US"/>
        </w:rPr>
        <w:t xml:space="preserve">Previous reviews have found that empirical evidence for the effectiveness of clinical supervision is scarce </w:t>
      </w:r>
      <w:r w:rsidRPr="00EA0DC7">
        <w:rPr>
          <w:rFonts w:eastAsia="Calibri" w:cs="Arial"/>
          <w:noProof/>
          <w:szCs w:val="24"/>
          <w:lang w:eastAsia="en-US"/>
        </w:rPr>
        <w:t>(Alfonsson, Parling, Spännargård, Andersson, &amp; Lundgren, 2017), and m</w:t>
      </w:r>
      <w:r w:rsidRPr="00EA0DC7">
        <w:rPr>
          <w:rFonts w:eastAsia="Calibri" w:cs="Arial"/>
          <w:szCs w:val="24"/>
          <w:lang w:eastAsia="en-US"/>
        </w:rPr>
        <w:t xml:space="preserve">uch of the research is methodologically flawed </w:t>
      </w:r>
      <w:r w:rsidRPr="00EA0DC7">
        <w:rPr>
          <w:rFonts w:eastAsia="Calibri" w:cs="Arial"/>
          <w:noProof/>
          <w:szCs w:val="24"/>
          <w:lang w:eastAsia="en-US"/>
        </w:rPr>
        <w:t>(Ellis, Ladany, Schult, &amp; Krengel, 1996; Watkins, 2011; Wheeler &amp; Richards, 2007)</w:t>
      </w:r>
      <w:r w:rsidRPr="00EA0DC7">
        <w:rPr>
          <w:rFonts w:eastAsia="Calibri" w:cs="Arial"/>
          <w:szCs w:val="24"/>
          <w:lang w:eastAsia="en-US"/>
        </w:rPr>
        <w:t xml:space="preserve">. It is also noteworthy that most of this research relates to outcomes for the supervisee, rather than the patient </w:t>
      </w:r>
      <w:r w:rsidRPr="00EA0DC7">
        <w:rPr>
          <w:rFonts w:eastAsia="Calibri" w:cs="Arial"/>
          <w:szCs w:val="24"/>
          <w:lang w:eastAsia="en-US"/>
        </w:rPr>
        <w:fldChar w:fldCharType="begin" w:fldLock="1"/>
      </w:r>
      <w:r w:rsidRPr="00EA0DC7">
        <w:rPr>
          <w:rFonts w:eastAsia="Calibri" w:cs="Arial"/>
          <w:szCs w:val="24"/>
          <w:lang w:eastAsia="en-US"/>
        </w:rPr>
        <w:instrText>ADDIN CSL_CITATION { "citationItems" : [ { "id" : "ITEM-1", "itemData" : { "DOI" : "10.1037/0033-3204.39.4.354", "ISSN" : "1939-1536", "abstract" : "The supervision of counselors-in-training has become an important area of psychotherapy research. Through supervision, one expects that trainees will gain the knowledge and clinical skills needed to work effectively with clients. Much research has been dedicated to understanding trainee skill development through supervision, but relatively few studies in the literature have addressed whether clinical supervision leads to improved client outcome. The current article presents a review of 2 decades of research into the question of whether clinical supervision improves client outcome. Ten studies conducted between 1981 and 1997 are reviewed in detail. Caveats and criticisms, as well as suggested directions for future research, are discussed.", "author" : [ { "dropping-particle" : "", "family" : "Freitas", "given" : "Gary J.", "non-dropping-particle" : "", "parse-names" : false, "suffix" : "" } ], "container-title" : "Psychotherapy: Theory, Research, Practice, Training", "id" : "ITEM-1", "issued" : { "date-parts" : [ [ "2002" ] ] }, "page" : "354-367", "title" : "The impact of psychotherapy supervision on client outcome: A critical examination of 2 decades of research", "type" : "article-journal", "volume" : "39" }, "uris" : [ "http://www.mendeley.com/documents/?uuid=8cb4c2a8-1403-4382-ba1b-e5cee3dd3dea" ] } ], "mendeley" : { "formattedCitation" : "(Freitas, 2002)", "plainTextFormattedCitation" : "(Freitas, 2002)", "previouslyFormattedCitation" : "(Freitas, 2002)" }, "properties" : {  }, "schema" : "https://github.com/citation-style-language/schema/raw/master/csl-citation.json" }</w:instrText>
      </w:r>
      <w:r w:rsidRPr="00EA0DC7">
        <w:rPr>
          <w:rFonts w:eastAsia="Calibri" w:cs="Arial"/>
          <w:szCs w:val="24"/>
          <w:lang w:eastAsia="en-US"/>
        </w:rPr>
        <w:fldChar w:fldCharType="separate"/>
      </w:r>
      <w:r w:rsidRPr="00EA0DC7">
        <w:rPr>
          <w:rFonts w:eastAsia="Calibri" w:cs="Arial"/>
          <w:noProof/>
          <w:szCs w:val="24"/>
          <w:lang w:eastAsia="en-US"/>
        </w:rPr>
        <w:t>(Freitas, 2002)</w:t>
      </w:r>
      <w:r w:rsidRPr="00EA0DC7">
        <w:rPr>
          <w:rFonts w:eastAsia="Calibri" w:cs="Arial"/>
          <w:szCs w:val="24"/>
          <w:lang w:eastAsia="en-US"/>
        </w:rPr>
        <w:fldChar w:fldCharType="end"/>
      </w:r>
      <w:r w:rsidRPr="00EA0DC7">
        <w:rPr>
          <w:rFonts w:eastAsia="Calibri" w:cs="Arial"/>
          <w:szCs w:val="24"/>
          <w:lang w:eastAsia="en-US"/>
        </w:rPr>
        <w:t xml:space="preserve">. For example, Simpson-Southward et al. (2017) have shown that very few clinical supervision models even mention the assessment of patient outcomes, focusing more on effects for the supervisee. Of course, while a relationship with clinical outcomes might be assumed, there is a need to test any such assumption. Does any effect of supervision on </w:t>
      </w:r>
      <w:r w:rsidRPr="00EA0DC7">
        <w:t>the supervisee’s practice and well-being translate into positive effects for the patient?</w:t>
      </w:r>
    </w:p>
    <w:p w14:paraId="65773564" w14:textId="77777777" w:rsidR="00144D1E" w:rsidRPr="00EA0DC7" w:rsidRDefault="00144D1E" w:rsidP="00144D1E">
      <w:pPr>
        <w:pStyle w:val="Heading3"/>
        <w:numPr>
          <w:ilvl w:val="2"/>
          <w:numId w:val="45"/>
        </w:numPr>
        <w:rPr>
          <w:lang w:eastAsia="en-US"/>
        </w:rPr>
      </w:pPr>
      <w:r w:rsidRPr="00EA0DC7">
        <w:rPr>
          <w:lang w:eastAsia="en-US"/>
        </w:rPr>
        <w:t>3.1.1 Aims and hypotheses</w:t>
      </w:r>
    </w:p>
    <w:p w14:paraId="29483717" w14:textId="77777777" w:rsidR="00144D1E" w:rsidRPr="00EA0DC7" w:rsidRDefault="00144D1E" w:rsidP="00144D1E">
      <w:pPr>
        <w:autoSpaceDE w:val="0"/>
        <w:autoSpaceDN w:val="0"/>
        <w:adjustRightInd w:val="0"/>
        <w:spacing w:after="160"/>
        <w:ind w:firstLine="720"/>
        <w:rPr>
          <w:rFonts w:eastAsia="Calibri" w:cs="Arial"/>
          <w:szCs w:val="24"/>
          <w:lang w:eastAsia="en-US"/>
        </w:rPr>
      </w:pPr>
      <w:r w:rsidRPr="00EA0DC7">
        <w:rPr>
          <w:rFonts w:eastAsia="Calibri" w:cs="Arial"/>
          <w:szCs w:val="24"/>
          <w:lang w:eastAsia="en-US"/>
        </w:rPr>
        <w:t xml:space="preserve">The current review aimed to investigate the impact of clinical supervision on both supervisees and patients, demonstrating the effect sizes associated with outcomes for each. To do this in a robust and replicable way, a systematic review and meta-analysis will be conducted. The outcomes of studies investigating supervisory impact on supervisees will be compared to those looking at the impact on patients. Based on an analysis of the supervisory model literature in Chapter 2, which found that models tend to </w:t>
      </w:r>
      <w:r w:rsidRPr="00EA0DC7">
        <w:rPr>
          <w:rFonts w:eastAsia="Calibri" w:cs="Arial"/>
          <w:szCs w:val="24"/>
          <w:lang w:eastAsia="en-US"/>
        </w:rPr>
        <w:lastRenderedPageBreak/>
        <w:t xml:space="preserve">focus on the supervisee (rather than patients), two hypotheses are proposed. First, there will be fewer studies investigating supervisory impact on patients than studies investigating the impact on supervisees. Second, the effect of supervision on patients will be less pronounced than that of supervision on supervisees. </w:t>
      </w:r>
    </w:p>
    <w:p w14:paraId="52762733" w14:textId="77777777" w:rsidR="00144D1E" w:rsidRPr="00EA0DC7" w:rsidRDefault="00144D1E" w:rsidP="00144D1E">
      <w:pPr>
        <w:autoSpaceDE w:val="0"/>
        <w:autoSpaceDN w:val="0"/>
        <w:adjustRightInd w:val="0"/>
        <w:spacing w:after="160"/>
        <w:ind w:firstLine="720"/>
        <w:rPr>
          <w:rFonts w:eastAsia="Calibri" w:cs="Arial"/>
          <w:szCs w:val="24"/>
          <w:lang w:eastAsia="en-US"/>
        </w:rPr>
      </w:pPr>
      <w:r w:rsidRPr="00EA0DC7">
        <w:rPr>
          <w:rFonts w:eastAsia="Calibri" w:cs="Arial"/>
          <w:szCs w:val="24"/>
          <w:lang w:eastAsia="en-US"/>
        </w:rPr>
        <w:t>A further aim of this review is to investigate the role of moderators on the effect sizes. Of particular interest is the role that study design plays in moderating the effect of supervision.</w:t>
      </w:r>
      <w:r>
        <w:rPr>
          <w:rFonts w:eastAsia="Calibri" w:cs="Arial"/>
          <w:szCs w:val="24"/>
          <w:lang w:eastAsia="en-US"/>
        </w:rPr>
        <w:t xml:space="preserve"> </w:t>
      </w:r>
      <w:commentRangeStart w:id="103"/>
      <w:r>
        <w:rPr>
          <w:rFonts w:eastAsia="Calibri" w:cs="Arial"/>
          <w:szCs w:val="24"/>
          <w:lang w:eastAsia="en-US"/>
        </w:rPr>
        <w:t xml:space="preserve">Given findings from previous research assessing the relationship between study quality and effect size (e.g., </w:t>
      </w:r>
      <w:r>
        <w:t>Cuijpers et al., 2010)</w:t>
      </w:r>
      <w:r>
        <w:rPr>
          <w:rFonts w:eastAsia="Calibri" w:cs="Arial"/>
          <w:szCs w:val="24"/>
          <w:lang w:eastAsia="en-US"/>
        </w:rPr>
        <w:t xml:space="preserve">, it is expected that higher quality studies will have lower effect sizes. </w:t>
      </w:r>
      <w:commentRangeEnd w:id="103"/>
      <w:r w:rsidR="00BF7265">
        <w:rPr>
          <w:rStyle w:val="CommentReference"/>
          <w:rFonts w:eastAsiaTheme="minorHAnsi"/>
          <w:lang w:eastAsia="en-US"/>
        </w:rPr>
        <w:commentReference w:id="103"/>
      </w:r>
      <w:r w:rsidRPr="00EA0DC7">
        <w:rPr>
          <w:rFonts w:eastAsia="Calibri" w:cs="Arial"/>
          <w:szCs w:val="24"/>
          <w:lang w:eastAsia="en-US"/>
        </w:rPr>
        <w:t>Other dimensional and categorical moderators were also considered.</w:t>
      </w:r>
    </w:p>
    <w:p w14:paraId="19CAB210" w14:textId="77777777" w:rsidR="00144D1E" w:rsidRPr="00EA0DC7" w:rsidRDefault="00144D1E" w:rsidP="00144D1E">
      <w:pPr>
        <w:pStyle w:val="Heading2"/>
        <w:numPr>
          <w:ilvl w:val="1"/>
          <w:numId w:val="45"/>
        </w:numPr>
        <w:rPr>
          <w:lang w:eastAsia="en-US"/>
        </w:rPr>
      </w:pPr>
      <w:bookmarkStart w:id="104" w:name="_Toc47039836"/>
      <w:r w:rsidRPr="00EA0DC7">
        <w:rPr>
          <w:lang w:eastAsia="en-US"/>
        </w:rPr>
        <w:t>3.2 Method</w:t>
      </w:r>
      <w:bookmarkEnd w:id="104"/>
    </w:p>
    <w:p w14:paraId="101DBDD2" w14:textId="77777777" w:rsidR="00144D1E" w:rsidRPr="00EA0DC7" w:rsidRDefault="00144D1E" w:rsidP="00144D1E">
      <w:pPr>
        <w:pStyle w:val="Heading3"/>
        <w:numPr>
          <w:ilvl w:val="2"/>
          <w:numId w:val="45"/>
        </w:numPr>
        <w:rPr>
          <w:lang w:eastAsia="en-US"/>
        </w:rPr>
      </w:pPr>
      <w:r w:rsidRPr="00EA0DC7">
        <w:rPr>
          <w:lang w:eastAsia="en-US"/>
        </w:rPr>
        <w:t>3.2.1 Search strategy</w:t>
      </w:r>
    </w:p>
    <w:p w14:paraId="6007E8FE" w14:textId="77777777" w:rsidR="00144D1E" w:rsidRPr="00EA0DC7" w:rsidRDefault="00144D1E" w:rsidP="00144D1E">
      <w:pPr>
        <w:spacing w:after="160"/>
        <w:rPr>
          <w:rFonts w:eastAsia="Calibri" w:cs="Arial"/>
          <w:szCs w:val="24"/>
          <w:lang w:eastAsia="en-US"/>
        </w:rPr>
      </w:pPr>
      <w:r w:rsidRPr="00EA0DC7">
        <w:rPr>
          <w:rFonts w:eastAsia="Calibri" w:cs="Arial"/>
          <w:szCs w:val="24"/>
          <w:lang w:eastAsia="en-US"/>
        </w:rPr>
        <w:tab/>
        <w:t xml:space="preserve">The search strategy was designed to identify studies in which the outcomes of clinical supervision were investigated. Originally, this review was intended to focus solely on the use of supervision in treatment for depression. However, the limited amount of research available meant that the review was expanded to cover all disorders and therapies in order to drawn meaningful conclusions. A literature search was conducted in June 2014 and updated in July 2017. Web of Science (1900-present), PubMed (1809-present), and PsycINFO (1806-present) were systematically searched using the terms ‘supervision’ OR ‘consultation’ AND ‘psychotherapy’ AND ‘outcome’. Searches were limited to articles in the English language. A manual search of all full texts read was conducted, in order to identify additional texts. </w:t>
      </w:r>
    </w:p>
    <w:p w14:paraId="2A8251F5" w14:textId="77777777" w:rsidR="00144D1E" w:rsidRPr="00EA0DC7" w:rsidRDefault="00144D1E" w:rsidP="00144D1E">
      <w:pPr>
        <w:pStyle w:val="Heading3"/>
        <w:numPr>
          <w:ilvl w:val="2"/>
          <w:numId w:val="45"/>
        </w:numPr>
        <w:rPr>
          <w:lang w:eastAsia="en-US"/>
        </w:rPr>
      </w:pPr>
      <w:r w:rsidRPr="00EA0DC7">
        <w:rPr>
          <w:lang w:eastAsia="en-US"/>
        </w:rPr>
        <w:lastRenderedPageBreak/>
        <w:t>3.2.2 Selection of studies</w:t>
      </w:r>
    </w:p>
    <w:p w14:paraId="648EFD3E"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To meet the inclusion criteria for review, a study needed to: be written in the English language; investigate the outcomes of supervision; and investigate supervision in the mental health professions. Studies were excluded for the following reasons: the study was qualitative (</w:t>
      </w:r>
      <w:r w:rsidRPr="00EA0DC7">
        <w:rPr>
          <w:rFonts w:eastAsia="Calibri" w:cs="Arial"/>
          <w:i/>
          <w:szCs w:val="24"/>
          <w:lang w:eastAsia="en-US"/>
        </w:rPr>
        <w:t>N</w:t>
      </w:r>
      <w:r w:rsidRPr="00EA0DC7">
        <w:rPr>
          <w:rFonts w:eastAsia="Calibri" w:cs="Arial"/>
          <w:szCs w:val="24"/>
          <w:lang w:eastAsia="en-US"/>
        </w:rPr>
        <w:t xml:space="preserve"> = 5); pre-post effect sizes could not be calculated from the data provided (18); the study only investigated the effect of supervisor characteristics on supervision outcome (9); the study only investigated the effect of supervisee characteristics on supervision outcome (1); the study only investigated the effect of specific supervision events on supervision outcome (8); or the study only investigated the impact of satisfaction with supervision on supervision outcome (1).</w:t>
      </w:r>
    </w:p>
    <w:p w14:paraId="5C961A2C" w14:textId="77777777" w:rsidR="00144D1E" w:rsidRPr="00EA0DC7" w:rsidRDefault="00144D1E" w:rsidP="00144D1E">
      <w:pPr>
        <w:pStyle w:val="Heading4"/>
        <w:numPr>
          <w:ilvl w:val="3"/>
          <w:numId w:val="45"/>
        </w:numPr>
        <w:rPr>
          <w:lang w:eastAsia="en-US"/>
        </w:rPr>
      </w:pPr>
      <w:r w:rsidRPr="00EA0DC7">
        <w:rPr>
          <w:lang w:eastAsia="en-US"/>
        </w:rPr>
        <w:t>3.2.2.1 Quality analysis</w:t>
      </w:r>
    </w:p>
    <w:p w14:paraId="05770459" w14:textId="0612560D"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 xml:space="preserve">Articles were subject to quality assessment using the Quality Index (QI; </w:t>
      </w:r>
      <w:r w:rsidRPr="00EA0DC7">
        <w:rPr>
          <w:rFonts w:eastAsia="Calibri" w:cs="Arial"/>
          <w:noProof/>
          <w:szCs w:val="24"/>
          <w:lang w:eastAsia="en-US"/>
        </w:rPr>
        <w:t>Downs &amp; Black, 1998)</w:t>
      </w:r>
      <w:r w:rsidRPr="00EA0DC7">
        <w:rPr>
          <w:rFonts w:eastAsia="Calibri" w:cs="Arial"/>
          <w:szCs w:val="24"/>
          <w:lang w:eastAsia="en-US"/>
        </w:rPr>
        <w:t>. This measure consists of 27 questions, which can be grouped into five subscales (reporting, external validity, internal validity – bias, internal validity – confounding, and power).</w:t>
      </w:r>
      <w:r>
        <w:rPr>
          <w:rFonts w:eastAsia="Calibri" w:cs="Arial"/>
          <w:szCs w:val="24"/>
          <w:lang w:eastAsia="en-US"/>
        </w:rPr>
        <w:t xml:space="preserve"> </w:t>
      </w:r>
      <w:commentRangeStart w:id="105"/>
      <w:r>
        <w:rPr>
          <w:rFonts w:eastAsia="Calibri" w:cs="Arial"/>
          <w:szCs w:val="24"/>
          <w:lang w:eastAsia="en-US"/>
        </w:rPr>
        <w:t>A copy of the checklist is in Appendix 3A.</w:t>
      </w:r>
      <w:r w:rsidRPr="00EA0DC7">
        <w:rPr>
          <w:rFonts w:eastAsia="Calibri" w:cs="Arial"/>
          <w:szCs w:val="24"/>
          <w:lang w:eastAsia="en-US"/>
        </w:rPr>
        <w:t xml:space="preserve"> </w:t>
      </w:r>
      <w:r>
        <w:rPr>
          <w:rFonts w:eastAsia="Calibri" w:cs="Arial"/>
          <w:szCs w:val="24"/>
          <w:lang w:eastAsia="en-US"/>
        </w:rPr>
        <w:t xml:space="preserve">Due to the lack of data necessary to score question 27, this question was adapted to assess whether or not the article outlined </w:t>
      </w:r>
      <w:r w:rsidRPr="00EA0DC7">
        <w:rPr>
          <w:rFonts w:eastAsia="Calibri" w:cs="Arial"/>
          <w:szCs w:val="24"/>
          <w:lang w:eastAsia="en-US"/>
        </w:rPr>
        <w:t>a power analysis prior to the results section.</w:t>
      </w:r>
      <w:r w:rsidRPr="00E512D0">
        <w:rPr>
          <w:rFonts w:eastAsia="Calibri" w:cs="Arial"/>
          <w:szCs w:val="24"/>
          <w:lang w:eastAsia="en-US"/>
        </w:rPr>
        <w:t xml:space="preserve"> </w:t>
      </w:r>
      <w:r w:rsidRPr="00EA0DC7">
        <w:rPr>
          <w:rFonts w:eastAsia="Calibri" w:cs="Arial"/>
          <w:szCs w:val="24"/>
          <w:lang w:eastAsia="en-US"/>
        </w:rPr>
        <w:t xml:space="preserve">A study scored 1 for including a power analysis and 0 for </w:t>
      </w:r>
      <w:r>
        <w:rPr>
          <w:rFonts w:eastAsia="Calibri" w:cs="Arial"/>
          <w:szCs w:val="24"/>
          <w:lang w:eastAsia="en-US"/>
        </w:rPr>
        <w:t xml:space="preserve">not including a power analysis. This adaptation was based on previous </w:t>
      </w:r>
      <w:r w:rsidRPr="004336E0">
        <w:rPr>
          <w:rFonts w:eastAsia="Calibri" w:cs="Arial"/>
          <w:szCs w:val="24"/>
          <w:lang w:eastAsia="en-US"/>
        </w:rPr>
        <w:t>research (e.g.,</w:t>
      </w:r>
      <w:r>
        <w:rPr>
          <w:rFonts w:eastAsia="Calibri" w:cs="Arial"/>
          <w:szCs w:val="24"/>
          <w:lang w:eastAsia="en-US"/>
        </w:rPr>
        <w:t xml:space="preserve"> </w:t>
      </w:r>
      <w:r w:rsidRPr="004336E0">
        <w:rPr>
          <w:rFonts w:eastAsia="Calibri" w:cs="Arial"/>
          <w:szCs w:val="24"/>
          <w:lang w:eastAsia="en-US"/>
        </w:rPr>
        <w:t>Mehin</w:t>
      </w:r>
      <w:r>
        <w:rPr>
          <w:rFonts w:eastAsia="Calibri" w:cs="Arial"/>
          <w:szCs w:val="24"/>
          <w:lang w:eastAsia="en-US"/>
        </w:rPr>
        <w:t>, Burnett &amp; Brasher, 2010).  All questions can be scored a maximum of 1, apart from question 5 (</w:t>
      </w:r>
      <w:r w:rsidRPr="003F4E71">
        <w:rPr>
          <w:i/>
        </w:rPr>
        <w:t>Are the distributions of principal confounders in each group of subjects to be compared clearly described?</w:t>
      </w:r>
      <w:r w:rsidRPr="00B8587E">
        <w:t>)</w:t>
      </w:r>
      <w:r>
        <w:rPr>
          <w:rFonts w:eastAsia="Calibri" w:cs="Arial"/>
          <w:szCs w:val="24"/>
          <w:lang w:eastAsia="en-US"/>
        </w:rPr>
        <w:t xml:space="preserve"> which is scored out of 2. </w:t>
      </w:r>
      <w:commentRangeEnd w:id="105"/>
      <w:r w:rsidR="00BF7265">
        <w:rPr>
          <w:rStyle w:val="CommentReference"/>
          <w:rFonts w:eastAsiaTheme="minorHAnsi"/>
          <w:lang w:eastAsia="en-US"/>
        </w:rPr>
        <w:commentReference w:id="105"/>
      </w:r>
      <w:r>
        <w:rPr>
          <w:rFonts w:eastAsia="Calibri" w:cs="Arial"/>
          <w:szCs w:val="24"/>
          <w:lang w:eastAsia="en-US"/>
        </w:rPr>
        <w:t>Therefore, o</w:t>
      </w:r>
      <w:r w:rsidRPr="00EA0DC7">
        <w:rPr>
          <w:rFonts w:eastAsia="Calibri" w:cs="Arial"/>
          <w:szCs w:val="24"/>
          <w:lang w:eastAsia="en-US"/>
        </w:rPr>
        <w:t xml:space="preserve">verall scores can range from 0 – 28. Where studies investigated supervision outcomes for both supervisees </w:t>
      </w:r>
      <w:r w:rsidRPr="00EA0DC7">
        <w:rPr>
          <w:rFonts w:eastAsia="Calibri" w:cs="Arial"/>
          <w:szCs w:val="24"/>
          <w:lang w:eastAsia="en-US"/>
        </w:rPr>
        <w:lastRenderedPageBreak/>
        <w:t>and patients, two separate QI scores were calculated. To assess scoring reliability, a second rater scored 20% of the articles.</w:t>
      </w:r>
      <w:r>
        <w:rPr>
          <w:rFonts w:eastAsia="Calibri" w:cs="Arial"/>
          <w:szCs w:val="24"/>
          <w:lang w:eastAsia="en-US"/>
        </w:rPr>
        <w:t xml:space="preserve"> </w:t>
      </w:r>
      <w:commentRangeStart w:id="106"/>
      <w:r>
        <w:rPr>
          <w:rFonts w:eastAsia="Calibri" w:cs="Arial"/>
          <w:szCs w:val="24"/>
          <w:lang w:eastAsia="en-US"/>
        </w:rPr>
        <w:t xml:space="preserve">The second rater (CH) was a </w:t>
      </w:r>
      <w:r w:rsidR="00C045A9">
        <w:rPr>
          <w:rFonts w:eastAsia="Calibri" w:cs="Arial"/>
          <w:szCs w:val="24"/>
          <w:lang w:eastAsia="en-US"/>
        </w:rPr>
        <w:t xml:space="preserve">Psychology </w:t>
      </w:r>
      <w:r>
        <w:rPr>
          <w:rFonts w:eastAsia="Calibri" w:cs="Arial"/>
          <w:szCs w:val="24"/>
          <w:lang w:eastAsia="en-US"/>
        </w:rPr>
        <w:t>PhD student at the University of Sheffield.</w:t>
      </w:r>
      <w:r w:rsidRPr="00EA0DC7">
        <w:rPr>
          <w:rFonts w:eastAsia="Calibri" w:cs="Arial"/>
          <w:szCs w:val="24"/>
          <w:lang w:eastAsia="en-US"/>
        </w:rPr>
        <w:t xml:space="preserve"> Overall percentage agreement was high (83.7%), giving a Cohen’s kappa of .552 (‘moderate’ agreement between raters).</w:t>
      </w:r>
      <w:r>
        <w:rPr>
          <w:rFonts w:eastAsia="Calibri" w:cs="Arial"/>
          <w:szCs w:val="24"/>
          <w:lang w:eastAsia="en-US"/>
        </w:rPr>
        <w:t xml:space="preserve"> </w:t>
      </w:r>
      <w:r w:rsidR="00B469D5">
        <w:rPr>
          <w:rFonts w:eastAsia="Calibri" w:cs="Arial"/>
          <w:szCs w:val="24"/>
          <w:lang w:eastAsia="en-US"/>
        </w:rPr>
        <w:t>Disagreements were re-assessed and consensus reached.</w:t>
      </w:r>
      <w:commentRangeEnd w:id="106"/>
      <w:r w:rsidR="00BF7265">
        <w:rPr>
          <w:rStyle w:val="CommentReference"/>
          <w:rFonts w:eastAsiaTheme="minorHAnsi"/>
          <w:lang w:eastAsia="en-US"/>
        </w:rPr>
        <w:commentReference w:id="106"/>
      </w:r>
    </w:p>
    <w:p w14:paraId="41EE6F32" w14:textId="77777777" w:rsidR="00144D1E" w:rsidRPr="00EA0DC7" w:rsidRDefault="00144D1E" w:rsidP="00144D1E">
      <w:pPr>
        <w:pStyle w:val="Heading3"/>
        <w:numPr>
          <w:ilvl w:val="2"/>
          <w:numId w:val="45"/>
        </w:numPr>
        <w:rPr>
          <w:lang w:eastAsia="en-US"/>
        </w:rPr>
      </w:pPr>
      <w:r w:rsidRPr="00EA0DC7">
        <w:rPr>
          <w:lang w:eastAsia="en-US"/>
        </w:rPr>
        <w:t>3.2.3 Data analysis</w:t>
      </w:r>
    </w:p>
    <w:p w14:paraId="732CB916" w14:textId="77777777" w:rsidR="00144D1E" w:rsidRPr="00EA0DC7" w:rsidRDefault="00144D1E" w:rsidP="00144D1E">
      <w:pPr>
        <w:pStyle w:val="Heading4"/>
        <w:numPr>
          <w:ilvl w:val="3"/>
          <w:numId w:val="45"/>
        </w:numPr>
      </w:pPr>
      <w:r w:rsidRPr="00EA0DC7">
        <w:rPr>
          <w:rStyle w:val="Heading4Char"/>
          <w:i/>
          <w:iCs/>
        </w:rPr>
        <w:t>3.2.3.1 Primary outcome measure</w:t>
      </w:r>
    </w:p>
    <w:p w14:paraId="15C57EBA"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 xml:space="preserve">Primary outcome measures were identified for each study. The primary outcome measure was the measure that directly related to supervisee or patient outcome. Where a study had more than one measure relating to outcome, the primary outcome measure was the one that the paper gave the greatest focus. Regarding patient outcomes, such measures were symptom improvement or working alliance enhancement. Supervisee outcome measures were more varied – measures of skill acquisition, reflection, self-awareness, self-efficacy, competence, and adherence were all used. Due to the limited number of studies, they could not be successfully grouped by outcome measure. Therefore, general patient and supervisee outcomes were the focus of the meta-analyses. </w:t>
      </w:r>
    </w:p>
    <w:p w14:paraId="549B5141" w14:textId="77777777" w:rsidR="00144D1E" w:rsidRPr="00EA0DC7" w:rsidRDefault="00144D1E" w:rsidP="00144D1E">
      <w:pPr>
        <w:pStyle w:val="Heading4"/>
        <w:numPr>
          <w:ilvl w:val="3"/>
          <w:numId w:val="45"/>
        </w:numPr>
      </w:pPr>
      <w:r w:rsidRPr="00EA0DC7">
        <w:rPr>
          <w:rStyle w:val="Heading4Char"/>
          <w:i/>
          <w:iCs/>
        </w:rPr>
        <w:t>3.2.3.2 Effect size calculations</w:t>
      </w:r>
      <w:r w:rsidRPr="00EA0DC7">
        <w:t xml:space="preserve"> </w:t>
      </w:r>
    </w:p>
    <w:p w14:paraId="6589007B" w14:textId="0E9B1013" w:rsidR="00144D1E" w:rsidRPr="00EA0DC7" w:rsidRDefault="000A4331" w:rsidP="00144D1E">
      <w:pPr>
        <w:spacing w:after="160"/>
        <w:ind w:firstLine="720"/>
        <w:rPr>
          <w:rFonts w:eastAsia="Calibri" w:cs="Arial"/>
          <w:szCs w:val="24"/>
          <w:lang w:eastAsia="en-US"/>
        </w:rPr>
      </w:pPr>
      <w:r>
        <w:rPr>
          <w:rFonts w:eastAsia="Calibri" w:cs="Arial"/>
          <w:szCs w:val="24"/>
          <w:lang w:eastAsia="en-US"/>
        </w:rPr>
        <w:t>Paired e</w:t>
      </w:r>
      <w:r w:rsidR="00144D1E" w:rsidRPr="00EA0DC7">
        <w:rPr>
          <w:rFonts w:eastAsia="Calibri" w:cs="Arial"/>
          <w:szCs w:val="24"/>
          <w:lang w:eastAsia="en-US"/>
        </w:rPr>
        <w:t xml:space="preserve">ffect sizes were calculated </w:t>
      </w:r>
      <w:r>
        <w:rPr>
          <w:rFonts w:eastAsia="Calibri" w:cs="Arial"/>
          <w:szCs w:val="24"/>
          <w:lang w:eastAsia="en-US"/>
        </w:rPr>
        <w:t xml:space="preserve">using the scores for pre- and post- intervention </w:t>
      </w:r>
      <w:r w:rsidR="00144D1E" w:rsidRPr="00EA0DC7">
        <w:rPr>
          <w:rFonts w:eastAsia="Calibri" w:cs="Arial"/>
          <w:szCs w:val="24"/>
          <w:lang w:eastAsia="en-US"/>
        </w:rPr>
        <w:t xml:space="preserve">using Hedges’ </w:t>
      </w:r>
      <w:r w:rsidR="00144D1E" w:rsidRPr="00EA0DC7">
        <w:rPr>
          <w:rFonts w:eastAsia="Calibri" w:cs="Arial"/>
          <w:i/>
          <w:szCs w:val="24"/>
          <w:lang w:eastAsia="en-US"/>
        </w:rPr>
        <w:t xml:space="preserve">g </w:t>
      </w:r>
      <w:r w:rsidR="004C5CC7">
        <w:rPr>
          <w:rFonts w:eastAsia="Calibri" w:cs="Arial"/>
          <w:szCs w:val="24"/>
          <w:lang w:eastAsia="en-US"/>
        </w:rPr>
        <w:t>and its 95% confidence interval.</w:t>
      </w:r>
      <w:r>
        <w:rPr>
          <w:rFonts w:eastAsia="Calibri" w:cs="Arial"/>
          <w:szCs w:val="24"/>
          <w:lang w:eastAsia="en-US"/>
        </w:rPr>
        <w:t xml:space="preserve"> Hedges’ </w:t>
      </w:r>
      <w:r w:rsidRPr="0060127C">
        <w:rPr>
          <w:rFonts w:eastAsia="Calibri" w:cs="Arial"/>
          <w:i/>
          <w:szCs w:val="24"/>
          <w:lang w:eastAsia="en-US"/>
        </w:rPr>
        <w:t>g</w:t>
      </w:r>
      <w:r w:rsidR="0060127C">
        <w:rPr>
          <w:rFonts w:eastAsia="Calibri" w:cs="Arial"/>
          <w:i/>
          <w:szCs w:val="24"/>
          <w:lang w:eastAsia="en-US"/>
        </w:rPr>
        <w:t xml:space="preserve"> </w:t>
      </w:r>
      <w:r>
        <w:rPr>
          <w:rFonts w:eastAsia="Calibri" w:cs="Arial"/>
          <w:szCs w:val="24"/>
          <w:lang w:eastAsia="en-US"/>
        </w:rPr>
        <w:t xml:space="preserve">was used because it </w:t>
      </w:r>
      <w:r w:rsidR="00144D1E" w:rsidRPr="00EA0DC7">
        <w:rPr>
          <w:rFonts w:eastAsia="Calibri" w:cs="Arial"/>
          <w:szCs w:val="24"/>
          <w:lang w:eastAsia="en-US"/>
        </w:rPr>
        <w:t xml:space="preserve">takes into account bias from small sample sizes. Effect size </w:t>
      </w:r>
      <w:r w:rsidR="00144D1E" w:rsidRPr="00EA0DC7">
        <w:rPr>
          <w:rFonts w:eastAsia="Calibri" w:cs="Arial"/>
          <w:szCs w:val="24"/>
          <w:lang w:eastAsia="en-US"/>
        </w:rPr>
        <w:lastRenderedPageBreak/>
        <w:t xml:space="preserve">magnitudes were reported according to Cohen’s (1969) guidelines (0.2 = small effect size; 0.5 = medium; 0.8 = large). </w:t>
      </w:r>
    </w:p>
    <w:p w14:paraId="53E44EAA"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To calculate the pre-post effect sizes for each study, a pre-post correlation was required. An average correlation</w:t>
      </w:r>
      <w:r w:rsidRPr="00EA0DC7">
        <w:rPr>
          <w:rFonts w:eastAsia="Calibri" w:cs="Arial"/>
          <w:i/>
          <w:szCs w:val="24"/>
          <w:lang w:eastAsia="en-US"/>
        </w:rPr>
        <w:t xml:space="preserve"> </w:t>
      </w:r>
      <w:r w:rsidRPr="00EA0DC7">
        <w:rPr>
          <w:rFonts w:eastAsia="Calibri" w:cs="Arial"/>
          <w:szCs w:val="24"/>
          <w:lang w:eastAsia="en-US"/>
        </w:rPr>
        <w:t xml:space="preserve">value was calculated from the studies that provided this information, and this value was used for the studies that did not provide one. A sensitivity analysis was carried out to ensure that varying the pre-post correlation value did not substantially change the effect size </w:t>
      </w:r>
      <w:r w:rsidRPr="00EA0DC7">
        <w:rPr>
          <w:rFonts w:cs="Arial"/>
          <w:szCs w:val="24"/>
        </w:rPr>
        <w:t>(</w:t>
      </w:r>
      <w:r w:rsidRPr="00EA0DC7">
        <w:rPr>
          <w:rFonts w:cs="Arial"/>
          <w:szCs w:val="24"/>
          <w:shd w:val="clear" w:color="auto" w:fill="FFFFFF"/>
        </w:rPr>
        <w:t xml:space="preserve">Borenstein, Hedges, Higgins &amp; Rothstein, 2009; </w:t>
      </w:r>
      <w:r w:rsidRPr="00EA0DC7">
        <w:rPr>
          <w:rFonts w:cs="Arial"/>
          <w:szCs w:val="24"/>
        </w:rPr>
        <w:t>The Cochrane Collaboration, 2011).</w:t>
      </w:r>
    </w:p>
    <w:p w14:paraId="78AAC3BE"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 xml:space="preserve">For studies that investigated supervision outcomes for both supervisees and patients, two separate effect sizes were calculated. Where studies investigated more than one type of supervision, multiple effect sizes were calculated along with a mean for the study. Where studies had a control condition, the difference between the control and experimental group effect sizes was calculated for the overall effect size of the study. </w:t>
      </w:r>
    </w:p>
    <w:p w14:paraId="4A24571E" w14:textId="780DC8CA" w:rsidR="00144D1E" w:rsidRPr="00EA0DC7" w:rsidRDefault="00144D1E" w:rsidP="00144D1E">
      <w:pPr>
        <w:spacing w:after="160"/>
        <w:ind w:firstLine="720"/>
        <w:rPr>
          <w:rFonts w:eastAsia="Calibri" w:cs="Arial"/>
          <w:szCs w:val="24"/>
          <w:lang w:eastAsia="en-US"/>
        </w:rPr>
      </w:pPr>
      <w:commentRangeStart w:id="107"/>
      <w:r>
        <w:rPr>
          <w:rFonts w:eastAsia="Calibri" w:cs="Arial"/>
          <w:szCs w:val="24"/>
          <w:lang w:eastAsia="en-US"/>
        </w:rPr>
        <w:t>As</w:t>
      </w:r>
      <w:r w:rsidR="00B151B7">
        <w:rPr>
          <w:rFonts w:eastAsia="Calibri" w:cs="Arial"/>
          <w:szCs w:val="24"/>
          <w:lang w:eastAsia="en-US"/>
        </w:rPr>
        <w:t xml:space="preserve"> few studies were identified in the </w:t>
      </w:r>
      <w:r>
        <w:rPr>
          <w:rFonts w:eastAsia="Calibri" w:cs="Arial"/>
          <w:szCs w:val="24"/>
          <w:lang w:eastAsia="en-US"/>
        </w:rPr>
        <w:t xml:space="preserve">literature search, in order to </w:t>
      </w:r>
      <w:r w:rsidR="00724F44">
        <w:rPr>
          <w:rFonts w:eastAsia="Calibri" w:cs="Arial"/>
          <w:szCs w:val="24"/>
          <w:lang w:eastAsia="en-US"/>
        </w:rPr>
        <w:t>use</w:t>
      </w:r>
      <w:r>
        <w:rPr>
          <w:rFonts w:eastAsia="Calibri" w:cs="Arial"/>
          <w:szCs w:val="24"/>
          <w:lang w:eastAsia="en-US"/>
        </w:rPr>
        <w:t xml:space="preserve"> </w:t>
      </w:r>
      <w:r w:rsidR="00B151B7">
        <w:rPr>
          <w:rFonts w:eastAsia="Calibri" w:cs="Arial"/>
          <w:szCs w:val="24"/>
          <w:lang w:eastAsia="en-US"/>
        </w:rPr>
        <w:t>as much of the available</w:t>
      </w:r>
      <w:r w:rsidR="00724F44">
        <w:rPr>
          <w:rFonts w:eastAsia="Calibri" w:cs="Arial"/>
          <w:szCs w:val="24"/>
          <w:lang w:eastAsia="en-US"/>
        </w:rPr>
        <w:t xml:space="preserve"> data </w:t>
      </w:r>
      <w:r w:rsidR="00D71BC9">
        <w:rPr>
          <w:rFonts w:eastAsia="Calibri" w:cs="Arial"/>
          <w:szCs w:val="24"/>
          <w:lang w:eastAsia="en-US"/>
        </w:rPr>
        <w:t xml:space="preserve">as possible </w:t>
      </w:r>
      <w:r w:rsidR="00724F44">
        <w:rPr>
          <w:rFonts w:eastAsia="Calibri" w:cs="Arial"/>
          <w:szCs w:val="24"/>
          <w:lang w:eastAsia="en-US"/>
        </w:rPr>
        <w:t xml:space="preserve">and </w:t>
      </w:r>
      <w:r w:rsidR="00D71BC9">
        <w:rPr>
          <w:rFonts w:eastAsia="Calibri" w:cs="Arial"/>
          <w:szCs w:val="24"/>
          <w:lang w:eastAsia="en-US"/>
        </w:rPr>
        <w:t xml:space="preserve">to </w:t>
      </w:r>
      <w:r w:rsidR="00724F44">
        <w:rPr>
          <w:rFonts w:eastAsia="Calibri" w:cs="Arial"/>
          <w:szCs w:val="24"/>
          <w:lang w:eastAsia="en-US"/>
        </w:rPr>
        <w:t>get the most comprehensive picture of supervision outcomes</w:t>
      </w:r>
      <w:r>
        <w:rPr>
          <w:rFonts w:eastAsia="Calibri" w:cs="Arial"/>
          <w:szCs w:val="24"/>
          <w:lang w:eastAsia="en-US"/>
        </w:rPr>
        <w:t xml:space="preserve">, </w:t>
      </w:r>
      <w:r w:rsidR="00B151B7">
        <w:rPr>
          <w:rFonts w:eastAsia="Calibri" w:cs="Arial"/>
          <w:szCs w:val="24"/>
          <w:lang w:eastAsia="en-US"/>
        </w:rPr>
        <w:t>uncontrolled studies were included in the</w:t>
      </w:r>
      <w:r>
        <w:rPr>
          <w:rFonts w:eastAsia="Calibri" w:cs="Arial"/>
          <w:szCs w:val="24"/>
          <w:lang w:eastAsia="en-US"/>
        </w:rPr>
        <w:t xml:space="preserve"> meta-analysis</w:t>
      </w:r>
      <w:r w:rsidR="00B151B7">
        <w:rPr>
          <w:rFonts w:eastAsia="Calibri" w:cs="Arial"/>
          <w:szCs w:val="24"/>
          <w:lang w:eastAsia="en-US"/>
        </w:rPr>
        <w:t xml:space="preserve"> along with controlled studies</w:t>
      </w:r>
      <w:r>
        <w:rPr>
          <w:rFonts w:eastAsia="Calibri" w:cs="Arial"/>
          <w:szCs w:val="24"/>
          <w:lang w:eastAsia="en-US"/>
        </w:rPr>
        <w:t xml:space="preserve">. </w:t>
      </w:r>
      <w:r w:rsidR="00B151B7">
        <w:rPr>
          <w:rFonts w:eastAsia="Calibri" w:cs="Arial"/>
          <w:szCs w:val="24"/>
          <w:lang w:eastAsia="en-US"/>
        </w:rPr>
        <w:t>M</w:t>
      </w:r>
      <w:r>
        <w:rPr>
          <w:rFonts w:eastAsia="Calibri" w:cs="Arial"/>
          <w:szCs w:val="24"/>
          <w:lang w:eastAsia="en-US"/>
        </w:rPr>
        <w:t xml:space="preserve">ethodology outlined by </w:t>
      </w:r>
      <w:r w:rsidRPr="00EA0DC7">
        <w:rPr>
          <w:rFonts w:eastAsia="Calibri" w:cs="Arial"/>
          <w:szCs w:val="24"/>
          <w:lang w:eastAsia="en-US"/>
        </w:rPr>
        <w:t>Hunter, J</w:t>
      </w:r>
      <w:r>
        <w:rPr>
          <w:rFonts w:eastAsia="Calibri" w:cs="Arial"/>
          <w:szCs w:val="24"/>
          <w:lang w:eastAsia="en-US"/>
        </w:rPr>
        <w:t>ensen and Rodgers (</w:t>
      </w:r>
      <w:r w:rsidRPr="00EA0DC7">
        <w:rPr>
          <w:rFonts w:eastAsia="Calibri" w:cs="Arial"/>
          <w:szCs w:val="24"/>
          <w:lang w:eastAsia="en-US"/>
        </w:rPr>
        <w:t>2014)</w:t>
      </w:r>
      <w:r>
        <w:rPr>
          <w:rFonts w:eastAsia="Calibri" w:cs="Arial"/>
          <w:szCs w:val="24"/>
          <w:lang w:eastAsia="en-US"/>
        </w:rPr>
        <w:t xml:space="preserve"> was followed</w:t>
      </w:r>
      <w:r w:rsidR="00B151B7">
        <w:rPr>
          <w:rFonts w:eastAsia="Calibri" w:cs="Arial"/>
          <w:szCs w:val="24"/>
          <w:lang w:eastAsia="en-US"/>
        </w:rPr>
        <w:t xml:space="preserve"> when combining the two study designs in the meta-analysis</w:t>
      </w:r>
      <w:r>
        <w:rPr>
          <w:rFonts w:eastAsia="Calibri" w:cs="Arial"/>
          <w:szCs w:val="24"/>
          <w:lang w:eastAsia="en-US"/>
        </w:rPr>
        <w:t>. D</w:t>
      </w:r>
      <w:r w:rsidRPr="00EA0DC7">
        <w:rPr>
          <w:rFonts w:eastAsia="Calibri" w:cs="Arial"/>
          <w:szCs w:val="24"/>
          <w:lang w:eastAsia="en-US"/>
        </w:rPr>
        <w:t>ata from</w:t>
      </w:r>
      <w:r>
        <w:rPr>
          <w:rFonts w:eastAsia="Calibri" w:cs="Arial"/>
          <w:szCs w:val="24"/>
          <w:lang w:eastAsia="en-US"/>
        </w:rPr>
        <w:t xml:space="preserve"> those studies without a control group w</w:t>
      </w:r>
      <w:r w:rsidR="0030093C">
        <w:rPr>
          <w:rFonts w:eastAsia="Calibri" w:cs="Arial"/>
          <w:szCs w:val="24"/>
          <w:lang w:eastAsia="en-US"/>
        </w:rPr>
        <w:t>ere</w:t>
      </w:r>
      <w:r w:rsidRPr="00EA0DC7">
        <w:rPr>
          <w:rFonts w:eastAsia="Calibri" w:cs="Arial"/>
          <w:szCs w:val="24"/>
          <w:lang w:eastAsia="en-US"/>
        </w:rPr>
        <w:t xml:space="preserve"> adapted in two ways. First, the number of participants was doubled to account for a control condition. Second, the mean effect size of all the control groups from those studies with controls was calculated. This number was then </w:t>
      </w:r>
      <w:r w:rsidRPr="00EA0DC7">
        <w:rPr>
          <w:rFonts w:eastAsia="Calibri" w:cs="Arial"/>
          <w:szCs w:val="24"/>
          <w:lang w:eastAsia="en-US"/>
        </w:rPr>
        <w:lastRenderedPageBreak/>
        <w:t xml:space="preserve">deducted from the effect size calculated for each study without a control group. </w:t>
      </w:r>
      <w:r>
        <w:rPr>
          <w:rFonts w:eastAsia="Calibri" w:cs="Arial"/>
          <w:szCs w:val="24"/>
          <w:lang w:eastAsia="en-US"/>
        </w:rPr>
        <w:t>This methodology from Hunter et al. (2014) has been used previously</w:t>
      </w:r>
      <w:r w:rsidR="0030093C">
        <w:rPr>
          <w:rFonts w:eastAsia="Calibri" w:cs="Arial"/>
          <w:szCs w:val="24"/>
          <w:lang w:eastAsia="en-US"/>
        </w:rPr>
        <w:t>,</w:t>
      </w:r>
      <w:r>
        <w:rPr>
          <w:rFonts w:eastAsia="Calibri" w:cs="Arial"/>
          <w:szCs w:val="24"/>
          <w:lang w:eastAsia="en-US"/>
        </w:rPr>
        <w:t xml:space="preserve"> both within the field of psychology (e.g., Salekin, 2002) and elsewhere (e.g., Addy et al., 2016).</w:t>
      </w:r>
      <w:commentRangeEnd w:id="107"/>
      <w:r w:rsidR="004C5CC7">
        <w:rPr>
          <w:rStyle w:val="CommentReference"/>
          <w:rFonts w:eastAsiaTheme="minorHAnsi"/>
          <w:lang w:eastAsia="en-US"/>
        </w:rPr>
        <w:commentReference w:id="107"/>
      </w:r>
    </w:p>
    <w:p w14:paraId="6F2F06EB" w14:textId="77777777" w:rsidR="00144D1E" w:rsidRPr="00EA0DC7" w:rsidRDefault="00144D1E" w:rsidP="00144D1E">
      <w:pPr>
        <w:pStyle w:val="Heading4"/>
        <w:numPr>
          <w:ilvl w:val="3"/>
          <w:numId w:val="45"/>
        </w:numPr>
        <w:rPr>
          <w:rStyle w:val="Heading4Char"/>
          <w:bCs/>
          <w:i/>
          <w:iCs/>
        </w:rPr>
      </w:pPr>
      <w:r w:rsidRPr="00EA0DC7">
        <w:rPr>
          <w:rStyle w:val="Heading4Char"/>
          <w:i/>
          <w:iCs/>
        </w:rPr>
        <w:t>3.2.3.3 Quantitative data syntheses and statistical calculations</w:t>
      </w:r>
    </w:p>
    <w:p w14:paraId="7A294A39" w14:textId="66BB27FC" w:rsidR="00144D1E" w:rsidRPr="003F4E71" w:rsidRDefault="00144D1E" w:rsidP="00144D1E">
      <w:pPr>
        <w:spacing w:after="160"/>
        <w:ind w:firstLine="720"/>
        <w:rPr>
          <w:rFonts w:eastAsia="Calibri" w:cs="Arial"/>
          <w:szCs w:val="24"/>
          <w:lang w:eastAsia="en-US"/>
        </w:rPr>
      </w:pPr>
      <w:r w:rsidRPr="00EA0DC7">
        <w:rPr>
          <w:rFonts w:eastAsia="Calibri" w:cs="Arial"/>
          <w:szCs w:val="24"/>
          <w:lang w:eastAsia="en-US"/>
        </w:rPr>
        <w:t>Meta-essentials workbooks were used to carry out statistical calculations and generate plots (Suurmond, van Rhee &amp; Hak, 2017).</w:t>
      </w:r>
      <w:r w:rsidRPr="00EA0DC7">
        <w:rPr>
          <w:rFonts w:eastAsia="Calibri" w:cs="Arial"/>
          <w:b/>
          <w:szCs w:val="24"/>
          <w:lang w:eastAsia="en-US"/>
        </w:rPr>
        <w:t xml:space="preserve"> </w:t>
      </w:r>
      <w:commentRangeStart w:id="108"/>
      <w:r w:rsidRPr="001B3690">
        <w:rPr>
          <w:rFonts w:eastAsia="Calibri" w:cs="Arial"/>
          <w:szCs w:val="24"/>
          <w:lang w:eastAsia="en-US"/>
        </w:rPr>
        <w:t xml:space="preserve">Effect size </w:t>
      </w:r>
      <w:r w:rsidRPr="003F4E71">
        <w:rPr>
          <w:rFonts w:eastAsia="Calibri" w:cs="Arial"/>
          <w:szCs w:val="24"/>
          <w:lang w:eastAsia="en-US"/>
        </w:rPr>
        <w:t xml:space="preserve">calculations </w:t>
      </w:r>
      <w:r>
        <w:rPr>
          <w:rFonts w:eastAsia="Calibri" w:cs="Arial"/>
          <w:szCs w:val="24"/>
          <w:lang w:eastAsia="en-US"/>
        </w:rPr>
        <w:t xml:space="preserve">for each study </w:t>
      </w:r>
      <w:r w:rsidRPr="003F4E71">
        <w:rPr>
          <w:rFonts w:eastAsia="Calibri" w:cs="Arial"/>
          <w:szCs w:val="24"/>
          <w:lang w:eastAsia="en-US"/>
        </w:rPr>
        <w:t>were checked by hand</w:t>
      </w:r>
      <w:r>
        <w:rPr>
          <w:rFonts w:eastAsia="Calibri" w:cs="Arial"/>
          <w:szCs w:val="24"/>
          <w:lang w:eastAsia="en-US"/>
        </w:rPr>
        <w:t xml:space="preserve"> using formula</w:t>
      </w:r>
      <w:r w:rsidR="000A4331">
        <w:rPr>
          <w:rFonts w:eastAsia="Calibri" w:cs="Arial"/>
          <w:szCs w:val="24"/>
          <w:lang w:eastAsia="en-US"/>
        </w:rPr>
        <w:t>e</w:t>
      </w:r>
      <w:r>
        <w:rPr>
          <w:rFonts w:eastAsia="Calibri" w:cs="Arial"/>
          <w:szCs w:val="24"/>
          <w:lang w:eastAsia="en-US"/>
        </w:rPr>
        <w:t xml:space="preserve"> and guidance from Borenstein et al. (2009), and Morris and DeShon (2002).</w:t>
      </w:r>
      <w:commentRangeEnd w:id="108"/>
      <w:r w:rsidR="004C5CC7">
        <w:rPr>
          <w:rStyle w:val="CommentReference"/>
          <w:rFonts w:eastAsiaTheme="minorHAnsi"/>
          <w:lang w:eastAsia="en-US"/>
        </w:rPr>
        <w:commentReference w:id="108"/>
      </w:r>
    </w:p>
    <w:p w14:paraId="1D11596E"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 xml:space="preserve">Due to the high heterogeneity between studies, random effects models were used for all analyses. Heterogeneity between the studies was calculated using Cochrane’s </w:t>
      </w:r>
      <w:r w:rsidRPr="00EA0DC7">
        <w:rPr>
          <w:rFonts w:eastAsia="Calibri" w:cs="Arial"/>
          <w:i/>
          <w:szCs w:val="24"/>
          <w:lang w:eastAsia="en-US"/>
        </w:rPr>
        <w:t>Q</w:t>
      </w:r>
      <w:r w:rsidRPr="00EA0DC7">
        <w:rPr>
          <w:rFonts w:eastAsia="Calibri" w:cs="Arial"/>
          <w:szCs w:val="24"/>
          <w:lang w:eastAsia="en-US"/>
        </w:rPr>
        <w:t xml:space="preserve"> and</w:t>
      </w:r>
      <w:r w:rsidRPr="00EA0DC7">
        <w:rPr>
          <w:rFonts w:eastAsia="Calibri" w:cs="Arial"/>
          <w:i/>
          <w:szCs w:val="24"/>
          <w:lang w:eastAsia="en-US"/>
        </w:rPr>
        <w:t xml:space="preserve"> I</w:t>
      </w:r>
      <w:r w:rsidRPr="00EA0DC7">
        <w:rPr>
          <w:rFonts w:eastAsia="Calibri" w:cs="Arial"/>
          <w:i/>
          <w:szCs w:val="24"/>
          <w:vertAlign w:val="superscript"/>
          <w:lang w:eastAsia="en-US"/>
        </w:rPr>
        <w:t>2</w:t>
      </w:r>
      <w:r w:rsidRPr="00EA0DC7">
        <w:rPr>
          <w:rFonts w:eastAsia="Calibri" w:cs="Arial"/>
          <w:i/>
          <w:szCs w:val="24"/>
          <w:lang w:eastAsia="en-US"/>
        </w:rPr>
        <w:t xml:space="preserve"> </w:t>
      </w:r>
      <w:r w:rsidRPr="00EA0DC7">
        <w:rPr>
          <w:rFonts w:eastAsia="Calibri" w:cs="Arial"/>
          <w:szCs w:val="24"/>
          <w:lang w:eastAsia="en-US"/>
        </w:rPr>
        <w:t>statistics. To examine whether effect sizes varied as a function of study characteristics, moderator analyses were carried out. For categorical variables (study design, country in which the study was conducted, supervisee population, and patient population), separate effect sizes were calculated for each group in a subgroup analysis. For continuous variables (year of publication, QI score, supervision frequency, and study length), regression analyses were carried out. If a study did not clearly state a specific study characteristic, it was omitted from that particular analysis.</w:t>
      </w:r>
    </w:p>
    <w:p w14:paraId="3DA09A04" w14:textId="77777777" w:rsidR="00144D1E" w:rsidRPr="00EA0DC7" w:rsidRDefault="00144D1E" w:rsidP="00144D1E">
      <w:pPr>
        <w:pStyle w:val="Heading4"/>
        <w:numPr>
          <w:ilvl w:val="3"/>
          <w:numId w:val="45"/>
        </w:numPr>
        <w:rPr>
          <w:lang w:eastAsia="en-US"/>
        </w:rPr>
      </w:pPr>
      <w:r w:rsidRPr="00EA0DC7">
        <w:rPr>
          <w:lang w:eastAsia="en-US"/>
        </w:rPr>
        <w:t>3.2.3.1 Publication bias</w:t>
      </w:r>
    </w:p>
    <w:p w14:paraId="5541691D" w14:textId="77777777" w:rsidR="00144D1E" w:rsidRPr="00EA0DC7" w:rsidRDefault="00144D1E" w:rsidP="00144D1E">
      <w:pPr>
        <w:spacing w:after="160"/>
        <w:ind w:firstLine="720"/>
      </w:pPr>
      <w:r w:rsidRPr="00EA0DC7">
        <w:rPr>
          <w:rFonts w:eastAsia="Calibri" w:cs="Arial"/>
          <w:szCs w:val="24"/>
          <w:lang w:eastAsia="en-US"/>
        </w:rPr>
        <w:t>Where the data were appropriate, publication analyses were examined. These were calculated using funnel plots with trim-and-fill procedure (Duval &amp; Tweedie, 2000) and Egger regressions.</w:t>
      </w:r>
    </w:p>
    <w:p w14:paraId="496A5952" w14:textId="77777777" w:rsidR="00144D1E" w:rsidRPr="00EA0DC7" w:rsidRDefault="00144D1E" w:rsidP="002A29D3">
      <w:pPr>
        <w:pStyle w:val="Heading2"/>
        <w:keepNext/>
        <w:numPr>
          <w:ilvl w:val="1"/>
          <w:numId w:val="45"/>
        </w:numPr>
      </w:pPr>
      <w:bookmarkStart w:id="109" w:name="_Toc47039837"/>
      <w:r w:rsidRPr="00EA0DC7">
        <w:lastRenderedPageBreak/>
        <w:t>3.3 Results</w:t>
      </w:r>
      <w:bookmarkEnd w:id="109"/>
    </w:p>
    <w:p w14:paraId="0FF18C30" w14:textId="77777777" w:rsidR="00144D1E" w:rsidRPr="00EA0DC7" w:rsidRDefault="00144D1E" w:rsidP="00144D1E">
      <w:pPr>
        <w:spacing w:after="160"/>
        <w:ind w:firstLine="720"/>
        <w:rPr>
          <w:rFonts w:eastAsia="Calibri" w:cs="Arial"/>
          <w:szCs w:val="24"/>
          <w:lang w:eastAsia="en-US"/>
        </w:rPr>
      </w:pPr>
      <w:r w:rsidRPr="00EA0DC7">
        <w:rPr>
          <w:rFonts w:eastAsia="Calibri" w:cs="Arial"/>
          <w:szCs w:val="24"/>
          <w:lang w:eastAsia="en-US"/>
        </w:rPr>
        <w:t>The first section of the Results provides an overview of the studies that were assessed in this review, including whether the focus of these studies was more on the outcomes of supervisees or those of patients. The impact of supervision on both supervisees and patients is then assessed through meta-analyses. Finally, potential moderators are examined and publication bias is investigated.</w:t>
      </w:r>
    </w:p>
    <w:p w14:paraId="409BC868" w14:textId="77777777" w:rsidR="00144D1E" w:rsidRPr="00EA0DC7" w:rsidRDefault="00144D1E" w:rsidP="00144D1E">
      <w:pPr>
        <w:pStyle w:val="Heading3"/>
        <w:numPr>
          <w:ilvl w:val="2"/>
          <w:numId w:val="45"/>
        </w:numPr>
        <w:rPr>
          <w:lang w:eastAsia="en-US"/>
        </w:rPr>
      </w:pPr>
      <w:r w:rsidRPr="00EA0DC7">
        <w:rPr>
          <w:lang w:eastAsia="en-US"/>
        </w:rPr>
        <w:t>3.3.1 Overview of studies considered</w:t>
      </w:r>
    </w:p>
    <w:p w14:paraId="336415C0" w14:textId="77777777" w:rsidR="00144D1E" w:rsidRPr="00EA0DC7" w:rsidRDefault="00144D1E" w:rsidP="00144D1E">
      <w:pPr>
        <w:widowControl w:val="0"/>
        <w:spacing w:after="160"/>
        <w:ind w:firstLine="720"/>
        <w:rPr>
          <w:rFonts w:eastAsia="Calibri" w:cs="Arial"/>
          <w:szCs w:val="24"/>
          <w:lang w:eastAsia="en-US"/>
        </w:rPr>
      </w:pPr>
      <w:r w:rsidRPr="00EA0DC7">
        <w:rPr>
          <w:rFonts w:eastAsia="Calibri" w:cs="Arial"/>
          <w:szCs w:val="24"/>
          <w:lang w:eastAsia="en-US"/>
        </w:rPr>
        <w:t>Across the three database searches, 3137 records were identified (excluding duplicates). Screening for eligibility resulted in 15 articles being identified as appropriate for this review (see PRISMA diagram in Figure 3.1). Key study characteristics are outlined in Tables 3.1 and 3.2. Addressing hypothesis one, four of the 15 articles investigated the effect of supervision on patient outcomes, seven investigated the effect of supervision on supervisee outcomes, and four investigated the effect of supervision on both patient and supervisee outcomes. Thus, as hypothesised, there was a greater emphasis on supervision’s impact on supervisee outcomes (11 papers) than on patient outcomes (eight papers).</w:t>
      </w:r>
    </w:p>
    <w:p w14:paraId="21A323AB" w14:textId="77777777" w:rsidR="00144D1E" w:rsidRPr="00EA0DC7" w:rsidRDefault="00144D1E" w:rsidP="00144D1E">
      <w:pPr>
        <w:spacing w:after="160" w:line="259" w:lineRule="auto"/>
        <w:jc w:val="left"/>
        <w:rPr>
          <w:rFonts w:ascii="Calibri" w:eastAsia="Calibri" w:hAnsi="Calibri" w:cs="Times New Roman"/>
          <w:sz w:val="22"/>
          <w:lang w:eastAsia="en-US"/>
        </w:rPr>
      </w:pPr>
      <w:r w:rsidRPr="00EA0DC7">
        <w:rPr>
          <w:rFonts w:ascii="Calibri" w:eastAsia="Calibri" w:hAnsi="Calibri" w:cs="Times New Roman"/>
          <w:noProof/>
          <w:sz w:val="22"/>
        </w:rPr>
        <w:lastRenderedPageBreak/>
        <mc:AlternateContent>
          <mc:Choice Requires="wpg">
            <w:drawing>
              <wp:inline distT="0" distB="0" distL="0" distR="0" wp14:anchorId="3DD314B7" wp14:editId="65CE854C">
                <wp:extent cx="5010150" cy="6673933"/>
                <wp:effectExtent l="0" t="0" r="19050" b="1270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0150" cy="6673933"/>
                          <a:chOff x="0" y="-11"/>
                          <a:chExt cx="7385931" cy="6902824"/>
                        </a:xfrm>
                      </wpg:grpSpPr>
                      <wps:wsp>
                        <wps:cNvPr id="231" name="Text Box 2"/>
                        <wps:cNvSpPr txBox="1">
                          <a:spLocks noChangeArrowheads="1"/>
                        </wps:cNvSpPr>
                        <wps:spPr bwMode="auto">
                          <a:xfrm>
                            <a:off x="4146697" y="3315744"/>
                            <a:ext cx="3239234" cy="3023970"/>
                          </a:xfrm>
                          <a:prstGeom prst="rect">
                            <a:avLst/>
                          </a:prstGeom>
                          <a:solidFill>
                            <a:srgbClr val="FFFFFF"/>
                          </a:solidFill>
                          <a:ln w="9525">
                            <a:solidFill>
                              <a:srgbClr val="000000"/>
                            </a:solidFill>
                            <a:miter lim="800000"/>
                            <a:headEnd/>
                            <a:tailEnd/>
                          </a:ln>
                        </wps:spPr>
                        <wps:txbx>
                          <w:txbxContent>
                            <w:p w14:paraId="030EDE6E" w14:textId="77777777" w:rsidR="006407EE" w:rsidRPr="00A2105F" w:rsidRDefault="006407EE" w:rsidP="00144D1E">
                              <w:pPr>
                                <w:spacing w:line="240" w:lineRule="auto"/>
                                <w:jc w:val="center"/>
                                <w:rPr>
                                  <w:rFonts w:cs="Arial"/>
                                  <w:sz w:val="20"/>
                                  <w:szCs w:val="20"/>
                                </w:rPr>
                              </w:pPr>
                              <w:r w:rsidRPr="00A2105F">
                                <w:rPr>
                                  <w:rFonts w:cs="Arial"/>
                                  <w:sz w:val="20"/>
                                  <w:szCs w:val="20"/>
                                </w:rPr>
                                <w:t>Full text articles excluded (</w:t>
                              </w:r>
                              <w:r w:rsidRPr="00365ED4">
                                <w:rPr>
                                  <w:rFonts w:cs="Arial"/>
                                  <w:i/>
                                  <w:sz w:val="20"/>
                                  <w:szCs w:val="20"/>
                                </w:rPr>
                                <w:t>n</w:t>
                              </w:r>
                              <w:r w:rsidRPr="00A2105F">
                                <w:rPr>
                                  <w:rFonts w:cs="Arial"/>
                                  <w:sz w:val="20"/>
                                  <w:szCs w:val="20"/>
                                </w:rPr>
                                <w:t xml:space="preserve"> = 1</w:t>
                              </w:r>
                              <w:r>
                                <w:rPr>
                                  <w:rFonts w:cs="Arial"/>
                                  <w:sz w:val="20"/>
                                  <w:szCs w:val="20"/>
                                </w:rPr>
                                <w:t>25</w:t>
                              </w:r>
                              <w:r w:rsidRPr="00A2105F">
                                <w:rPr>
                                  <w:rFonts w:cs="Arial"/>
                                  <w:sz w:val="20"/>
                                  <w:szCs w:val="20"/>
                                </w:rPr>
                                <w:t>)</w:t>
                              </w:r>
                            </w:p>
                            <w:p w14:paraId="6C77DB47"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Did not investigate supervision outcomes (</w:t>
                              </w:r>
                              <w:r w:rsidRPr="00365ED4">
                                <w:rPr>
                                  <w:rFonts w:cs="Arial"/>
                                  <w:i/>
                                  <w:sz w:val="20"/>
                                  <w:szCs w:val="20"/>
                                </w:rPr>
                                <w:t>n</w:t>
                              </w:r>
                              <w:r w:rsidRPr="00A2105F">
                                <w:rPr>
                                  <w:rFonts w:cs="Arial"/>
                                  <w:sz w:val="20"/>
                                  <w:szCs w:val="20"/>
                                </w:rPr>
                                <w:t xml:space="preserve"> = 83)</w:t>
                              </w:r>
                            </w:p>
                            <w:p w14:paraId="4D243146"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Qualitative data (</w:t>
                              </w:r>
                              <w:r w:rsidRPr="00365ED4">
                                <w:rPr>
                                  <w:rFonts w:cs="Arial"/>
                                  <w:i/>
                                  <w:sz w:val="20"/>
                                  <w:szCs w:val="20"/>
                                </w:rPr>
                                <w:t>n</w:t>
                              </w:r>
                              <w:r w:rsidRPr="00A2105F">
                                <w:rPr>
                                  <w:rFonts w:cs="Arial"/>
                                  <w:sz w:val="20"/>
                                  <w:szCs w:val="20"/>
                                </w:rPr>
                                <w:t xml:space="preserve"> = 5)</w:t>
                              </w:r>
                            </w:p>
                            <w:p w14:paraId="00832C5D"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supervisor characteristics on supervision outcome (</w:t>
                              </w:r>
                              <w:r w:rsidRPr="00365ED4">
                                <w:rPr>
                                  <w:rFonts w:cs="Arial"/>
                                  <w:i/>
                                  <w:sz w:val="20"/>
                                  <w:szCs w:val="20"/>
                                </w:rPr>
                                <w:t>n</w:t>
                              </w:r>
                              <w:r w:rsidRPr="00A2105F">
                                <w:rPr>
                                  <w:rFonts w:cs="Arial"/>
                                  <w:sz w:val="20"/>
                                  <w:szCs w:val="20"/>
                                </w:rPr>
                                <w:t xml:space="preserve"> = 9)</w:t>
                              </w:r>
                            </w:p>
                            <w:p w14:paraId="4349AEC5"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supervisee characteristics on supervision outcome (</w:t>
                              </w:r>
                              <w:r w:rsidRPr="00365ED4">
                                <w:rPr>
                                  <w:rFonts w:cs="Arial"/>
                                  <w:i/>
                                  <w:sz w:val="20"/>
                                  <w:szCs w:val="20"/>
                                </w:rPr>
                                <w:t>n</w:t>
                              </w:r>
                              <w:r w:rsidRPr="00A2105F">
                                <w:rPr>
                                  <w:rFonts w:cs="Arial"/>
                                  <w:sz w:val="20"/>
                                  <w:szCs w:val="20"/>
                                </w:rPr>
                                <w:t xml:space="preserve"> = 1)</w:t>
                              </w:r>
                            </w:p>
                            <w:p w14:paraId="7CC2A43D"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specific supervision events on supervision outcome (</w:t>
                              </w:r>
                              <w:r w:rsidRPr="00365ED4">
                                <w:rPr>
                                  <w:rFonts w:cs="Arial"/>
                                  <w:i/>
                                  <w:sz w:val="20"/>
                                  <w:szCs w:val="20"/>
                                </w:rPr>
                                <w:t>n</w:t>
                              </w:r>
                              <w:r w:rsidRPr="00A2105F">
                                <w:rPr>
                                  <w:rFonts w:cs="Arial"/>
                                  <w:sz w:val="20"/>
                                  <w:szCs w:val="20"/>
                                </w:rPr>
                                <w:t xml:space="preserve"> = 8)</w:t>
                              </w:r>
                            </w:p>
                            <w:p w14:paraId="5223BA4F"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perception of supervision on supervision outcome (</w:t>
                              </w:r>
                              <w:r w:rsidRPr="00365ED4">
                                <w:rPr>
                                  <w:rFonts w:cs="Arial"/>
                                  <w:i/>
                                  <w:sz w:val="20"/>
                                  <w:szCs w:val="20"/>
                                </w:rPr>
                                <w:t>n</w:t>
                              </w:r>
                              <w:r w:rsidRPr="00A2105F">
                                <w:rPr>
                                  <w:rFonts w:cs="Arial"/>
                                  <w:sz w:val="20"/>
                                  <w:szCs w:val="20"/>
                                </w:rPr>
                                <w:t xml:space="preserve"> = 1)</w:t>
                              </w:r>
                            </w:p>
                            <w:p w14:paraId="3FAF562B" w14:textId="77777777" w:rsidR="006407EE" w:rsidRPr="0020022F" w:rsidRDefault="006407EE" w:rsidP="00144D1E">
                              <w:pPr>
                                <w:numPr>
                                  <w:ilvl w:val="0"/>
                                  <w:numId w:val="8"/>
                                </w:numPr>
                                <w:spacing w:after="160" w:line="240" w:lineRule="auto"/>
                                <w:ind w:left="284" w:hanging="180"/>
                                <w:contextualSpacing/>
                                <w:jc w:val="left"/>
                                <w:rPr>
                                  <w:rFonts w:cs="Arial"/>
                                  <w:sz w:val="20"/>
                                  <w:szCs w:val="20"/>
                                </w:rPr>
                              </w:pPr>
                              <w:r>
                                <w:rPr>
                                  <w:rFonts w:cs="Arial"/>
                                  <w:sz w:val="20"/>
                                  <w:szCs w:val="20"/>
                                </w:rPr>
                                <w:t>Pre-post effect sizes could not be calculated (</w:t>
                              </w:r>
                              <w:r w:rsidRPr="00365ED4">
                                <w:rPr>
                                  <w:rFonts w:cs="Arial"/>
                                  <w:i/>
                                  <w:sz w:val="20"/>
                                  <w:szCs w:val="20"/>
                                </w:rPr>
                                <w:t>n</w:t>
                              </w:r>
                              <w:r>
                                <w:rPr>
                                  <w:rFonts w:cs="Arial"/>
                                  <w:sz w:val="20"/>
                                  <w:szCs w:val="20"/>
                                </w:rPr>
                                <w:t xml:space="preserve"> = 18)</w:t>
                              </w:r>
                            </w:p>
                          </w:txbxContent>
                        </wps:txbx>
                        <wps:bodyPr rot="0" vert="horz" wrap="square" lIns="91440" tIns="45720" rIns="91440" bIns="45720" anchor="t" anchorCtr="0">
                          <a:noAutofit/>
                        </wps:bodyPr>
                      </wps:wsp>
                      <wps:wsp>
                        <wps:cNvPr id="232" name="Text Box 2"/>
                        <wps:cNvSpPr txBox="1">
                          <a:spLocks noChangeArrowheads="1"/>
                        </wps:cNvSpPr>
                        <wps:spPr bwMode="auto">
                          <a:xfrm>
                            <a:off x="1979879" y="1286540"/>
                            <a:ext cx="1897980" cy="650873"/>
                          </a:xfrm>
                          <a:prstGeom prst="rect">
                            <a:avLst/>
                          </a:prstGeom>
                          <a:solidFill>
                            <a:srgbClr val="FFFFFF"/>
                          </a:solidFill>
                          <a:ln w="9525">
                            <a:solidFill>
                              <a:srgbClr val="000000"/>
                            </a:solidFill>
                            <a:miter lim="800000"/>
                            <a:headEnd/>
                            <a:tailEnd/>
                          </a:ln>
                        </wps:spPr>
                        <wps:txbx>
                          <w:txbxContent>
                            <w:p w14:paraId="6D960C94" w14:textId="77777777" w:rsidR="006407EE" w:rsidRPr="00A2105F" w:rsidRDefault="006407EE" w:rsidP="00144D1E">
                              <w:pPr>
                                <w:spacing w:line="240" w:lineRule="auto"/>
                                <w:jc w:val="center"/>
                                <w:rPr>
                                  <w:rFonts w:cs="Arial"/>
                                  <w:sz w:val="20"/>
                                  <w:szCs w:val="20"/>
                                </w:rPr>
                              </w:pPr>
                              <w:r w:rsidRPr="00A2105F">
                                <w:rPr>
                                  <w:rFonts w:cs="Arial"/>
                                  <w:sz w:val="20"/>
                                  <w:szCs w:val="20"/>
                                </w:rPr>
                                <w:t>Records identified</w:t>
                              </w:r>
                            </w:p>
                            <w:p w14:paraId="306D6D6C"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4118)</w:t>
                              </w:r>
                            </w:p>
                          </w:txbxContent>
                        </wps:txbx>
                        <wps:bodyPr rot="0" vert="horz" wrap="square" lIns="91440" tIns="45720" rIns="91440" bIns="45720" anchor="ctr" anchorCtr="0">
                          <a:noAutofit/>
                        </wps:bodyPr>
                      </wps:wsp>
                      <wps:wsp>
                        <wps:cNvPr id="233" name="Text Box 2"/>
                        <wps:cNvSpPr txBox="1">
                          <a:spLocks noChangeArrowheads="1"/>
                        </wps:cNvSpPr>
                        <wps:spPr bwMode="auto">
                          <a:xfrm>
                            <a:off x="2222205" y="-11"/>
                            <a:ext cx="1402535" cy="650873"/>
                          </a:xfrm>
                          <a:prstGeom prst="rect">
                            <a:avLst/>
                          </a:prstGeom>
                          <a:solidFill>
                            <a:srgbClr val="FFFFFF"/>
                          </a:solidFill>
                          <a:ln w="9525">
                            <a:solidFill>
                              <a:srgbClr val="000000"/>
                            </a:solidFill>
                            <a:miter lim="800000"/>
                            <a:headEnd/>
                            <a:tailEnd/>
                          </a:ln>
                        </wps:spPr>
                        <wps:txbx>
                          <w:txbxContent>
                            <w:p w14:paraId="63F41FFD" w14:textId="77777777" w:rsidR="006407EE" w:rsidRPr="00A2105F" w:rsidRDefault="006407EE" w:rsidP="00144D1E">
                              <w:pPr>
                                <w:spacing w:line="240" w:lineRule="auto"/>
                                <w:jc w:val="center"/>
                                <w:rPr>
                                  <w:rFonts w:cs="Arial"/>
                                  <w:sz w:val="20"/>
                                  <w:szCs w:val="20"/>
                                </w:rPr>
                              </w:pPr>
                              <w:r w:rsidRPr="00A2105F">
                                <w:rPr>
                                  <w:rFonts w:cs="Arial"/>
                                  <w:sz w:val="20"/>
                                  <w:szCs w:val="20"/>
                                </w:rPr>
                                <w:t>PubMed</w:t>
                              </w:r>
                            </w:p>
                            <w:p w14:paraId="277C241F"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3470)</w:t>
                              </w:r>
                            </w:p>
                          </w:txbxContent>
                        </wps:txbx>
                        <wps:bodyPr rot="0" vert="horz" wrap="square" lIns="91440" tIns="45720" rIns="91440" bIns="45720" anchor="ctr" anchorCtr="0">
                          <a:noAutofit/>
                        </wps:bodyPr>
                      </wps:wsp>
                      <wps:wsp>
                        <wps:cNvPr id="234" name="Text Box 2"/>
                        <wps:cNvSpPr txBox="1">
                          <a:spLocks noChangeArrowheads="1"/>
                        </wps:cNvSpPr>
                        <wps:spPr bwMode="auto">
                          <a:xfrm>
                            <a:off x="4008475" y="0"/>
                            <a:ext cx="1403806" cy="650873"/>
                          </a:xfrm>
                          <a:prstGeom prst="rect">
                            <a:avLst/>
                          </a:prstGeom>
                          <a:solidFill>
                            <a:srgbClr val="FFFFFF"/>
                          </a:solidFill>
                          <a:ln w="9525">
                            <a:solidFill>
                              <a:srgbClr val="000000"/>
                            </a:solidFill>
                            <a:miter lim="800000"/>
                            <a:headEnd/>
                            <a:tailEnd/>
                          </a:ln>
                        </wps:spPr>
                        <wps:txbx>
                          <w:txbxContent>
                            <w:p w14:paraId="0C43BEC4" w14:textId="77777777" w:rsidR="006407EE" w:rsidRPr="00A2105F" w:rsidRDefault="006407EE" w:rsidP="00144D1E">
                              <w:pPr>
                                <w:spacing w:line="240" w:lineRule="auto"/>
                                <w:jc w:val="center"/>
                                <w:rPr>
                                  <w:rFonts w:cs="Arial"/>
                                  <w:sz w:val="20"/>
                                  <w:szCs w:val="20"/>
                                </w:rPr>
                              </w:pPr>
                              <w:r w:rsidRPr="00A2105F">
                                <w:rPr>
                                  <w:rFonts w:cs="Arial"/>
                                  <w:sz w:val="20"/>
                                  <w:szCs w:val="20"/>
                                </w:rPr>
                                <w:t>PsycINFO</w:t>
                              </w:r>
                            </w:p>
                            <w:p w14:paraId="1DFA2CD6" w14:textId="77777777" w:rsidR="006407EE" w:rsidRPr="00A2105F" w:rsidRDefault="006407EE" w:rsidP="00144D1E">
                              <w:pPr>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346)</w:t>
                              </w:r>
                            </w:p>
                            <w:p w14:paraId="2196DA19" w14:textId="77777777" w:rsidR="006407EE" w:rsidRPr="00A2105F" w:rsidRDefault="006407EE" w:rsidP="00144D1E">
                              <w:pPr>
                                <w:rPr>
                                  <w:rFonts w:cs="Arial"/>
                                  <w:sz w:val="20"/>
                                  <w:szCs w:val="20"/>
                                </w:rPr>
                              </w:pPr>
                            </w:p>
                          </w:txbxContent>
                        </wps:txbx>
                        <wps:bodyPr rot="0" vert="horz" wrap="square" lIns="91440" tIns="45720" rIns="91440" bIns="45720" anchor="ctr" anchorCtr="0">
                          <a:noAutofit/>
                        </wps:bodyPr>
                      </wps:wsp>
                      <wps:wsp>
                        <wps:cNvPr id="235" name="Text Box 2"/>
                        <wps:cNvSpPr txBox="1">
                          <a:spLocks noChangeArrowheads="1"/>
                        </wps:cNvSpPr>
                        <wps:spPr bwMode="auto">
                          <a:xfrm>
                            <a:off x="224667" y="0"/>
                            <a:ext cx="1615075" cy="650873"/>
                          </a:xfrm>
                          <a:prstGeom prst="rect">
                            <a:avLst/>
                          </a:prstGeom>
                          <a:solidFill>
                            <a:srgbClr val="FFFFFF"/>
                          </a:solidFill>
                          <a:ln w="9525">
                            <a:solidFill>
                              <a:srgbClr val="000000"/>
                            </a:solidFill>
                            <a:miter lim="800000"/>
                            <a:headEnd/>
                            <a:tailEnd/>
                          </a:ln>
                        </wps:spPr>
                        <wps:txbx>
                          <w:txbxContent>
                            <w:p w14:paraId="45F1ED8B" w14:textId="77777777" w:rsidR="006407EE" w:rsidRDefault="006407EE" w:rsidP="00144D1E">
                              <w:pPr>
                                <w:spacing w:line="240" w:lineRule="auto"/>
                                <w:jc w:val="center"/>
                                <w:rPr>
                                  <w:rFonts w:cs="Arial"/>
                                  <w:sz w:val="20"/>
                                  <w:szCs w:val="20"/>
                                </w:rPr>
                              </w:pPr>
                              <w:r w:rsidRPr="00A2105F">
                                <w:rPr>
                                  <w:rFonts w:cs="Arial"/>
                                  <w:sz w:val="20"/>
                                  <w:szCs w:val="20"/>
                                </w:rPr>
                                <w:t>Web of Science</w:t>
                              </w:r>
                              <w:r>
                                <w:rPr>
                                  <w:rFonts w:cs="Arial"/>
                                  <w:sz w:val="20"/>
                                  <w:szCs w:val="20"/>
                                </w:rPr>
                                <w:t xml:space="preserve"> </w:t>
                              </w:r>
                            </w:p>
                            <w:p w14:paraId="6D32C503"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302)</w:t>
                              </w:r>
                            </w:p>
                          </w:txbxContent>
                        </wps:txbx>
                        <wps:bodyPr rot="0" vert="horz" wrap="square" lIns="91440" tIns="45720" rIns="91440" bIns="45720" anchor="ctr" anchorCtr="0">
                          <a:noAutofit/>
                        </wps:bodyPr>
                      </wps:wsp>
                      <wps:wsp>
                        <wps:cNvPr id="236" name="Text Box 2"/>
                        <wps:cNvSpPr txBox="1">
                          <a:spLocks noChangeArrowheads="1"/>
                        </wps:cNvSpPr>
                        <wps:spPr bwMode="auto">
                          <a:xfrm>
                            <a:off x="4146697" y="1288712"/>
                            <a:ext cx="2059730" cy="650873"/>
                          </a:xfrm>
                          <a:prstGeom prst="rect">
                            <a:avLst/>
                          </a:prstGeom>
                          <a:solidFill>
                            <a:srgbClr val="FFFFFF"/>
                          </a:solidFill>
                          <a:ln w="9525">
                            <a:solidFill>
                              <a:srgbClr val="000000"/>
                            </a:solidFill>
                            <a:miter lim="800000"/>
                            <a:headEnd/>
                            <a:tailEnd/>
                          </a:ln>
                        </wps:spPr>
                        <wps:txbx>
                          <w:txbxContent>
                            <w:p w14:paraId="1C80BADD" w14:textId="77777777" w:rsidR="006407EE" w:rsidRPr="00A2105F" w:rsidRDefault="006407EE" w:rsidP="00144D1E">
                              <w:pPr>
                                <w:spacing w:line="240" w:lineRule="auto"/>
                                <w:jc w:val="center"/>
                                <w:rPr>
                                  <w:rFonts w:cs="Arial"/>
                                  <w:sz w:val="20"/>
                                  <w:szCs w:val="20"/>
                                </w:rPr>
                              </w:pPr>
                              <w:r w:rsidRPr="00A2105F">
                                <w:rPr>
                                  <w:rFonts w:cs="Arial"/>
                                  <w:sz w:val="20"/>
                                  <w:szCs w:val="20"/>
                                </w:rPr>
                                <w:t>Duplicates removed</w:t>
                              </w:r>
                            </w:p>
                            <w:p w14:paraId="118D79DE"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981)</w:t>
                              </w:r>
                            </w:p>
                          </w:txbxContent>
                        </wps:txbx>
                        <wps:bodyPr rot="0" vert="horz" wrap="square" lIns="91440" tIns="45720" rIns="91440" bIns="45720" anchor="ctr" anchorCtr="0">
                          <a:noAutofit/>
                        </wps:bodyPr>
                      </wps:wsp>
                      <wps:wsp>
                        <wps:cNvPr id="237" name="Text Box 2"/>
                        <wps:cNvSpPr txBox="1">
                          <a:spLocks noChangeArrowheads="1"/>
                        </wps:cNvSpPr>
                        <wps:spPr bwMode="auto">
                          <a:xfrm>
                            <a:off x="4146697" y="2413591"/>
                            <a:ext cx="2705649" cy="650874"/>
                          </a:xfrm>
                          <a:prstGeom prst="rect">
                            <a:avLst/>
                          </a:prstGeom>
                          <a:solidFill>
                            <a:srgbClr val="FFFFFF"/>
                          </a:solidFill>
                          <a:ln w="9525">
                            <a:solidFill>
                              <a:srgbClr val="000000"/>
                            </a:solidFill>
                            <a:miter lim="800000"/>
                            <a:headEnd/>
                            <a:tailEnd/>
                          </a:ln>
                        </wps:spPr>
                        <wps:txbx>
                          <w:txbxContent>
                            <w:p w14:paraId="511FDDB9" w14:textId="77777777" w:rsidR="006407EE" w:rsidRPr="00A2105F" w:rsidRDefault="006407EE" w:rsidP="00144D1E">
                              <w:pPr>
                                <w:spacing w:line="240" w:lineRule="auto"/>
                                <w:jc w:val="center"/>
                                <w:rPr>
                                  <w:rFonts w:cs="Arial"/>
                                  <w:sz w:val="20"/>
                                  <w:szCs w:val="20"/>
                                </w:rPr>
                              </w:pPr>
                              <w:r w:rsidRPr="00A2105F">
                                <w:rPr>
                                  <w:rFonts w:cs="Arial"/>
                                  <w:sz w:val="20"/>
                                  <w:szCs w:val="20"/>
                                </w:rPr>
                                <w:t>Removed based on abstract</w:t>
                              </w:r>
                            </w:p>
                            <w:p w14:paraId="4E89F239"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3029)</w:t>
                              </w:r>
                            </w:p>
                          </w:txbxContent>
                        </wps:txbx>
                        <wps:bodyPr rot="0" vert="horz" wrap="square" lIns="91440" tIns="45720" rIns="91440" bIns="45720" anchor="t" anchorCtr="0">
                          <a:noAutofit/>
                        </wps:bodyPr>
                      </wps:wsp>
                      <wps:wsp>
                        <wps:cNvPr id="238" name="Text Box 2"/>
                        <wps:cNvSpPr txBox="1">
                          <a:spLocks noChangeArrowheads="1"/>
                        </wps:cNvSpPr>
                        <wps:spPr bwMode="auto">
                          <a:xfrm>
                            <a:off x="2060139" y="3997842"/>
                            <a:ext cx="1692093" cy="824229"/>
                          </a:xfrm>
                          <a:prstGeom prst="rect">
                            <a:avLst/>
                          </a:prstGeom>
                          <a:solidFill>
                            <a:srgbClr val="FFFFFF"/>
                          </a:solidFill>
                          <a:ln w="9525">
                            <a:solidFill>
                              <a:srgbClr val="000000"/>
                            </a:solidFill>
                            <a:miter lim="800000"/>
                            <a:headEnd/>
                            <a:tailEnd/>
                          </a:ln>
                        </wps:spPr>
                        <wps:txbx>
                          <w:txbxContent>
                            <w:p w14:paraId="31E59DEF" w14:textId="77777777" w:rsidR="006407EE" w:rsidRPr="00A2105F" w:rsidRDefault="006407EE" w:rsidP="00144D1E">
                              <w:pPr>
                                <w:spacing w:line="240" w:lineRule="auto"/>
                                <w:jc w:val="center"/>
                                <w:rPr>
                                  <w:rFonts w:cs="Arial"/>
                                  <w:sz w:val="20"/>
                                  <w:szCs w:val="20"/>
                                </w:rPr>
                              </w:pPr>
                              <w:r w:rsidRPr="00A2105F">
                                <w:rPr>
                                  <w:rFonts w:cs="Arial"/>
                                  <w:sz w:val="20"/>
                                  <w:szCs w:val="20"/>
                                </w:rPr>
                                <w:t>Full text articles assessed</w:t>
                              </w:r>
                            </w:p>
                            <w:p w14:paraId="50E8A3DA"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140)</w:t>
                              </w:r>
                            </w:p>
                          </w:txbxContent>
                        </wps:txbx>
                        <wps:bodyPr rot="0" vert="horz" wrap="square" lIns="91440" tIns="45720" rIns="91440" bIns="45720" anchor="t" anchorCtr="0">
                          <a:noAutofit/>
                        </wps:bodyPr>
                      </wps:wsp>
                      <wps:wsp>
                        <wps:cNvPr id="239" name="Text Box 2"/>
                        <wps:cNvSpPr txBox="1">
                          <a:spLocks noChangeArrowheads="1"/>
                        </wps:cNvSpPr>
                        <wps:spPr bwMode="auto">
                          <a:xfrm>
                            <a:off x="1979879" y="2413591"/>
                            <a:ext cx="1897980" cy="650873"/>
                          </a:xfrm>
                          <a:prstGeom prst="rect">
                            <a:avLst/>
                          </a:prstGeom>
                          <a:solidFill>
                            <a:srgbClr val="FFFFFF"/>
                          </a:solidFill>
                          <a:ln w="9525">
                            <a:solidFill>
                              <a:srgbClr val="000000"/>
                            </a:solidFill>
                            <a:miter lim="800000"/>
                            <a:headEnd/>
                            <a:tailEnd/>
                          </a:ln>
                        </wps:spPr>
                        <wps:txbx>
                          <w:txbxContent>
                            <w:p w14:paraId="22FAD86C" w14:textId="77777777" w:rsidR="006407EE" w:rsidRPr="00A2105F" w:rsidRDefault="006407EE" w:rsidP="00144D1E">
                              <w:pPr>
                                <w:spacing w:line="240" w:lineRule="auto"/>
                                <w:jc w:val="center"/>
                                <w:rPr>
                                  <w:rFonts w:cs="Arial"/>
                                  <w:sz w:val="20"/>
                                  <w:szCs w:val="20"/>
                                </w:rPr>
                              </w:pPr>
                              <w:r w:rsidRPr="00A2105F">
                                <w:rPr>
                                  <w:rFonts w:cs="Arial"/>
                                  <w:sz w:val="20"/>
                                  <w:szCs w:val="20"/>
                                </w:rPr>
                                <w:t>Abstract screened</w:t>
                              </w:r>
                            </w:p>
                            <w:p w14:paraId="0C4D7324"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3137)</w:t>
                              </w:r>
                            </w:p>
                          </w:txbxContent>
                        </wps:txbx>
                        <wps:bodyPr rot="0" vert="horz" wrap="square" lIns="91440" tIns="45720" rIns="91440" bIns="45720" anchor="ctr" anchorCtr="0">
                          <a:noAutofit/>
                        </wps:bodyPr>
                      </wps:wsp>
                      <wps:wsp>
                        <wps:cNvPr id="240" name="Text Box 2"/>
                        <wps:cNvSpPr txBox="1">
                          <a:spLocks noChangeArrowheads="1"/>
                        </wps:cNvSpPr>
                        <wps:spPr bwMode="auto">
                          <a:xfrm>
                            <a:off x="0" y="3154893"/>
                            <a:ext cx="1799360" cy="824228"/>
                          </a:xfrm>
                          <a:prstGeom prst="rect">
                            <a:avLst/>
                          </a:prstGeom>
                          <a:solidFill>
                            <a:srgbClr val="FFFFFF"/>
                          </a:solidFill>
                          <a:ln w="9525">
                            <a:solidFill>
                              <a:srgbClr val="000000"/>
                            </a:solidFill>
                            <a:miter lim="800000"/>
                            <a:headEnd/>
                            <a:tailEnd/>
                          </a:ln>
                        </wps:spPr>
                        <wps:txbx>
                          <w:txbxContent>
                            <w:p w14:paraId="43FDFC21" w14:textId="77777777" w:rsidR="006407EE" w:rsidRPr="00A2105F" w:rsidRDefault="006407EE" w:rsidP="00144D1E">
                              <w:pPr>
                                <w:spacing w:line="240" w:lineRule="auto"/>
                                <w:jc w:val="center"/>
                                <w:rPr>
                                  <w:rFonts w:cs="Arial"/>
                                  <w:sz w:val="20"/>
                                  <w:szCs w:val="20"/>
                                </w:rPr>
                              </w:pPr>
                              <w:r w:rsidRPr="00A2105F">
                                <w:rPr>
                                  <w:rFonts w:cs="Arial"/>
                                  <w:sz w:val="20"/>
                                  <w:szCs w:val="20"/>
                                </w:rPr>
                                <w:t>Articles found in other texts</w:t>
                              </w:r>
                            </w:p>
                            <w:p w14:paraId="01BE5343"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32)</w:t>
                              </w:r>
                            </w:p>
                          </w:txbxContent>
                        </wps:txbx>
                        <wps:bodyPr rot="0" vert="horz" wrap="square" lIns="91440" tIns="45720" rIns="91440" bIns="45720" anchor="t" anchorCtr="0">
                          <a:noAutofit/>
                        </wps:bodyPr>
                      </wps:wsp>
                      <wps:wsp>
                        <wps:cNvPr id="241" name="Text Box 2"/>
                        <wps:cNvSpPr txBox="1">
                          <a:spLocks noChangeArrowheads="1"/>
                        </wps:cNvSpPr>
                        <wps:spPr bwMode="auto">
                          <a:xfrm>
                            <a:off x="2060051" y="6183980"/>
                            <a:ext cx="1691785" cy="718833"/>
                          </a:xfrm>
                          <a:prstGeom prst="rect">
                            <a:avLst/>
                          </a:prstGeom>
                          <a:solidFill>
                            <a:srgbClr val="FFFFFF"/>
                          </a:solidFill>
                          <a:ln w="9525">
                            <a:solidFill>
                              <a:srgbClr val="000000"/>
                            </a:solidFill>
                            <a:miter lim="800000"/>
                            <a:headEnd/>
                            <a:tailEnd/>
                          </a:ln>
                        </wps:spPr>
                        <wps:txbx>
                          <w:txbxContent>
                            <w:p w14:paraId="1F83CB00" w14:textId="77777777" w:rsidR="006407EE" w:rsidRPr="00A2105F" w:rsidRDefault="006407EE" w:rsidP="00144D1E">
                              <w:pPr>
                                <w:spacing w:line="240" w:lineRule="auto"/>
                                <w:jc w:val="center"/>
                                <w:rPr>
                                  <w:rFonts w:cs="Arial"/>
                                  <w:sz w:val="20"/>
                                  <w:szCs w:val="20"/>
                                </w:rPr>
                              </w:pPr>
                              <w:r w:rsidRPr="00A2105F">
                                <w:rPr>
                                  <w:rFonts w:cs="Arial"/>
                                  <w:sz w:val="20"/>
                                  <w:szCs w:val="20"/>
                                </w:rPr>
                                <w:t xml:space="preserve">Articles </w:t>
                              </w:r>
                              <w:r w:rsidRPr="00D44760">
                                <w:rPr>
                                  <w:rFonts w:cs="Arial"/>
                                  <w:sz w:val="20"/>
                                  <w:szCs w:val="20"/>
                                </w:rPr>
                                <w:t>used in meta-analysis</w:t>
                              </w:r>
                            </w:p>
                            <w:p w14:paraId="1E0F8D74" w14:textId="77777777" w:rsidR="006407EE" w:rsidRPr="00A2105F" w:rsidRDefault="006407EE" w:rsidP="00144D1E">
                              <w:pPr>
                                <w:spacing w:line="240" w:lineRule="auto"/>
                                <w:jc w:val="center"/>
                                <w:rPr>
                                  <w:rFonts w:cs="Arial"/>
                                  <w:sz w:val="20"/>
                                  <w:szCs w:val="20"/>
                                </w:rPr>
                              </w:pPr>
                              <w:r>
                                <w:rPr>
                                  <w:rFonts w:cs="Arial"/>
                                  <w:sz w:val="20"/>
                                  <w:szCs w:val="20"/>
                                </w:rPr>
                                <w:t>(</w:t>
                              </w:r>
                              <w:r w:rsidRPr="00365ED4">
                                <w:rPr>
                                  <w:rFonts w:cs="Arial"/>
                                  <w:i/>
                                  <w:sz w:val="20"/>
                                  <w:szCs w:val="20"/>
                                </w:rPr>
                                <w:t>n</w:t>
                              </w:r>
                              <w:r>
                                <w:rPr>
                                  <w:rFonts w:cs="Arial"/>
                                  <w:sz w:val="20"/>
                                  <w:szCs w:val="20"/>
                                </w:rPr>
                                <w:t xml:space="preserve"> = 15</w:t>
                              </w:r>
                              <w:r w:rsidRPr="00A2105F">
                                <w:rPr>
                                  <w:rFonts w:cs="Arial"/>
                                  <w:sz w:val="20"/>
                                  <w:szCs w:val="20"/>
                                </w:rPr>
                                <w:t>)</w:t>
                              </w:r>
                            </w:p>
                          </w:txbxContent>
                        </wps:txbx>
                        <wps:bodyPr rot="0" vert="horz" wrap="square" lIns="91440" tIns="45720" rIns="91440" bIns="45720" anchor="t" anchorCtr="0">
                          <a:noAutofit/>
                        </wps:bodyPr>
                      </wps:wsp>
                      <wps:wsp>
                        <wps:cNvPr id="242" name="Straight Arrow Connector 5"/>
                        <wps:cNvCnPr/>
                        <wps:spPr>
                          <a:xfrm>
                            <a:off x="1137788" y="650862"/>
                            <a:ext cx="946013" cy="637850"/>
                          </a:xfrm>
                          <a:prstGeom prst="straightConnector1">
                            <a:avLst/>
                          </a:prstGeom>
                          <a:noFill/>
                          <a:ln w="6350" cap="flat" cmpd="sng" algn="ctr">
                            <a:solidFill>
                              <a:sysClr val="windowText" lastClr="000000"/>
                            </a:solidFill>
                            <a:prstDash val="solid"/>
                            <a:miter lim="800000"/>
                            <a:tailEnd type="triangle"/>
                          </a:ln>
                          <a:effectLst/>
                        </wps:spPr>
                        <wps:bodyPr/>
                      </wps:wsp>
                      <wps:wsp>
                        <wps:cNvPr id="243" name="Straight Arrow Connector 12"/>
                        <wps:cNvCnPr/>
                        <wps:spPr>
                          <a:xfrm flipH="1">
                            <a:off x="3751569" y="650857"/>
                            <a:ext cx="958474" cy="637822"/>
                          </a:xfrm>
                          <a:prstGeom prst="straightConnector1">
                            <a:avLst/>
                          </a:prstGeom>
                          <a:noFill/>
                          <a:ln w="6350" cap="flat" cmpd="sng" algn="ctr">
                            <a:solidFill>
                              <a:sysClr val="windowText" lastClr="000000"/>
                            </a:solidFill>
                            <a:prstDash val="solid"/>
                            <a:miter lim="800000"/>
                            <a:tailEnd type="triangle"/>
                          </a:ln>
                          <a:effectLst/>
                        </wps:spPr>
                        <wps:bodyPr/>
                      </wps:wsp>
                      <wps:wsp>
                        <wps:cNvPr id="244" name="Straight Arrow Connector 14"/>
                        <wps:cNvCnPr/>
                        <wps:spPr>
                          <a:xfrm>
                            <a:off x="3877859" y="1611977"/>
                            <a:ext cx="268840" cy="2172"/>
                          </a:xfrm>
                          <a:prstGeom prst="straightConnector1">
                            <a:avLst/>
                          </a:prstGeom>
                          <a:noFill/>
                          <a:ln w="6350" cap="flat" cmpd="sng" algn="ctr">
                            <a:solidFill>
                              <a:sysClr val="windowText" lastClr="000000"/>
                            </a:solidFill>
                            <a:prstDash val="solid"/>
                            <a:miter lim="800000"/>
                            <a:tailEnd type="triangle"/>
                          </a:ln>
                          <a:effectLst/>
                        </wps:spPr>
                        <wps:bodyPr/>
                      </wps:wsp>
                      <wps:wsp>
                        <wps:cNvPr id="245" name="Straight Arrow Connector 15"/>
                        <wps:cNvCnPr/>
                        <wps:spPr>
                          <a:xfrm>
                            <a:off x="3877859" y="2739028"/>
                            <a:ext cx="268840" cy="0"/>
                          </a:xfrm>
                          <a:prstGeom prst="straightConnector1">
                            <a:avLst/>
                          </a:prstGeom>
                          <a:noFill/>
                          <a:ln w="6350" cap="flat" cmpd="sng" algn="ctr">
                            <a:solidFill>
                              <a:sysClr val="windowText" lastClr="000000"/>
                            </a:solidFill>
                            <a:prstDash val="solid"/>
                            <a:miter lim="800000"/>
                            <a:tailEnd type="triangle"/>
                          </a:ln>
                          <a:effectLst/>
                        </wps:spPr>
                        <wps:bodyPr/>
                      </wps:wsp>
                      <wps:wsp>
                        <wps:cNvPr id="246" name="Straight Arrow Connector 17"/>
                        <wps:cNvCnPr/>
                        <wps:spPr>
                          <a:xfrm>
                            <a:off x="3763047" y="4403889"/>
                            <a:ext cx="383652" cy="0"/>
                          </a:xfrm>
                          <a:prstGeom prst="straightConnector1">
                            <a:avLst/>
                          </a:prstGeom>
                          <a:noFill/>
                          <a:ln w="6350" cap="flat" cmpd="sng" algn="ctr">
                            <a:solidFill>
                              <a:sysClr val="windowText" lastClr="000000"/>
                            </a:solidFill>
                            <a:prstDash val="solid"/>
                            <a:miter lim="800000"/>
                            <a:tailEnd type="triangle"/>
                          </a:ln>
                          <a:effectLst/>
                        </wps:spPr>
                        <wps:bodyPr/>
                      </wps:wsp>
                      <wps:wsp>
                        <wps:cNvPr id="247" name="Straight Arrow Connector 18"/>
                        <wps:cNvCnPr/>
                        <wps:spPr>
                          <a:xfrm>
                            <a:off x="1799343" y="3566917"/>
                            <a:ext cx="1106815" cy="0"/>
                          </a:xfrm>
                          <a:prstGeom prst="straightConnector1">
                            <a:avLst/>
                          </a:prstGeom>
                          <a:noFill/>
                          <a:ln w="6350" cap="flat" cmpd="sng" algn="ctr">
                            <a:solidFill>
                              <a:sysClr val="windowText" lastClr="000000"/>
                            </a:solidFill>
                            <a:prstDash val="solid"/>
                            <a:miter lim="800000"/>
                            <a:tailEnd type="triangle"/>
                          </a:ln>
                          <a:effectLst/>
                        </wps:spPr>
                        <wps:bodyPr/>
                      </wps:wsp>
                      <wps:wsp>
                        <wps:cNvPr id="248" name="Straight Arrow Connector 29"/>
                        <wps:cNvCnPr/>
                        <wps:spPr>
                          <a:xfrm flipH="1">
                            <a:off x="2908609" y="650862"/>
                            <a:ext cx="14863" cy="635678"/>
                          </a:xfrm>
                          <a:prstGeom prst="straightConnector1">
                            <a:avLst/>
                          </a:prstGeom>
                          <a:noFill/>
                          <a:ln w="6350" cap="flat" cmpd="sng" algn="ctr">
                            <a:solidFill>
                              <a:sysClr val="windowText" lastClr="000000"/>
                            </a:solidFill>
                            <a:prstDash val="solid"/>
                            <a:miter lim="800000"/>
                            <a:tailEnd type="triangle"/>
                          </a:ln>
                          <a:effectLst/>
                        </wps:spPr>
                        <wps:bodyPr/>
                      </wps:wsp>
                      <wps:wsp>
                        <wps:cNvPr id="249" name="Straight Arrow Connector 30"/>
                        <wps:cNvCnPr/>
                        <wps:spPr>
                          <a:xfrm>
                            <a:off x="2908608" y="1937413"/>
                            <a:ext cx="0" cy="476178"/>
                          </a:xfrm>
                          <a:prstGeom prst="straightConnector1">
                            <a:avLst/>
                          </a:prstGeom>
                          <a:noFill/>
                          <a:ln w="6350" cap="flat" cmpd="sng" algn="ctr">
                            <a:solidFill>
                              <a:sysClr val="windowText" lastClr="000000"/>
                            </a:solidFill>
                            <a:prstDash val="solid"/>
                            <a:miter lim="800000"/>
                            <a:tailEnd type="triangle"/>
                          </a:ln>
                          <a:effectLst/>
                        </wps:spPr>
                        <wps:bodyPr/>
                      </wps:wsp>
                      <wps:wsp>
                        <wps:cNvPr id="250" name="Straight Arrow Connector 31"/>
                        <wps:cNvCnPr/>
                        <wps:spPr>
                          <a:xfrm flipH="1">
                            <a:off x="2906186" y="3064463"/>
                            <a:ext cx="2422" cy="933379"/>
                          </a:xfrm>
                          <a:prstGeom prst="straightConnector1">
                            <a:avLst/>
                          </a:prstGeom>
                          <a:noFill/>
                          <a:ln w="6350" cap="flat" cmpd="sng" algn="ctr">
                            <a:solidFill>
                              <a:sysClr val="windowText" lastClr="000000"/>
                            </a:solidFill>
                            <a:prstDash val="solid"/>
                            <a:miter lim="800000"/>
                            <a:tailEnd type="triangle"/>
                          </a:ln>
                          <a:effectLst/>
                        </wps:spPr>
                        <wps:bodyPr/>
                      </wps:wsp>
                      <wps:wsp>
                        <wps:cNvPr id="251" name="Straight Arrow Connector 192"/>
                        <wps:cNvCnPr/>
                        <wps:spPr>
                          <a:xfrm flipH="1">
                            <a:off x="2905944" y="4822071"/>
                            <a:ext cx="242" cy="136190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inline>
            </w:drawing>
          </mc:Choice>
          <mc:Fallback>
            <w:pict>
              <v:group w14:anchorId="3DD314B7" id="Group 230" o:spid="_x0000_s1040" style="width:394.5pt;height:525.5pt;mso-position-horizontal-relative:char;mso-position-vertical-relative:line" coordorigin="" coordsize="73859,6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">
                <v:shapetype id="_x0000_t202" coordsize="21600,21600" o:spt="202" path="m,l,21600r21600,l21600,xe">
                  <v:stroke joinstyle="miter"/>
                  <v:path gradientshapeok="t" o:connecttype="rect"/>
                </v:shapetype>
                <v:shape id="Text Box 2" o:spid="_x0000_s1041" type="#_x0000_t202" style="position:absolute;left:41466;top:33157;width:32393;height:3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030EDE6E" w14:textId="77777777" w:rsidR="006407EE" w:rsidRPr="00A2105F" w:rsidRDefault="006407EE" w:rsidP="00144D1E">
                        <w:pPr>
                          <w:spacing w:line="240" w:lineRule="auto"/>
                          <w:jc w:val="center"/>
                          <w:rPr>
                            <w:rFonts w:cs="Arial"/>
                            <w:sz w:val="20"/>
                            <w:szCs w:val="20"/>
                          </w:rPr>
                        </w:pPr>
                        <w:r w:rsidRPr="00A2105F">
                          <w:rPr>
                            <w:rFonts w:cs="Arial"/>
                            <w:sz w:val="20"/>
                            <w:szCs w:val="20"/>
                          </w:rPr>
                          <w:t>Full text articles excluded (</w:t>
                        </w:r>
                        <w:r w:rsidRPr="00365ED4">
                          <w:rPr>
                            <w:rFonts w:cs="Arial"/>
                            <w:i/>
                            <w:sz w:val="20"/>
                            <w:szCs w:val="20"/>
                          </w:rPr>
                          <w:t>n</w:t>
                        </w:r>
                        <w:r w:rsidRPr="00A2105F">
                          <w:rPr>
                            <w:rFonts w:cs="Arial"/>
                            <w:sz w:val="20"/>
                            <w:szCs w:val="20"/>
                          </w:rPr>
                          <w:t xml:space="preserve"> = 1</w:t>
                        </w:r>
                        <w:r>
                          <w:rPr>
                            <w:rFonts w:cs="Arial"/>
                            <w:sz w:val="20"/>
                            <w:szCs w:val="20"/>
                          </w:rPr>
                          <w:t>25</w:t>
                        </w:r>
                        <w:r w:rsidRPr="00A2105F">
                          <w:rPr>
                            <w:rFonts w:cs="Arial"/>
                            <w:sz w:val="20"/>
                            <w:szCs w:val="20"/>
                          </w:rPr>
                          <w:t>)</w:t>
                        </w:r>
                      </w:p>
                      <w:p w14:paraId="6C77DB47"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Did not investigate supervision outcomes (</w:t>
                        </w:r>
                        <w:r w:rsidRPr="00365ED4">
                          <w:rPr>
                            <w:rFonts w:cs="Arial"/>
                            <w:i/>
                            <w:sz w:val="20"/>
                            <w:szCs w:val="20"/>
                          </w:rPr>
                          <w:t>n</w:t>
                        </w:r>
                        <w:r w:rsidRPr="00A2105F">
                          <w:rPr>
                            <w:rFonts w:cs="Arial"/>
                            <w:sz w:val="20"/>
                            <w:szCs w:val="20"/>
                          </w:rPr>
                          <w:t xml:space="preserve"> = 83)</w:t>
                        </w:r>
                      </w:p>
                      <w:p w14:paraId="4D243146"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Qualitative data (</w:t>
                        </w:r>
                        <w:r w:rsidRPr="00365ED4">
                          <w:rPr>
                            <w:rFonts w:cs="Arial"/>
                            <w:i/>
                            <w:sz w:val="20"/>
                            <w:szCs w:val="20"/>
                          </w:rPr>
                          <w:t>n</w:t>
                        </w:r>
                        <w:r w:rsidRPr="00A2105F">
                          <w:rPr>
                            <w:rFonts w:cs="Arial"/>
                            <w:sz w:val="20"/>
                            <w:szCs w:val="20"/>
                          </w:rPr>
                          <w:t xml:space="preserve"> = 5)</w:t>
                        </w:r>
                      </w:p>
                      <w:p w14:paraId="00832C5D"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supervisor characteristics on supervision outcome (</w:t>
                        </w:r>
                        <w:r w:rsidRPr="00365ED4">
                          <w:rPr>
                            <w:rFonts w:cs="Arial"/>
                            <w:i/>
                            <w:sz w:val="20"/>
                            <w:szCs w:val="20"/>
                          </w:rPr>
                          <w:t>n</w:t>
                        </w:r>
                        <w:r w:rsidRPr="00A2105F">
                          <w:rPr>
                            <w:rFonts w:cs="Arial"/>
                            <w:sz w:val="20"/>
                            <w:szCs w:val="20"/>
                          </w:rPr>
                          <w:t xml:space="preserve"> = 9)</w:t>
                        </w:r>
                      </w:p>
                      <w:p w14:paraId="4349AEC5"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supervisee characteristics on supervision outcome (</w:t>
                        </w:r>
                        <w:r w:rsidRPr="00365ED4">
                          <w:rPr>
                            <w:rFonts w:cs="Arial"/>
                            <w:i/>
                            <w:sz w:val="20"/>
                            <w:szCs w:val="20"/>
                          </w:rPr>
                          <w:t>n</w:t>
                        </w:r>
                        <w:r w:rsidRPr="00A2105F">
                          <w:rPr>
                            <w:rFonts w:cs="Arial"/>
                            <w:sz w:val="20"/>
                            <w:szCs w:val="20"/>
                          </w:rPr>
                          <w:t xml:space="preserve"> = 1)</w:t>
                        </w:r>
                      </w:p>
                      <w:p w14:paraId="7CC2A43D"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effect of specific supervision events on supervision outcome (</w:t>
                        </w:r>
                        <w:r w:rsidRPr="00365ED4">
                          <w:rPr>
                            <w:rFonts w:cs="Arial"/>
                            <w:i/>
                            <w:sz w:val="20"/>
                            <w:szCs w:val="20"/>
                          </w:rPr>
                          <w:t>n</w:t>
                        </w:r>
                        <w:r w:rsidRPr="00A2105F">
                          <w:rPr>
                            <w:rFonts w:cs="Arial"/>
                            <w:sz w:val="20"/>
                            <w:szCs w:val="20"/>
                          </w:rPr>
                          <w:t xml:space="preserve"> = 8)</w:t>
                        </w:r>
                      </w:p>
                      <w:p w14:paraId="5223BA4F" w14:textId="77777777" w:rsidR="006407EE" w:rsidRPr="00A2105F" w:rsidRDefault="006407EE" w:rsidP="00144D1E">
                        <w:pPr>
                          <w:numPr>
                            <w:ilvl w:val="0"/>
                            <w:numId w:val="8"/>
                          </w:numPr>
                          <w:spacing w:after="160" w:line="240" w:lineRule="auto"/>
                          <w:ind w:left="284" w:hanging="180"/>
                          <w:contextualSpacing/>
                          <w:jc w:val="left"/>
                          <w:rPr>
                            <w:rFonts w:cs="Arial"/>
                            <w:sz w:val="20"/>
                            <w:szCs w:val="20"/>
                          </w:rPr>
                        </w:pPr>
                        <w:r w:rsidRPr="00A2105F">
                          <w:rPr>
                            <w:rFonts w:cs="Arial"/>
                            <w:sz w:val="20"/>
                            <w:szCs w:val="20"/>
                          </w:rPr>
                          <w:t>Investigated the perception of supervision on supervision outcome (</w:t>
                        </w:r>
                        <w:r w:rsidRPr="00365ED4">
                          <w:rPr>
                            <w:rFonts w:cs="Arial"/>
                            <w:i/>
                            <w:sz w:val="20"/>
                            <w:szCs w:val="20"/>
                          </w:rPr>
                          <w:t>n</w:t>
                        </w:r>
                        <w:r w:rsidRPr="00A2105F">
                          <w:rPr>
                            <w:rFonts w:cs="Arial"/>
                            <w:sz w:val="20"/>
                            <w:szCs w:val="20"/>
                          </w:rPr>
                          <w:t xml:space="preserve"> = 1)</w:t>
                        </w:r>
                      </w:p>
                      <w:p w14:paraId="3FAF562B" w14:textId="77777777" w:rsidR="006407EE" w:rsidRPr="0020022F" w:rsidRDefault="006407EE" w:rsidP="00144D1E">
                        <w:pPr>
                          <w:numPr>
                            <w:ilvl w:val="0"/>
                            <w:numId w:val="8"/>
                          </w:numPr>
                          <w:spacing w:after="160" w:line="240" w:lineRule="auto"/>
                          <w:ind w:left="284" w:hanging="180"/>
                          <w:contextualSpacing/>
                          <w:jc w:val="left"/>
                          <w:rPr>
                            <w:rFonts w:cs="Arial"/>
                            <w:sz w:val="20"/>
                            <w:szCs w:val="20"/>
                          </w:rPr>
                        </w:pPr>
                        <w:r>
                          <w:rPr>
                            <w:rFonts w:cs="Arial"/>
                            <w:sz w:val="20"/>
                            <w:szCs w:val="20"/>
                          </w:rPr>
                          <w:t>Pre-post effect sizes could not be calculated (</w:t>
                        </w:r>
                        <w:r w:rsidRPr="00365ED4">
                          <w:rPr>
                            <w:rFonts w:cs="Arial"/>
                            <w:i/>
                            <w:sz w:val="20"/>
                            <w:szCs w:val="20"/>
                          </w:rPr>
                          <w:t>n</w:t>
                        </w:r>
                        <w:r>
                          <w:rPr>
                            <w:rFonts w:cs="Arial"/>
                            <w:sz w:val="20"/>
                            <w:szCs w:val="20"/>
                          </w:rPr>
                          <w:t xml:space="preserve"> = 18)</w:t>
                        </w:r>
                      </w:p>
                    </w:txbxContent>
                  </v:textbox>
                </v:shape>
                <v:shape id="Text Box 2" o:spid="_x0000_s1042" type="#_x0000_t202" style="position:absolute;left:19798;top:12865;width:1898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">
                  <v:textbox>
                    <w:txbxContent>
                      <w:p w14:paraId="6D960C94" w14:textId="77777777" w:rsidR="006407EE" w:rsidRPr="00A2105F" w:rsidRDefault="006407EE" w:rsidP="00144D1E">
                        <w:pPr>
                          <w:spacing w:line="240" w:lineRule="auto"/>
                          <w:jc w:val="center"/>
                          <w:rPr>
                            <w:rFonts w:cs="Arial"/>
                            <w:sz w:val="20"/>
                            <w:szCs w:val="20"/>
                          </w:rPr>
                        </w:pPr>
                        <w:r w:rsidRPr="00A2105F">
                          <w:rPr>
                            <w:rFonts w:cs="Arial"/>
                            <w:sz w:val="20"/>
                            <w:szCs w:val="20"/>
                          </w:rPr>
                          <w:t>Records identified</w:t>
                        </w:r>
                      </w:p>
                      <w:p w14:paraId="306D6D6C"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4118)</w:t>
                        </w:r>
                      </w:p>
                    </w:txbxContent>
                  </v:textbox>
                </v:shape>
                <v:shape id="Text Box 2" o:spid="_x0000_s1043" type="#_x0000_t202" style="position:absolute;left:22222;width:14025;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">
                  <v:textbox>
                    <w:txbxContent>
                      <w:p w14:paraId="63F41FFD" w14:textId="77777777" w:rsidR="006407EE" w:rsidRPr="00A2105F" w:rsidRDefault="006407EE" w:rsidP="00144D1E">
                        <w:pPr>
                          <w:spacing w:line="240" w:lineRule="auto"/>
                          <w:jc w:val="center"/>
                          <w:rPr>
                            <w:rFonts w:cs="Arial"/>
                            <w:sz w:val="20"/>
                            <w:szCs w:val="20"/>
                          </w:rPr>
                        </w:pPr>
                        <w:r w:rsidRPr="00A2105F">
                          <w:rPr>
                            <w:rFonts w:cs="Arial"/>
                            <w:sz w:val="20"/>
                            <w:szCs w:val="20"/>
                          </w:rPr>
                          <w:t>PubMed</w:t>
                        </w:r>
                      </w:p>
                      <w:p w14:paraId="277C241F"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3470)</w:t>
                        </w:r>
                      </w:p>
                    </w:txbxContent>
                  </v:textbox>
                </v:shape>
                <v:shape id="Text Box 2" o:spid="_x0000_s1044" type="#_x0000_t202" style="position:absolute;left:40084;width:14038;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">
                  <v:textbox>
                    <w:txbxContent>
                      <w:p w14:paraId="0C43BEC4" w14:textId="77777777" w:rsidR="006407EE" w:rsidRPr="00A2105F" w:rsidRDefault="006407EE" w:rsidP="00144D1E">
                        <w:pPr>
                          <w:spacing w:line="240" w:lineRule="auto"/>
                          <w:jc w:val="center"/>
                          <w:rPr>
                            <w:rFonts w:cs="Arial"/>
                            <w:sz w:val="20"/>
                            <w:szCs w:val="20"/>
                          </w:rPr>
                        </w:pPr>
                        <w:r w:rsidRPr="00A2105F">
                          <w:rPr>
                            <w:rFonts w:cs="Arial"/>
                            <w:sz w:val="20"/>
                            <w:szCs w:val="20"/>
                          </w:rPr>
                          <w:t>PsycINFO</w:t>
                        </w:r>
                      </w:p>
                      <w:p w14:paraId="1DFA2CD6" w14:textId="77777777" w:rsidR="006407EE" w:rsidRPr="00A2105F" w:rsidRDefault="006407EE" w:rsidP="00144D1E">
                        <w:pPr>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346)</w:t>
                        </w:r>
                      </w:p>
                      <w:p w14:paraId="2196DA19" w14:textId="77777777" w:rsidR="006407EE" w:rsidRPr="00A2105F" w:rsidRDefault="006407EE" w:rsidP="00144D1E">
                        <w:pPr>
                          <w:rPr>
                            <w:rFonts w:cs="Arial"/>
                            <w:sz w:val="20"/>
                            <w:szCs w:val="20"/>
                          </w:rPr>
                        </w:pPr>
                      </w:p>
                    </w:txbxContent>
                  </v:textbox>
                </v:shape>
                <v:shape id="Text Box 2" o:spid="_x0000_s1045" type="#_x0000_t202" style="position:absolute;left:2246;width:16151;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">
                  <v:textbox>
                    <w:txbxContent>
                      <w:p w14:paraId="45F1ED8B" w14:textId="77777777" w:rsidR="006407EE" w:rsidRDefault="006407EE" w:rsidP="00144D1E">
                        <w:pPr>
                          <w:spacing w:line="240" w:lineRule="auto"/>
                          <w:jc w:val="center"/>
                          <w:rPr>
                            <w:rFonts w:cs="Arial"/>
                            <w:sz w:val="20"/>
                            <w:szCs w:val="20"/>
                          </w:rPr>
                        </w:pPr>
                        <w:r w:rsidRPr="00A2105F">
                          <w:rPr>
                            <w:rFonts w:cs="Arial"/>
                            <w:sz w:val="20"/>
                            <w:szCs w:val="20"/>
                          </w:rPr>
                          <w:t>Web of Science</w:t>
                        </w:r>
                        <w:r>
                          <w:rPr>
                            <w:rFonts w:cs="Arial"/>
                            <w:sz w:val="20"/>
                            <w:szCs w:val="20"/>
                          </w:rPr>
                          <w:t xml:space="preserve"> </w:t>
                        </w:r>
                      </w:p>
                      <w:p w14:paraId="6D32C503"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302)</w:t>
                        </w:r>
                      </w:p>
                    </w:txbxContent>
                  </v:textbox>
                </v:shape>
                <v:shape id="Text Box 2" o:spid="_x0000_s1046" type="#_x0000_t202" style="position:absolute;left:41466;top:12887;width:20598;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1C80BADD" w14:textId="77777777" w:rsidR="006407EE" w:rsidRPr="00A2105F" w:rsidRDefault="006407EE" w:rsidP="00144D1E">
                        <w:pPr>
                          <w:spacing w:line="240" w:lineRule="auto"/>
                          <w:jc w:val="center"/>
                          <w:rPr>
                            <w:rFonts w:cs="Arial"/>
                            <w:sz w:val="20"/>
                            <w:szCs w:val="20"/>
                          </w:rPr>
                        </w:pPr>
                        <w:r w:rsidRPr="00A2105F">
                          <w:rPr>
                            <w:rFonts w:cs="Arial"/>
                            <w:sz w:val="20"/>
                            <w:szCs w:val="20"/>
                          </w:rPr>
                          <w:t>Duplicates removed</w:t>
                        </w:r>
                      </w:p>
                      <w:p w14:paraId="118D79DE"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981)</w:t>
                        </w:r>
                      </w:p>
                    </w:txbxContent>
                  </v:textbox>
                </v:shape>
                <v:shape id="Text Box 2" o:spid="_x0000_s1047" type="#_x0000_t202" style="position:absolute;left:41466;top:24135;width:27057;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511FDDB9" w14:textId="77777777" w:rsidR="006407EE" w:rsidRPr="00A2105F" w:rsidRDefault="006407EE" w:rsidP="00144D1E">
                        <w:pPr>
                          <w:spacing w:line="240" w:lineRule="auto"/>
                          <w:jc w:val="center"/>
                          <w:rPr>
                            <w:rFonts w:cs="Arial"/>
                            <w:sz w:val="20"/>
                            <w:szCs w:val="20"/>
                          </w:rPr>
                        </w:pPr>
                        <w:r w:rsidRPr="00A2105F">
                          <w:rPr>
                            <w:rFonts w:cs="Arial"/>
                            <w:sz w:val="20"/>
                            <w:szCs w:val="20"/>
                          </w:rPr>
                          <w:t>Removed based on abstract</w:t>
                        </w:r>
                      </w:p>
                      <w:p w14:paraId="4E89F239"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3029)</w:t>
                        </w:r>
                      </w:p>
                    </w:txbxContent>
                  </v:textbox>
                </v:shape>
                <v:shape id="Text Box 2" o:spid="_x0000_s1048" type="#_x0000_t202" style="position:absolute;left:20601;top:39978;width:16921;height:8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14:paraId="31E59DEF" w14:textId="77777777" w:rsidR="006407EE" w:rsidRPr="00A2105F" w:rsidRDefault="006407EE" w:rsidP="00144D1E">
                        <w:pPr>
                          <w:spacing w:line="240" w:lineRule="auto"/>
                          <w:jc w:val="center"/>
                          <w:rPr>
                            <w:rFonts w:cs="Arial"/>
                            <w:sz w:val="20"/>
                            <w:szCs w:val="20"/>
                          </w:rPr>
                        </w:pPr>
                        <w:r w:rsidRPr="00A2105F">
                          <w:rPr>
                            <w:rFonts w:cs="Arial"/>
                            <w:sz w:val="20"/>
                            <w:szCs w:val="20"/>
                          </w:rPr>
                          <w:t>Full text articles assessed</w:t>
                        </w:r>
                      </w:p>
                      <w:p w14:paraId="50E8A3DA"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140)</w:t>
                        </w:r>
                      </w:p>
                    </w:txbxContent>
                  </v:textbox>
                </v:shape>
                <v:shape id="Text Box 2" o:spid="_x0000_s1049" type="#_x0000_t202" style="position:absolute;left:19798;top:24135;width:1898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">
                  <v:textbox>
                    <w:txbxContent>
                      <w:p w14:paraId="22FAD86C" w14:textId="77777777" w:rsidR="006407EE" w:rsidRPr="00A2105F" w:rsidRDefault="006407EE" w:rsidP="00144D1E">
                        <w:pPr>
                          <w:spacing w:line="240" w:lineRule="auto"/>
                          <w:jc w:val="center"/>
                          <w:rPr>
                            <w:rFonts w:cs="Arial"/>
                            <w:sz w:val="20"/>
                            <w:szCs w:val="20"/>
                          </w:rPr>
                        </w:pPr>
                        <w:r w:rsidRPr="00A2105F">
                          <w:rPr>
                            <w:rFonts w:cs="Arial"/>
                            <w:sz w:val="20"/>
                            <w:szCs w:val="20"/>
                          </w:rPr>
                          <w:t>Abstract screened</w:t>
                        </w:r>
                      </w:p>
                      <w:p w14:paraId="0C4D7324"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3137)</w:t>
                        </w:r>
                      </w:p>
                    </w:txbxContent>
                  </v:textbox>
                </v:shape>
                <v:shape id="Text Box 2" o:spid="_x0000_s1050" type="#_x0000_t202" style="position:absolute;top:31548;width:17993;height:8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14:paraId="43FDFC21" w14:textId="77777777" w:rsidR="006407EE" w:rsidRPr="00A2105F" w:rsidRDefault="006407EE" w:rsidP="00144D1E">
                        <w:pPr>
                          <w:spacing w:line="240" w:lineRule="auto"/>
                          <w:jc w:val="center"/>
                          <w:rPr>
                            <w:rFonts w:cs="Arial"/>
                            <w:sz w:val="20"/>
                            <w:szCs w:val="20"/>
                          </w:rPr>
                        </w:pPr>
                        <w:r w:rsidRPr="00A2105F">
                          <w:rPr>
                            <w:rFonts w:cs="Arial"/>
                            <w:sz w:val="20"/>
                            <w:szCs w:val="20"/>
                          </w:rPr>
                          <w:t>Articles found in other texts</w:t>
                        </w:r>
                      </w:p>
                      <w:p w14:paraId="01BE5343" w14:textId="77777777" w:rsidR="006407EE" w:rsidRPr="00A2105F" w:rsidRDefault="006407EE" w:rsidP="00144D1E">
                        <w:pPr>
                          <w:spacing w:line="240" w:lineRule="auto"/>
                          <w:jc w:val="center"/>
                          <w:rPr>
                            <w:rFonts w:cs="Arial"/>
                            <w:sz w:val="20"/>
                            <w:szCs w:val="20"/>
                          </w:rPr>
                        </w:pPr>
                        <w:r w:rsidRPr="00A2105F">
                          <w:rPr>
                            <w:rFonts w:cs="Arial"/>
                            <w:sz w:val="20"/>
                            <w:szCs w:val="20"/>
                          </w:rPr>
                          <w:t>(</w:t>
                        </w:r>
                        <w:r w:rsidRPr="00365ED4">
                          <w:rPr>
                            <w:rFonts w:cs="Arial"/>
                            <w:i/>
                            <w:sz w:val="20"/>
                            <w:szCs w:val="20"/>
                          </w:rPr>
                          <w:t>n</w:t>
                        </w:r>
                        <w:r w:rsidRPr="00A2105F">
                          <w:rPr>
                            <w:rFonts w:cs="Arial"/>
                            <w:sz w:val="20"/>
                            <w:szCs w:val="20"/>
                          </w:rPr>
                          <w:t xml:space="preserve"> = 32)</w:t>
                        </w:r>
                      </w:p>
                    </w:txbxContent>
                  </v:textbox>
                </v:shape>
                <v:shape id="Text Box 2" o:spid="_x0000_s1051" type="#_x0000_t202" style="position:absolute;left:20600;top:61839;width:16918;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14:paraId="1F83CB00" w14:textId="77777777" w:rsidR="006407EE" w:rsidRPr="00A2105F" w:rsidRDefault="006407EE" w:rsidP="00144D1E">
                        <w:pPr>
                          <w:spacing w:line="240" w:lineRule="auto"/>
                          <w:jc w:val="center"/>
                          <w:rPr>
                            <w:rFonts w:cs="Arial"/>
                            <w:sz w:val="20"/>
                            <w:szCs w:val="20"/>
                          </w:rPr>
                        </w:pPr>
                        <w:r w:rsidRPr="00A2105F">
                          <w:rPr>
                            <w:rFonts w:cs="Arial"/>
                            <w:sz w:val="20"/>
                            <w:szCs w:val="20"/>
                          </w:rPr>
                          <w:t xml:space="preserve">Articles </w:t>
                        </w:r>
                        <w:r w:rsidRPr="00D44760">
                          <w:rPr>
                            <w:rFonts w:cs="Arial"/>
                            <w:sz w:val="20"/>
                            <w:szCs w:val="20"/>
                          </w:rPr>
                          <w:t>used in meta-analysis</w:t>
                        </w:r>
                      </w:p>
                      <w:p w14:paraId="1E0F8D74" w14:textId="77777777" w:rsidR="006407EE" w:rsidRPr="00A2105F" w:rsidRDefault="006407EE" w:rsidP="00144D1E">
                        <w:pPr>
                          <w:spacing w:line="240" w:lineRule="auto"/>
                          <w:jc w:val="center"/>
                          <w:rPr>
                            <w:rFonts w:cs="Arial"/>
                            <w:sz w:val="20"/>
                            <w:szCs w:val="20"/>
                          </w:rPr>
                        </w:pPr>
                        <w:r>
                          <w:rPr>
                            <w:rFonts w:cs="Arial"/>
                            <w:sz w:val="20"/>
                            <w:szCs w:val="20"/>
                          </w:rPr>
                          <w:t>(</w:t>
                        </w:r>
                        <w:r w:rsidRPr="00365ED4">
                          <w:rPr>
                            <w:rFonts w:cs="Arial"/>
                            <w:i/>
                            <w:sz w:val="20"/>
                            <w:szCs w:val="20"/>
                          </w:rPr>
                          <w:t>n</w:t>
                        </w:r>
                        <w:r>
                          <w:rPr>
                            <w:rFonts w:cs="Arial"/>
                            <w:sz w:val="20"/>
                            <w:szCs w:val="20"/>
                          </w:rPr>
                          <w:t xml:space="preserve"> = 15</w:t>
                        </w:r>
                        <w:r w:rsidRPr="00A2105F">
                          <w:rPr>
                            <w:rFonts w:cs="Arial"/>
                            <w:sz w:val="20"/>
                            <w:szCs w:val="20"/>
                          </w:rPr>
                          <w:t>)</w:t>
                        </w:r>
                      </w:p>
                    </w:txbxContent>
                  </v:textbox>
                </v:shape>
                <v:shape id="Straight Arrow Connector 5" o:spid="_x0000_s1052" type="#_x0000_t32" style="position:absolute;left:11377;top:6508;width:9461;height:6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" strokecolor="windowText" strokeweight=".5pt">
                  <v:stroke endarrow="block" joinstyle="miter"/>
                </v:shape>
                <v:shape id="Straight Arrow Connector 12" o:spid="_x0000_s1053" type="#_x0000_t32" style="position:absolute;left:37515;top:6508;width:9585;height:6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" strokecolor="windowText" strokeweight=".5pt">
                  <v:stroke endarrow="block" joinstyle="miter"/>
                </v:shape>
                <v:shape id="Straight Arrow Connector 14" o:spid="_x0000_s1054" type="#_x0000_t32" style="position:absolute;left:38778;top:16119;width:2688;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" strokecolor="windowText" strokeweight=".5pt">
                  <v:stroke endarrow="block" joinstyle="miter"/>
                </v:shape>
                <v:shape id="Straight Arrow Connector 15" o:spid="_x0000_s1055" type="#_x0000_t32" style="position:absolute;left:38778;top:27390;width:2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" strokecolor="windowText" strokeweight=".5pt">
                  <v:stroke endarrow="block" joinstyle="miter"/>
                </v:shape>
                <v:shape id="Straight Arrow Connector 17" o:spid="_x0000_s1056" type="#_x0000_t32" style="position:absolute;left:37630;top:44038;width:3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" strokecolor="windowText" strokeweight=".5pt">
                  <v:stroke endarrow="block" joinstyle="miter"/>
                </v:shape>
                <v:shape id="Straight Arrow Connector 18" o:spid="_x0000_s1057" type="#_x0000_t32" style="position:absolute;left:17993;top:35669;width:1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" strokecolor="windowText" strokeweight=".5pt">
                  <v:stroke endarrow="block" joinstyle="miter"/>
                </v:shape>
                <v:shape id="Straight Arrow Connector 29" o:spid="_x0000_s1058" type="#_x0000_t32" style="position:absolute;left:29086;top:6508;width:148;height:63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" strokecolor="windowText" strokeweight=".5pt">
                  <v:stroke endarrow="block" joinstyle="miter"/>
                </v:shape>
                <v:shape id="Straight Arrow Connector 30" o:spid="_x0000_s1059" type="#_x0000_t32" style="position:absolute;left:29086;top:19374;width:0;height:4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" strokecolor="windowText" strokeweight=".5pt">
                  <v:stroke endarrow="block" joinstyle="miter"/>
                </v:shape>
                <v:shape id="Straight Arrow Connector 31" o:spid="_x0000_s1060" type="#_x0000_t32" style="position:absolute;left:29061;top:30644;width:25;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" strokecolor="windowText" strokeweight=".5pt">
                  <v:stroke endarrow="block" joinstyle="miter"/>
                </v:shape>
                <v:shape id="Straight Arrow Connector 192" o:spid="_x0000_s1061" type="#_x0000_t32" style="position:absolute;left:29059;top:48220;width:2;height:13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" strokecolor="windowText" strokeweight=".5pt">
                  <v:stroke endarrow="block" joinstyle="miter"/>
                </v:shape>
                <w10:anchorlock/>
              </v:group>
            </w:pict>
          </mc:Fallback>
        </mc:AlternateContent>
      </w:r>
    </w:p>
    <w:p w14:paraId="0A9C2473" w14:textId="77777777" w:rsidR="00144D1E" w:rsidRPr="00EA0DC7" w:rsidRDefault="00144D1E" w:rsidP="00144D1E">
      <w:pPr>
        <w:spacing w:after="160" w:line="259" w:lineRule="auto"/>
        <w:jc w:val="left"/>
        <w:rPr>
          <w:rFonts w:ascii="Calibri" w:eastAsia="Calibri" w:hAnsi="Calibri" w:cs="Times New Roman"/>
          <w:sz w:val="22"/>
          <w:lang w:eastAsia="en-US"/>
        </w:rPr>
      </w:pPr>
    </w:p>
    <w:p w14:paraId="232F14A3" w14:textId="33EC934F" w:rsidR="00144D1E" w:rsidRPr="00EA0DC7" w:rsidRDefault="00144D1E" w:rsidP="00144D1E">
      <w:pPr>
        <w:widowControl w:val="0"/>
        <w:jc w:val="center"/>
        <w:rPr>
          <w:rFonts w:eastAsia="Calibri" w:cs="Arial"/>
          <w:iCs/>
          <w:szCs w:val="24"/>
          <w:lang w:eastAsia="en-US"/>
        </w:rPr>
      </w:pPr>
      <w:bookmarkStart w:id="110" w:name="_Toc47039909"/>
      <w:commentRangeStart w:id="111"/>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1</w:t>
      </w:r>
      <w:r w:rsidR="004F2FDB">
        <w:rPr>
          <w:noProof/>
        </w:rPr>
        <w:fldChar w:fldCharType="end"/>
      </w:r>
      <w:r w:rsidRPr="00EA0DC7">
        <w:t>. PRISMA flow diagram for article selection</w:t>
      </w:r>
      <w:commentRangeEnd w:id="111"/>
      <w:r w:rsidR="004C5CC7">
        <w:rPr>
          <w:rStyle w:val="CommentReference"/>
          <w:rFonts w:eastAsiaTheme="minorHAnsi"/>
          <w:lang w:eastAsia="en-US"/>
        </w:rPr>
        <w:commentReference w:id="111"/>
      </w:r>
      <w:r w:rsidRPr="00EA0DC7">
        <w:t>.</w:t>
      </w:r>
      <w:bookmarkEnd w:id="110"/>
    </w:p>
    <w:p w14:paraId="60378848" w14:textId="77777777" w:rsidR="00144D1E" w:rsidRPr="00EA0DC7" w:rsidRDefault="00144D1E" w:rsidP="00144D1E">
      <w:pPr>
        <w:keepNext/>
        <w:spacing w:after="160" w:line="259" w:lineRule="auto"/>
        <w:jc w:val="left"/>
        <w:rPr>
          <w:rFonts w:eastAsia="Calibri" w:cs="Arial"/>
          <w:szCs w:val="24"/>
          <w:lang w:eastAsia="en-US"/>
        </w:rPr>
        <w:sectPr w:rsidR="00144D1E" w:rsidRPr="00EA0DC7" w:rsidSect="00F744CC">
          <w:pgSz w:w="11906" w:h="16838"/>
          <w:pgMar w:top="1440" w:right="1440" w:bottom="1440" w:left="2268" w:header="709" w:footer="709" w:gutter="0"/>
          <w:cols w:space="708"/>
          <w:docGrid w:linePitch="360"/>
        </w:sectPr>
      </w:pPr>
    </w:p>
    <w:p w14:paraId="4D740E8B" w14:textId="018FC020" w:rsidR="00144D1E" w:rsidRPr="00EA0DC7" w:rsidRDefault="00144D1E" w:rsidP="00144D1E">
      <w:pPr>
        <w:pStyle w:val="Captions"/>
        <w:rPr>
          <w:rFonts w:eastAsia="Calibri" w:cs="Arial"/>
          <w:lang w:eastAsia="en-US"/>
        </w:rPr>
      </w:pPr>
      <w:bookmarkStart w:id="112" w:name="_Toc47039923"/>
      <w:commentRangeStart w:id="113"/>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xml:space="preserve">. Studies investigating </w:t>
      </w:r>
      <w:commentRangeEnd w:id="113"/>
      <w:r w:rsidR="0021584A">
        <w:rPr>
          <w:rStyle w:val="CommentReference"/>
          <w:rFonts w:eastAsiaTheme="minorHAnsi"/>
          <w:lang w:eastAsia="en-US"/>
        </w:rPr>
        <w:commentReference w:id="113"/>
      </w:r>
      <w:r w:rsidRPr="00EA0DC7">
        <w:t>the impact of supervision on patient outcomes.</w:t>
      </w:r>
      <w:bookmarkEnd w:id="112"/>
    </w:p>
    <w:tbl>
      <w:tblPr>
        <w:tblW w:w="14181" w:type="dxa"/>
        <w:tblInd w:w="-5" w:type="dxa"/>
        <w:tblLayout w:type="fixed"/>
        <w:tblLook w:val="04A0" w:firstRow="1" w:lastRow="0" w:firstColumn="1" w:lastColumn="0" w:noHBand="0" w:noVBand="1"/>
      </w:tblPr>
      <w:tblGrid>
        <w:gridCol w:w="1134"/>
        <w:gridCol w:w="1134"/>
        <w:gridCol w:w="1134"/>
        <w:gridCol w:w="1134"/>
        <w:gridCol w:w="993"/>
        <w:gridCol w:w="1275"/>
        <w:gridCol w:w="1281"/>
        <w:gridCol w:w="1276"/>
        <w:gridCol w:w="1134"/>
        <w:gridCol w:w="1843"/>
        <w:gridCol w:w="1135"/>
        <w:gridCol w:w="708"/>
      </w:tblGrid>
      <w:tr w:rsidR="00144D1E" w:rsidRPr="00EA0DC7" w14:paraId="6B904AFF" w14:textId="77777777" w:rsidTr="00F744CC">
        <w:trPr>
          <w:trHeight w:val="300"/>
        </w:trPr>
        <w:tc>
          <w:tcPr>
            <w:tcW w:w="1134" w:type="dxa"/>
            <w:tcBorders>
              <w:top w:val="single" w:sz="4" w:space="0" w:color="auto"/>
              <w:bottom w:val="single" w:sz="4" w:space="0" w:color="auto"/>
            </w:tcBorders>
            <w:shd w:val="clear" w:color="auto" w:fill="auto"/>
            <w:noWrap/>
            <w:hideMark/>
          </w:tcPr>
          <w:p w14:paraId="785EC2E9"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Study</w:t>
            </w:r>
          </w:p>
        </w:tc>
        <w:tc>
          <w:tcPr>
            <w:tcW w:w="1134" w:type="dxa"/>
            <w:tcBorders>
              <w:top w:val="single" w:sz="4" w:space="0" w:color="auto"/>
              <w:bottom w:val="single" w:sz="4" w:space="0" w:color="auto"/>
            </w:tcBorders>
            <w:shd w:val="clear" w:color="auto" w:fill="auto"/>
            <w:noWrap/>
            <w:hideMark/>
          </w:tcPr>
          <w:p w14:paraId="66684B5F"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Supervisor population</w:t>
            </w:r>
          </w:p>
        </w:tc>
        <w:tc>
          <w:tcPr>
            <w:tcW w:w="1134" w:type="dxa"/>
            <w:tcBorders>
              <w:top w:val="single" w:sz="4" w:space="0" w:color="auto"/>
              <w:bottom w:val="single" w:sz="4" w:space="0" w:color="auto"/>
            </w:tcBorders>
            <w:shd w:val="clear" w:color="auto" w:fill="auto"/>
            <w:noWrap/>
            <w:hideMark/>
          </w:tcPr>
          <w:p w14:paraId="4A20568D"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Supervisee population</w:t>
            </w:r>
          </w:p>
        </w:tc>
        <w:tc>
          <w:tcPr>
            <w:tcW w:w="1134" w:type="dxa"/>
            <w:tcBorders>
              <w:top w:val="single" w:sz="4" w:space="0" w:color="auto"/>
              <w:bottom w:val="single" w:sz="4" w:space="0" w:color="auto"/>
            </w:tcBorders>
            <w:shd w:val="clear" w:color="auto" w:fill="auto"/>
            <w:noWrap/>
            <w:hideMark/>
          </w:tcPr>
          <w:p w14:paraId="55A52D4C"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Patient population</w:t>
            </w:r>
          </w:p>
        </w:tc>
        <w:tc>
          <w:tcPr>
            <w:tcW w:w="993" w:type="dxa"/>
            <w:tcBorders>
              <w:top w:val="single" w:sz="4" w:space="0" w:color="auto"/>
              <w:bottom w:val="single" w:sz="4" w:space="0" w:color="auto"/>
            </w:tcBorders>
          </w:tcPr>
          <w:p w14:paraId="3CC7A0CA"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Location of study</w:t>
            </w:r>
          </w:p>
        </w:tc>
        <w:tc>
          <w:tcPr>
            <w:tcW w:w="1275" w:type="dxa"/>
            <w:tcBorders>
              <w:top w:val="single" w:sz="4" w:space="0" w:color="auto"/>
              <w:bottom w:val="single" w:sz="4" w:space="0" w:color="auto"/>
            </w:tcBorders>
            <w:shd w:val="clear" w:color="auto" w:fill="auto"/>
            <w:noWrap/>
            <w:hideMark/>
          </w:tcPr>
          <w:p w14:paraId="5170399A"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Clinical intervention</w:t>
            </w:r>
          </w:p>
        </w:tc>
        <w:tc>
          <w:tcPr>
            <w:tcW w:w="1281" w:type="dxa"/>
            <w:tcBorders>
              <w:top w:val="single" w:sz="4" w:space="0" w:color="auto"/>
              <w:bottom w:val="single" w:sz="4" w:space="0" w:color="auto"/>
            </w:tcBorders>
            <w:shd w:val="clear" w:color="auto" w:fill="auto"/>
            <w:noWrap/>
            <w:hideMark/>
          </w:tcPr>
          <w:p w14:paraId="595EA914"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Type(s) of supervision</w:t>
            </w:r>
          </w:p>
        </w:tc>
        <w:tc>
          <w:tcPr>
            <w:tcW w:w="1276" w:type="dxa"/>
            <w:tcBorders>
              <w:top w:val="single" w:sz="4" w:space="0" w:color="auto"/>
              <w:bottom w:val="single" w:sz="4" w:space="0" w:color="auto"/>
            </w:tcBorders>
          </w:tcPr>
          <w:p w14:paraId="1F893FD5"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Supervision frequency</w:t>
            </w:r>
          </w:p>
        </w:tc>
        <w:tc>
          <w:tcPr>
            <w:tcW w:w="1134" w:type="dxa"/>
            <w:tcBorders>
              <w:top w:val="single" w:sz="4" w:space="0" w:color="auto"/>
              <w:bottom w:val="single" w:sz="4" w:space="0" w:color="auto"/>
            </w:tcBorders>
          </w:tcPr>
          <w:p w14:paraId="6F628081"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Study design</w:t>
            </w:r>
          </w:p>
        </w:tc>
        <w:tc>
          <w:tcPr>
            <w:tcW w:w="1843" w:type="dxa"/>
            <w:tcBorders>
              <w:top w:val="single" w:sz="4" w:space="0" w:color="auto"/>
              <w:bottom w:val="single" w:sz="4" w:space="0" w:color="auto"/>
            </w:tcBorders>
            <w:shd w:val="clear" w:color="auto" w:fill="auto"/>
            <w:noWrap/>
            <w:hideMark/>
          </w:tcPr>
          <w:p w14:paraId="30E8C28F"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Main findings</w:t>
            </w:r>
          </w:p>
        </w:tc>
        <w:tc>
          <w:tcPr>
            <w:tcW w:w="1135" w:type="dxa"/>
            <w:tcBorders>
              <w:top w:val="single" w:sz="4" w:space="0" w:color="auto"/>
              <w:bottom w:val="single" w:sz="4" w:space="0" w:color="auto"/>
            </w:tcBorders>
            <w:shd w:val="clear" w:color="auto" w:fill="auto"/>
            <w:noWrap/>
            <w:hideMark/>
          </w:tcPr>
          <w:p w14:paraId="6C7CBECA"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Primary outcome variable</w:t>
            </w:r>
          </w:p>
        </w:tc>
        <w:tc>
          <w:tcPr>
            <w:tcW w:w="708" w:type="dxa"/>
            <w:tcBorders>
              <w:top w:val="single" w:sz="4" w:space="0" w:color="auto"/>
              <w:bottom w:val="single" w:sz="4" w:space="0" w:color="auto"/>
            </w:tcBorders>
          </w:tcPr>
          <w:p w14:paraId="08B0393B" w14:textId="77777777" w:rsidR="00144D1E" w:rsidRPr="00EA0DC7" w:rsidRDefault="00144D1E" w:rsidP="00F744CC">
            <w:pPr>
              <w:spacing w:before="240" w:line="240" w:lineRule="auto"/>
              <w:ind w:right="-44"/>
              <w:jc w:val="center"/>
              <w:rPr>
                <w:rFonts w:eastAsia="Times New Roman" w:cs="Arial"/>
                <w:b/>
                <w:bCs/>
                <w:sz w:val="17"/>
                <w:szCs w:val="17"/>
              </w:rPr>
            </w:pPr>
            <w:r w:rsidRPr="00EA0DC7">
              <w:rPr>
                <w:rFonts w:eastAsia="Times New Roman" w:cs="Arial"/>
                <w:b/>
                <w:bCs/>
                <w:sz w:val="17"/>
                <w:szCs w:val="17"/>
              </w:rPr>
              <w:t>QI score</w:t>
            </w:r>
          </w:p>
        </w:tc>
      </w:tr>
      <w:tr w:rsidR="00144D1E" w:rsidRPr="00EA0DC7" w14:paraId="5FD99198" w14:textId="77777777" w:rsidTr="00F744CC">
        <w:trPr>
          <w:trHeight w:val="300"/>
        </w:trPr>
        <w:tc>
          <w:tcPr>
            <w:tcW w:w="1134" w:type="dxa"/>
            <w:tcBorders>
              <w:top w:val="single" w:sz="4" w:space="0" w:color="auto"/>
            </w:tcBorders>
            <w:shd w:val="clear" w:color="auto" w:fill="auto"/>
            <w:noWrap/>
          </w:tcPr>
          <w:p w14:paraId="199A0C2E" w14:textId="77777777" w:rsidR="00144D1E" w:rsidRPr="00EA0DC7" w:rsidRDefault="00144D1E" w:rsidP="00F744CC">
            <w:pPr>
              <w:spacing w:line="240" w:lineRule="auto"/>
              <w:jc w:val="left"/>
              <w:rPr>
                <w:rFonts w:eastAsia="Times New Roman" w:cs="Arial"/>
                <w:b/>
                <w:bCs/>
                <w:i/>
                <w:sz w:val="17"/>
                <w:szCs w:val="17"/>
              </w:rPr>
            </w:pPr>
            <w:r w:rsidRPr="00EA0DC7">
              <w:rPr>
                <w:rFonts w:eastAsia="Times New Roman" w:cs="Arial"/>
                <w:i/>
                <w:noProof/>
                <w:sz w:val="17"/>
                <w:szCs w:val="17"/>
              </w:rPr>
              <w:t>Bambling, King, Raue, Schweitzer and Lambert (2006)</w:t>
            </w:r>
          </w:p>
        </w:tc>
        <w:tc>
          <w:tcPr>
            <w:tcW w:w="1134" w:type="dxa"/>
            <w:tcBorders>
              <w:top w:val="single" w:sz="4" w:space="0" w:color="auto"/>
            </w:tcBorders>
            <w:shd w:val="clear" w:color="auto" w:fill="auto"/>
            <w:noWrap/>
          </w:tcPr>
          <w:p w14:paraId="45D1F7C9"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 xml:space="preserve">Graduates with two years supervisor experience, </w:t>
            </w:r>
            <w:r w:rsidRPr="00EA0DC7">
              <w:rPr>
                <w:rFonts w:eastAsia="Times New Roman" w:cs="Arial"/>
                <w:i/>
                <w:sz w:val="17"/>
                <w:szCs w:val="17"/>
              </w:rPr>
              <w:t xml:space="preserve">n = </w:t>
            </w:r>
            <w:r w:rsidRPr="00EA0DC7">
              <w:rPr>
                <w:rFonts w:eastAsia="Times New Roman" w:cs="Arial"/>
                <w:sz w:val="17"/>
                <w:szCs w:val="17"/>
              </w:rPr>
              <w:t>40</w:t>
            </w:r>
          </w:p>
        </w:tc>
        <w:tc>
          <w:tcPr>
            <w:tcW w:w="1134" w:type="dxa"/>
            <w:tcBorders>
              <w:top w:val="single" w:sz="4" w:space="0" w:color="auto"/>
            </w:tcBorders>
            <w:shd w:val="clear" w:color="auto" w:fill="auto"/>
            <w:noWrap/>
          </w:tcPr>
          <w:p w14:paraId="231BA0E7" w14:textId="77777777" w:rsidR="00144D1E" w:rsidRPr="00EA0DC7" w:rsidRDefault="00144D1E" w:rsidP="00F744CC">
            <w:pPr>
              <w:spacing w:line="240" w:lineRule="auto"/>
              <w:jc w:val="left"/>
              <w:rPr>
                <w:rFonts w:eastAsia="Times New Roman" w:cs="Arial"/>
                <w:b/>
                <w:bCs/>
                <w:sz w:val="17"/>
                <w:szCs w:val="17"/>
              </w:rPr>
            </w:pPr>
            <w:r>
              <w:rPr>
                <w:rFonts w:eastAsia="Times New Roman" w:cs="Arial"/>
                <w:sz w:val="17"/>
                <w:szCs w:val="17"/>
              </w:rPr>
              <w:t>Qualified</w:t>
            </w:r>
            <w:r w:rsidRPr="00EA0DC7">
              <w:rPr>
                <w:rFonts w:eastAsia="Times New Roman" w:cs="Arial"/>
                <w:sz w:val="17"/>
                <w:szCs w:val="17"/>
              </w:rPr>
              <w:t xml:space="preserve"> (therapists, </w:t>
            </w:r>
            <w:r w:rsidRPr="00EA0DC7">
              <w:rPr>
                <w:rFonts w:eastAsia="Times New Roman" w:cs="Arial"/>
                <w:i/>
                <w:sz w:val="17"/>
                <w:szCs w:val="17"/>
              </w:rPr>
              <w:t>n</w:t>
            </w:r>
            <w:r w:rsidRPr="00EA0DC7">
              <w:rPr>
                <w:rFonts w:eastAsia="Times New Roman" w:cs="Arial"/>
                <w:sz w:val="17"/>
                <w:szCs w:val="17"/>
              </w:rPr>
              <w:t xml:space="preserve"> = 127)</w:t>
            </w:r>
          </w:p>
        </w:tc>
        <w:tc>
          <w:tcPr>
            <w:tcW w:w="1134" w:type="dxa"/>
            <w:tcBorders>
              <w:top w:val="single" w:sz="4" w:space="0" w:color="auto"/>
            </w:tcBorders>
            <w:shd w:val="clear" w:color="auto" w:fill="auto"/>
            <w:noWrap/>
          </w:tcPr>
          <w:p w14:paraId="75F8914F"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 xml:space="preserve">Clinical (primary diagnosis of major depression, </w:t>
            </w:r>
            <w:r w:rsidRPr="00EA0DC7">
              <w:rPr>
                <w:rFonts w:eastAsia="Times New Roman" w:cs="Arial"/>
                <w:i/>
                <w:sz w:val="17"/>
                <w:szCs w:val="17"/>
              </w:rPr>
              <w:t xml:space="preserve">n </w:t>
            </w:r>
            <w:r w:rsidRPr="00EA0DC7">
              <w:rPr>
                <w:rFonts w:eastAsia="Times New Roman" w:cs="Arial"/>
                <w:sz w:val="17"/>
                <w:szCs w:val="17"/>
              </w:rPr>
              <w:t>= 103)</w:t>
            </w:r>
          </w:p>
        </w:tc>
        <w:tc>
          <w:tcPr>
            <w:tcW w:w="993" w:type="dxa"/>
            <w:tcBorders>
              <w:top w:val="single" w:sz="4" w:space="0" w:color="auto"/>
            </w:tcBorders>
          </w:tcPr>
          <w:p w14:paraId="5BEB8A45"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Australia</w:t>
            </w:r>
          </w:p>
        </w:tc>
        <w:tc>
          <w:tcPr>
            <w:tcW w:w="1275" w:type="dxa"/>
            <w:tcBorders>
              <w:top w:val="single" w:sz="4" w:space="0" w:color="auto"/>
            </w:tcBorders>
            <w:shd w:val="clear" w:color="auto" w:fill="auto"/>
            <w:noWrap/>
          </w:tcPr>
          <w:p w14:paraId="76245B98"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Problem-solving treatment</w:t>
            </w:r>
          </w:p>
        </w:tc>
        <w:tc>
          <w:tcPr>
            <w:tcW w:w="1281" w:type="dxa"/>
            <w:tcBorders>
              <w:top w:val="single" w:sz="4" w:space="0" w:color="auto"/>
            </w:tcBorders>
            <w:shd w:val="clear" w:color="auto" w:fill="auto"/>
            <w:noWrap/>
          </w:tcPr>
          <w:p w14:paraId="6BDAD0F3"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Alliance process-focused supervision</w:t>
            </w:r>
            <w:r w:rsidRPr="00EA0DC7">
              <w:rPr>
                <w:rFonts w:eastAsia="Times New Roman" w:cs="Arial"/>
                <w:sz w:val="17"/>
                <w:szCs w:val="17"/>
              </w:rPr>
              <w:br/>
            </w:r>
            <w:r w:rsidRPr="00EA0DC7">
              <w:rPr>
                <w:rFonts w:eastAsia="Times New Roman" w:cs="Arial"/>
                <w:sz w:val="17"/>
                <w:szCs w:val="17"/>
              </w:rPr>
              <w:br/>
              <w:t>Alliance skill-focused supervision</w:t>
            </w:r>
          </w:p>
          <w:p w14:paraId="448EE87F" w14:textId="77777777" w:rsidR="00144D1E" w:rsidRPr="00EA0DC7" w:rsidRDefault="00144D1E" w:rsidP="00F744CC">
            <w:pPr>
              <w:spacing w:line="240" w:lineRule="auto"/>
              <w:jc w:val="left"/>
              <w:rPr>
                <w:rFonts w:eastAsia="Times New Roman" w:cs="Arial"/>
                <w:sz w:val="17"/>
                <w:szCs w:val="17"/>
              </w:rPr>
            </w:pPr>
          </w:p>
          <w:p w14:paraId="397A3178" w14:textId="77777777" w:rsidR="00144D1E" w:rsidRPr="00EA0DC7" w:rsidRDefault="00144D1E" w:rsidP="00F744CC">
            <w:pPr>
              <w:spacing w:line="240" w:lineRule="auto"/>
              <w:jc w:val="left"/>
              <w:rPr>
                <w:rFonts w:eastAsia="Times New Roman" w:cs="Arial"/>
                <w:sz w:val="17"/>
                <w:szCs w:val="17"/>
              </w:rPr>
            </w:pPr>
          </w:p>
          <w:p w14:paraId="1FC8A090" w14:textId="77777777" w:rsidR="00144D1E" w:rsidRPr="00EA0DC7" w:rsidRDefault="00144D1E" w:rsidP="00F744CC">
            <w:pPr>
              <w:spacing w:line="240" w:lineRule="auto"/>
              <w:jc w:val="left"/>
              <w:rPr>
                <w:rFonts w:eastAsia="Times New Roman" w:cs="Arial"/>
                <w:sz w:val="17"/>
                <w:szCs w:val="17"/>
              </w:rPr>
            </w:pPr>
          </w:p>
          <w:p w14:paraId="6EC4713A" w14:textId="77777777" w:rsidR="00144D1E" w:rsidRPr="00EA0DC7" w:rsidRDefault="00144D1E" w:rsidP="00F744CC">
            <w:pPr>
              <w:spacing w:line="240" w:lineRule="auto"/>
              <w:jc w:val="left"/>
              <w:rPr>
                <w:rFonts w:eastAsia="Times New Roman" w:cs="Arial"/>
                <w:b/>
                <w:bCs/>
                <w:sz w:val="17"/>
                <w:szCs w:val="17"/>
              </w:rPr>
            </w:pPr>
          </w:p>
        </w:tc>
        <w:tc>
          <w:tcPr>
            <w:tcW w:w="1276" w:type="dxa"/>
            <w:tcBorders>
              <w:top w:val="single" w:sz="4" w:space="0" w:color="auto"/>
            </w:tcBorders>
          </w:tcPr>
          <w:p w14:paraId="0138B1C4"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ns</w:t>
            </w:r>
          </w:p>
        </w:tc>
        <w:tc>
          <w:tcPr>
            <w:tcW w:w="1134" w:type="dxa"/>
            <w:tcBorders>
              <w:top w:val="single" w:sz="4" w:space="0" w:color="auto"/>
            </w:tcBorders>
          </w:tcPr>
          <w:p w14:paraId="77084AB2"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Control (no supervision)</w:t>
            </w:r>
          </w:p>
        </w:tc>
        <w:tc>
          <w:tcPr>
            <w:tcW w:w="1843" w:type="dxa"/>
            <w:tcBorders>
              <w:top w:val="single" w:sz="4" w:space="0" w:color="auto"/>
            </w:tcBorders>
            <w:shd w:val="clear" w:color="auto" w:fill="auto"/>
            <w:noWrap/>
          </w:tcPr>
          <w:p w14:paraId="14268C19"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Patients in both supervision conditions reported higher working alliance scores and a greater BDI reduction than in the control condition. There was no difference between the two supervision groups on these measures. The control condition had a significantly higher rate of patient dropout than the supervised conditions.</w:t>
            </w:r>
          </w:p>
        </w:tc>
        <w:tc>
          <w:tcPr>
            <w:tcW w:w="1135" w:type="dxa"/>
            <w:tcBorders>
              <w:top w:val="single" w:sz="4" w:space="0" w:color="auto"/>
            </w:tcBorders>
            <w:shd w:val="clear" w:color="auto" w:fill="auto"/>
            <w:noWrap/>
          </w:tcPr>
          <w:p w14:paraId="25D95CA5" w14:textId="77777777" w:rsidR="00144D1E" w:rsidRPr="00EA0DC7" w:rsidRDefault="00144D1E" w:rsidP="00F744CC">
            <w:pPr>
              <w:spacing w:line="240" w:lineRule="auto"/>
              <w:jc w:val="left"/>
              <w:rPr>
                <w:rFonts w:eastAsia="Times New Roman" w:cs="Arial"/>
                <w:b/>
                <w:bCs/>
                <w:sz w:val="17"/>
                <w:szCs w:val="17"/>
              </w:rPr>
            </w:pPr>
            <w:r w:rsidRPr="00EA0DC7">
              <w:rPr>
                <w:rFonts w:eastAsia="Times New Roman" w:cs="Arial"/>
                <w:sz w:val="17"/>
                <w:szCs w:val="17"/>
              </w:rPr>
              <w:t xml:space="preserve">Patient outcome (Beck Depression Inventory; BDI; </w:t>
            </w:r>
            <w:r w:rsidRPr="00EA0DC7">
              <w:rPr>
                <w:rFonts w:eastAsia="Times New Roman" w:cs="Arial"/>
                <w:noProof/>
                <w:sz w:val="17"/>
                <w:szCs w:val="17"/>
              </w:rPr>
              <w:t>Beck, Ward, Mendelson, Mock, &amp; Erbaugh, 1961)</w:t>
            </w:r>
          </w:p>
        </w:tc>
        <w:tc>
          <w:tcPr>
            <w:tcW w:w="708" w:type="dxa"/>
            <w:tcBorders>
              <w:top w:val="single" w:sz="4" w:space="0" w:color="auto"/>
            </w:tcBorders>
          </w:tcPr>
          <w:p w14:paraId="1EC3FD4F" w14:textId="77777777" w:rsidR="00144D1E" w:rsidRPr="00EA0DC7" w:rsidRDefault="00144D1E" w:rsidP="00F744CC">
            <w:pPr>
              <w:spacing w:line="240" w:lineRule="auto"/>
              <w:jc w:val="center"/>
              <w:rPr>
                <w:rFonts w:eastAsia="Times New Roman" w:cs="Arial"/>
                <w:b/>
                <w:bCs/>
                <w:sz w:val="17"/>
                <w:szCs w:val="17"/>
              </w:rPr>
            </w:pPr>
            <w:r w:rsidRPr="00EA0DC7">
              <w:rPr>
                <w:rFonts w:eastAsia="Times New Roman" w:cs="Arial"/>
                <w:sz w:val="17"/>
                <w:szCs w:val="17"/>
              </w:rPr>
              <w:t>20</w:t>
            </w:r>
          </w:p>
        </w:tc>
      </w:tr>
      <w:tr w:rsidR="00144D1E" w:rsidRPr="00EA0DC7" w14:paraId="287A332B" w14:textId="77777777" w:rsidTr="00F744CC">
        <w:trPr>
          <w:trHeight w:val="300"/>
        </w:trPr>
        <w:tc>
          <w:tcPr>
            <w:tcW w:w="1134" w:type="dxa"/>
            <w:tcBorders>
              <w:bottom w:val="single" w:sz="4" w:space="0" w:color="auto"/>
            </w:tcBorders>
            <w:shd w:val="clear" w:color="auto" w:fill="auto"/>
            <w:noWrap/>
          </w:tcPr>
          <w:p w14:paraId="38B36284" w14:textId="77777777" w:rsidR="00144D1E" w:rsidRPr="00EA0DC7" w:rsidRDefault="00144D1E" w:rsidP="00F744CC">
            <w:pPr>
              <w:spacing w:after="0" w:line="240" w:lineRule="auto"/>
              <w:jc w:val="left"/>
              <w:rPr>
                <w:rFonts w:eastAsia="Times New Roman" w:cs="Arial"/>
                <w:b/>
                <w:bCs/>
                <w:i/>
                <w:sz w:val="17"/>
                <w:szCs w:val="17"/>
              </w:rPr>
            </w:pPr>
            <w:r w:rsidRPr="00EA0DC7">
              <w:rPr>
                <w:rFonts w:eastAsia="Times New Roman" w:cs="Arial"/>
                <w:i/>
                <w:noProof/>
                <w:sz w:val="17"/>
                <w:szCs w:val="17"/>
              </w:rPr>
              <w:t>Bradshaw, Butterworth and Mairs (2007)</w:t>
            </w:r>
          </w:p>
        </w:tc>
        <w:tc>
          <w:tcPr>
            <w:tcW w:w="1134" w:type="dxa"/>
            <w:tcBorders>
              <w:bottom w:val="single" w:sz="4" w:space="0" w:color="auto"/>
            </w:tcBorders>
            <w:shd w:val="clear" w:color="auto" w:fill="auto"/>
            <w:noWrap/>
          </w:tcPr>
          <w:p w14:paraId="54D723D0"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 xml:space="preserve">Graduates, </w:t>
            </w:r>
            <w:r w:rsidRPr="00EA0DC7">
              <w:rPr>
                <w:rFonts w:eastAsia="Times New Roman" w:cs="Arial"/>
                <w:i/>
                <w:sz w:val="17"/>
                <w:szCs w:val="17"/>
              </w:rPr>
              <w:t xml:space="preserve">n = </w:t>
            </w:r>
            <w:r w:rsidRPr="00EA0DC7">
              <w:rPr>
                <w:rFonts w:eastAsia="Times New Roman" w:cs="Arial"/>
                <w:sz w:val="17"/>
                <w:szCs w:val="17"/>
              </w:rPr>
              <w:t>ns</w:t>
            </w:r>
          </w:p>
        </w:tc>
        <w:tc>
          <w:tcPr>
            <w:tcW w:w="1134" w:type="dxa"/>
            <w:tcBorders>
              <w:bottom w:val="single" w:sz="4" w:space="0" w:color="auto"/>
            </w:tcBorders>
            <w:shd w:val="clear" w:color="auto" w:fill="auto"/>
            <w:noWrap/>
          </w:tcPr>
          <w:p w14:paraId="5C85D5CD" w14:textId="77777777" w:rsidR="00144D1E" w:rsidRPr="00EA0DC7" w:rsidRDefault="00144D1E" w:rsidP="00F744CC">
            <w:pPr>
              <w:spacing w:after="0" w:line="240" w:lineRule="auto"/>
              <w:jc w:val="left"/>
              <w:rPr>
                <w:rFonts w:eastAsia="Times New Roman" w:cs="Arial"/>
                <w:b/>
                <w:bCs/>
                <w:sz w:val="17"/>
                <w:szCs w:val="17"/>
              </w:rPr>
            </w:pPr>
            <w:r>
              <w:rPr>
                <w:rFonts w:eastAsia="Times New Roman" w:cs="Arial"/>
                <w:sz w:val="17"/>
                <w:szCs w:val="17"/>
              </w:rPr>
              <w:t>Qualified</w:t>
            </w:r>
            <w:r w:rsidRPr="00EA0DC7">
              <w:rPr>
                <w:rFonts w:eastAsia="Times New Roman" w:cs="Arial"/>
                <w:sz w:val="17"/>
                <w:szCs w:val="17"/>
              </w:rPr>
              <w:t xml:space="preserve"> (mental health nurses, </w:t>
            </w:r>
            <w:r w:rsidRPr="00EA0DC7">
              <w:rPr>
                <w:rFonts w:eastAsia="Times New Roman" w:cs="Arial"/>
                <w:i/>
                <w:sz w:val="17"/>
                <w:szCs w:val="17"/>
              </w:rPr>
              <w:t xml:space="preserve">n = </w:t>
            </w:r>
            <w:r w:rsidRPr="00EA0DC7">
              <w:rPr>
                <w:rFonts w:eastAsia="Times New Roman" w:cs="Arial"/>
                <w:sz w:val="17"/>
                <w:szCs w:val="17"/>
              </w:rPr>
              <w:t>23)</w:t>
            </w:r>
          </w:p>
        </w:tc>
        <w:tc>
          <w:tcPr>
            <w:tcW w:w="1134" w:type="dxa"/>
            <w:tcBorders>
              <w:bottom w:val="single" w:sz="4" w:space="0" w:color="auto"/>
            </w:tcBorders>
            <w:shd w:val="clear" w:color="auto" w:fill="auto"/>
            <w:noWrap/>
          </w:tcPr>
          <w:p w14:paraId="15680140"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 xml:space="preserve">Clinical (schizophr-enia diagnosis, </w:t>
            </w:r>
            <w:r w:rsidRPr="00EA0DC7">
              <w:rPr>
                <w:rFonts w:eastAsia="Times New Roman" w:cs="Arial"/>
                <w:i/>
                <w:sz w:val="17"/>
                <w:szCs w:val="17"/>
              </w:rPr>
              <w:t xml:space="preserve">n = </w:t>
            </w:r>
            <w:r w:rsidRPr="00EA0DC7">
              <w:rPr>
                <w:rFonts w:eastAsia="Times New Roman" w:cs="Arial"/>
                <w:sz w:val="17"/>
                <w:szCs w:val="17"/>
              </w:rPr>
              <w:t>93)</w:t>
            </w:r>
          </w:p>
        </w:tc>
        <w:tc>
          <w:tcPr>
            <w:tcW w:w="993" w:type="dxa"/>
            <w:tcBorders>
              <w:bottom w:val="single" w:sz="4" w:space="0" w:color="auto"/>
            </w:tcBorders>
          </w:tcPr>
          <w:p w14:paraId="5204BDAE" w14:textId="77777777" w:rsidR="00144D1E" w:rsidRPr="00EA0DC7" w:rsidRDefault="00144D1E" w:rsidP="00F744CC">
            <w:pPr>
              <w:spacing w:after="0" w:line="240" w:lineRule="auto"/>
              <w:jc w:val="left"/>
              <w:rPr>
                <w:rFonts w:eastAsia="Times New Roman" w:cs="Arial"/>
                <w:sz w:val="17"/>
                <w:szCs w:val="17"/>
              </w:rPr>
            </w:pPr>
            <w:r w:rsidRPr="00EA0DC7">
              <w:rPr>
                <w:rFonts w:eastAsia="Times New Roman" w:cs="Arial"/>
                <w:sz w:val="17"/>
                <w:szCs w:val="17"/>
              </w:rPr>
              <w:t>UK</w:t>
            </w:r>
          </w:p>
        </w:tc>
        <w:tc>
          <w:tcPr>
            <w:tcW w:w="1275" w:type="dxa"/>
            <w:tcBorders>
              <w:bottom w:val="single" w:sz="4" w:space="0" w:color="auto"/>
            </w:tcBorders>
            <w:shd w:val="clear" w:color="auto" w:fill="auto"/>
            <w:noWrap/>
          </w:tcPr>
          <w:p w14:paraId="1AED965A"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Psychosocial intervention</w:t>
            </w:r>
          </w:p>
        </w:tc>
        <w:tc>
          <w:tcPr>
            <w:tcW w:w="1281" w:type="dxa"/>
            <w:tcBorders>
              <w:bottom w:val="single" w:sz="4" w:space="0" w:color="auto"/>
            </w:tcBorders>
            <w:shd w:val="clear" w:color="auto" w:fill="auto"/>
            <w:noWrap/>
          </w:tcPr>
          <w:p w14:paraId="27ADC1E1"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Workplace supervision</w:t>
            </w:r>
          </w:p>
        </w:tc>
        <w:tc>
          <w:tcPr>
            <w:tcW w:w="1276" w:type="dxa"/>
            <w:tcBorders>
              <w:bottom w:val="single" w:sz="4" w:space="0" w:color="auto"/>
            </w:tcBorders>
          </w:tcPr>
          <w:p w14:paraId="4FF39DA5" w14:textId="77777777" w:rsidR="00144D1E" w:rsidRPr="00EA0DC7" w:rsidRDefault="00144D1E" w:rsidP="00F744CC">
            <w:pPr>
              <w:spacing w:after="0" w:line="240" w:lineRule="auto"/>
              <w:jc w:val="left"/>
              <w:rPr>
                <w:rFonts w:eastAsia="Times New Roman" w:cs="Arial"/>
                <w:sz w:val="17"/>
                <w:szCs w:val="17"/>
              </w:rPr>
            </w:pPr>
            <w:r w:rsidRPr="00EA0DC7">
              <w:rPr>
                <w:rFonts w:eastAsia="Times New Roman" w:cs="Arial"/>
                <w:sz w:val="17"/>
                <w:szCs w:val="17"/>
              </w:rPr>
              <w:t>Every two weeks</w:t>
            </w:r>
          </w:p>
        </w:tc>
        <w:tc>
          <w:tcPr>
            <w:tcW w:w="1134" w:type="dxa"/>
            <w:tcBorders>
              <w:bottom w:val="single" w:sz="4" w:space="0" w:color="auto"/>
            </w:tcBorders>
          </w:tcPr>
          <w:p w14:paraId="4FF392AA"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Control (received clinical supervision on the education programme but not additional workplace supervision)</w:t>
            </w:r>
          </w:p>
        </w:tc>
        <w:tc>
          <w:tcPr>
            <w:tcW w:w="1843" w:type="dxa"/>
            <w:tcBorders>
              <w:bottom w:val="single" w:sz="4" w:space="0" w:color="auto"/>
            </w:tcBorders>
            <w:shd w:val="clear" w:color="auto" w:fill="auto"/>
            <w:noWrap/>
          </w:tcPr>
          <w:p w14:paraId="4E4E67C9" w14:textId="77777777" w:rsidR="00144D1E" w:rsidRPr="00EA0DC7" w:rsidRDefault="00144D1E" w:rsidP="00F744CC">
            <w:pPr>
              <w:spacing w:after="0" w:line="240" w:lineRule="auto"/>
              <w:jc w:val="left"/>
              <w:rPr>
                <w:rFonts w:eastAsia="Times New Roman" w:cs="Arial"/>
                <w:b/>
                <w:bCs/>
                <w:sz w:val="17"/>
                <w:szCs w:val="17"/>
              </w:rPr>
            </w:pPr>
            <w:r w:rsidRPr="00EA0DC7">
              <w:rPr>
                <w:rFonts w:eastAsia="Times New Roman" w:cs="Arial"/>
                <w:sz w:val="17"/>
                <w:szCs w:val="17"/>
              </w:rPr>
              <w:t>Patients treated by supervised nurses had greater reductions in positive symptoms and total symptoms than those treated by unsupervised nurses. There were no differences in social functioning between the two patient groups.</w:t>
            </w:r>
          </w:p>
        </w:tc>
        <w:tc>
          <w:tcPr>
            <w:tcW w:w="1135" w:type="dxa"/>
            <w:tcBorders>
              <w:bottom w:val="single" w:sz="4" w:space="0" w:color="auto"/>
            </w:tcBorders>
            <w:shd w:val="clear" w:color="auto" w:fill="auto"/>
            <w:noWrap/>
          </w:tcPr>
          <w:p w14:paraId="30F076AB" w14:textId="77777777" w:rsidR="00144D1E" w:rsidRPr="00EA0DC7" w:rsidRDefault="00144D1E" w:rsidP="00F744CC">
            <w:pPr>
              <w:widowControl w:val="0"/>
              <w:spacing w:after="0" w:line="240" w:lineRule="auto"/>
              <w:jc w:val="left"/>
              <w:rPr>
                <w:rFonts w:eastAsia="Times New Roman" w:cs="Arial"/>
                <w:b/>
                <w:bCs/>
                <w:sz w:val="17"/>
                <w:szCs w:val="17"/>
              </w:rPr>
            </w:pPr>
            <w:r w:rsidRPr="00EA0DC7">
              <w:rPr>
                <w:rFonts w:eastAsia="Times New Roman" w:cs="Arial"/>
                <w:sz w:val="17"/>
                <w:szCs w:val="17"/>
              </w:rPr>
              <w:t xml:space="preserve">Patient outcome (Krawiecka, Goldberg &amp; Vaughan symptom scale]; </w:t>
            </w:r>
            <w:r w:rsidRPr="00EA0DC7">
              <w:rPr>
                <w:rFonts w:eastAsia="Times New Roman" w:cs="Arial"/>
                <w:noProof/>
                <w:sz w:val="17"/>
                <w:szCs w:val="17"/>
              </w:rPr>
              <w:t>Krawiecka, Goldberg, &amp; Vaughan, 1977</w:t>
            </w:r>
            <w:r w:rsidRPr="00EA0DC7">
              <w:rPr>
                <w:rFonts w:eastAsia="Times New Roman" w:cs="Arial"/>
                <w:sz w:val="17"/>
                <w:szCs w:val="17"/>
              </w:rPr>
              <w:t>, modified by Lancashire [unpublish-ed])</w:t>
            </w:r>
          </w:p>
        </w:tc>
        <w:tc>
          <w:tcPr>
            <w:tcW w:w="708" w:type="dxa"/>
            <w:tcBorders>
              <w:bottom w:val="single" w:sz="4" w:space="0" w:color="auto"/>
            </w:tcBorders>
          </w:tcPr>
          <w:p w14:paraId="14054023" w14:textId="77777777" w:rsidR="00144D1E" w:rsidRPr="00EA0DC7" w:rsidRDefault="00144D1E" w:rsidP="00F744CC">
            <w:pPr>
              <w:spacing w:after="0" w:line="240" w:lineRule="auto"/>
              <w:jc w:val="center"/>
              <w:rPr>
                <w:rFonts w:eastAsia="Times New Roman" w:cs="Arial"/>
                <w:b/>
                <w:bCs/>
                <w:sz w:val="17"/>
                <w:szCs w:val="17"/>
              </w:rPr>
            </w:pPr>
            <w:r w:rsidRPr="00EA0DC7">
              <w:rPr>
                <w:rFonts w:eastAsia="Times New Roman" w:cs="Arial"/>
                <w:sz w:val="17"/>
                <w:szCs w:val="17"/>
              </w:rPr>
              <w:t>11</w:t>
            </w:r>
          </w:p>
        </w:tc>
      </w:tr>
    </w:tbl>
    <w:p w14:paraId="7309B1CA" w14:textId="77777777" w:rsidR="00144D1E" w:rsidRPr="00EA0DC7" w:rsidRDefault="00144D1E" w:rsidP="00144D1E">
      <w:pPr>
        <w:spacing w:before="240" w:line="240" w:lineRule="auto"/>
        <w:jc w:val="center"/>
        <w:rPr>
          <w:rFonts w:eastAsia="Times New Roman" w:cs="Arial"/>
          <w:b/>
          <w:bCs/>
          <w:sz w:val="17"/>
          <w:szCs w:val="17"/>
        </w:rPr>
        <w:sectPr w:rsidR="00144D1E" w:rsidRPr="00EA0DC7" w:rsidSect="00F744CC">
          <w:pgSz w:w="16838" w:h="11906" w:orient="landscape"/>
          <w:pgMar w:top="2268" w:right="1440" w:bottom="1440" w:left="1440" w:header="709" w:footer="709" w:gutter="0"/>
          <w:cols w:space="708"/>
          <w:docGrid w:linePitch="360"/>
        </w:sectPr>
      </w:pPr>
    </w:p>
    <w:tbl>
      <w:tblPr>
        <w:tblW w:w="14181" w:type="dxa"/>
        <w:tblInd w:w="-5" w:type="dxa"/>
        <w:tblLayout w:type="fixed"/>
        <w:tblLook w:val="04A0" w:firstRow="1" w:lastRow="0" w:firstColumn="1" w:lastColumn="0" w:noHBand="0" w:noVBand="1"/>
      </w:tblPr>
      <w:tblGrid>
        <w:gridCol w:w="1134"/>
        <w:gridCol w:w="1134"/>
        <w:gridCol w:w="1134"/>
        <w:gridCol w:w="1134"/>
        <w:gridCol w:w="993"/>
        <w:gridCol w:w="1275"/>
        <w:gridCol w:w="1281"/>
        <w:gridCol w:w="1276"/>
        <w:gridCol w:w="1134"/>
        <w:gridCol w:w="1843"/>
        <w:gridCol w:w="1135"/>
        <w:gridCol w:w="708"/>
      </w:tblGrid>
      <w:tr w:rsidR="00144D1E" w:rsidRPr="00EA0DC7" w14:paraId="6D59A7F5" w14:textId="77777777" w:rsidTr="00F744CC">
        <w:trPr>
          <w:trHeight w:val="300"/>
        </w:trPr>
        <w:tc>
          <w:tcPr>
            <w:tcW w:w="1134" w:type="dxa"/>
            <w:tcBorders>
              <w:top w:val="single" w:sz="4" w:space="0" w:color="auto"/>
              <w:bottom w:val="single" w:sz="4" w:space="0" w:color="auto"/>
            </w:tcBorders>
            <w:shd w:val="clear" w:color="auto" w:fill="auto"/>
            <w:noWrap/>
            <w:hideMark/>
          </w:tcPr>
          <w:p w14:paraId="55F682ED"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lastRenderedPageBreak/>
              <w:t>Study</w:t>
            </w:r>
          </w:p>
        </w:tc>
        <w:tc>
          <w:tcPr>
            <w:tcW w:w="1134" w:type="dxa"/>
            <w:tcBorders>
              <w:top w:val="single" w:sz="4" w:space="0" w:color="auto"/>
              <w:bottom w:val="single" w:sz="4" w:space="0" w:color="auto"/>
            </w:tcBorders>
            <w:shd w:val="clear" w:color="auto" w:fill="auto"/>
            <w:noWrap/>
            <w:hideMark/>
          </w:tcPr>
          <w:p w14:paraId="6D099157"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Supervisor population</w:t>
            </w:r>
          </w:p>
        </w:tc>
        <w:tc>
          <w:tcPr>
            <w:tcW w:w="1134" w:type="dxa"/>
            <w:tcBorders>
              <w:top w:val="single" w:sz="4" w:space="0" w:color="auto"/>
              <w:bottom w:val="single" w:sz="4" w:space="0" w:color="auto"/>
            </w:tcBorders>
            <w:shd w:val="clear" w:color="auto" w:fill="auto"/>
            <w:noWrap/>
            <w:hideMark/>
          </w:tcPr>
          <w:p w14:paraId="2319AF3E"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Supervisee population</w:t>
            </w:r>
          </w:p>
        </w:tc>
        <w:tc>
          <w:tcPr>
            <w:tcW w:w="1134" w:type="dxa"/>
            <w:tcBorders>
              <w:top w:val="single" w:sz="4" w:space="0" w:color="auto"/>
              <w:bottom w:val="single" w:sz="4" w:space="0" w:color="auto"/>
            </w:tcBorders>
            <w:shd w:val="clear" w:color="auto" w:fill="auto"/>
            <w:noWrap/>
            <w:hideMark/>
          </w:tcPr>
          <w:p w14:paraId="2B64A216"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Patient population</w:t>
            </w:r>
          </w:p>
        </w:tc>
        <w:tc>
          <w:tcPr>
            <w:tcW w:w="993" w:type="dxa"/>
            <w:tcBorders>
              <w:top w:val="single" w:sz="4" w:space="0" w:color="auto"/>
              <w:bottom w:val="single" w:sz="4" w:space="0" w:color="auto"/>
            </w:tcBorders>
          </w:tcPr>
          <w:p w14:paraId="4EAAE12F"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Location of study</w:t>
            </w:r>
          </w:p>
        </w:tc>
        <w:tc>
          <w:tcPr>
            <w:tcW w:w="1275" w:type="dxa"/>
            <w:tcBorders>
              <w:top w:val="single" w:sz="4" w:space="0" w:color="auto"/>
              <w:bottom w:val="single" w:sz="4" w:space="0" w:color="auto"/>
            </w:tcBorders>
            <w:shd w:val="clear" w:color="auto" w:fill="auto"/>
            <w:noWrap/>
            <w:hideMark/>
          </w:tcPr>
          <w:p w14:paraId="0C8DB4F3"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Clinical intervention</w:t>
            </w:r>
          </w:p>
        </w:tc>
        <w:tc>
          <w:tcPr>
            <w:tcW w:w="1281" w:type="dxa"/>
            <w:tcBorders>
              <w:top w:val="single" w:sz="4" w:space="0" w:color="auto"/>
              <w:bottom w:val="single" w:sz="4" w:space="0" w:color="auto"/>
            </w:tcBorders>
            <w:shd w:val="clear" w:color="auto" w:fill="auto"/>
            <w:noWrap/>
            <w:hideMark/>
          </w:tcPr>
          <w:p w14:paraId="33637ED5"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Type(s) of supervision</w:t>
            </w:r>
          </w:p>
        </w:tc>
        <w:tc>
          <w:tcPr>
            <w:tcW w:w="1276" w:type="dxa"/>
            <w:tcBorders>
              <w:top w:val="single" w:sz="4" w:space="0" w:color="auto"/>
              <w:bottom w:val="single" w:sz="4" w:space="0" w:color="auto"/>
            </w:tcBorders>
          </w:tcPr>
          <w:p w14:paraId="0B057FD5"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Supervision frequency</w:t>
            </w:r>
          </w:p>
        </w:tc>
        <w:tc>
          <w:tcPr>
            <w:tcW w:w="1134" w:type="dxa"/>
            <w:tcBorders>
              <w:top w:val="single" w:sz="4" w:space="0" w:color="auto"/>
              <w:bottom w:val="single" w:sz="4" w:space="0" w:color="auto"/>
            </w:tcBorders>
          </w:tcPr>
          <w:p w14:paraId="6D05C8AC"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Study design</w:t>
            </w:r>
          </w:p>
        </w:tc>
        <w:tc>
          <w:tcPr>
            <w:tcW w:w="1843" w:type="dxa"/>
            <w:tcBorders>
              <w:top w:val="single" w:sz="4" w:space="0" w:color="auto"/>
              <w:bottom w:val="single" w:sz="4" w:space="0" w:color="auto"/>
            </w:tcBorders>
            <w:shd w:val="clear" w:color="auto" w:fill="auto"/>
            <w:noWrap/>
            <w:hideMark/>
          </w:tcPr>
          <w:p w14:paraId="11F05477"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Main findings</w:t>
            </w:r>
          </w:p>
        </w:tc>
        <w:tc>
          <w:tcPr>
            <w:tcW w:w="1135" w:type="dxa"/>
            <w:tcBorders>
              <w:top w:val="single" w:sz="4" w:space="0" w:color="auto"/>
              <w:bottom w:val="single" w:sz="4" w:space="0" w:color="auto"/>
            </w:tcBorders>
            <w:shd w:val="clear" w:color="auto" w:fill="auto"/>
            <w:noWrap/>
            <w:hideMark/>
          </w:tcPr>
          <w:p w14:paraId="4BE514F3"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Primary outcome variable</w:t>
            </w:r>
          </w:p>
        </w:tc>
        <w:tc>
          <w:tcPr>
            <w:tcW w:w="708" w:type="dxa"/>
            <w:tcBorders>
              <w:top w:val="single" w:sz="4" w:space="0" w:color="auto"/>
              <w:bottom w:val="single" w:sz="4" w:space="0" w:color="auto"/>
            </w:tcBorders>
          </w:tcPr>
          <w:p w14:paraId="2E617F34" w14:textId="77777777" w:rsidR="00144D1E" w:rsidRPr="00EA0DC7" w:rsidRDefault="00144D1E" w:rsidP="00F744CC">
            <w:pPr>
              <w:spacing w:before="240" w:line="240" w:lineRule="auto"/>
              <w:ind w:right="-44"/>
              <w:jc w:val="center"/>
              <w:rPr>
                <w:rFonts w:eastAsia="Times New Roman" w:cs="Arial"/>
                <w:b/>
                <w:bCs/>
                <w:sz w:val="17"/>
                <w:szCs w:val="17"/>
              </w:rPr>
            </w:pPr>
            <w:r w:rsidRPr="00EA0DC7">
              <w:rPr>
                <w:rFonts w:eastAsia="Times New Roman" w:cs="Arial"/>
                <w:b/>
                <w:bCs/>
                <w:sz w:val="17"/>
                <w:szCs w:val="17"/>
              </w:rPr>
              <w:t>QI score</w:t>
            </w:r>
          </w:p>
        </w:tc>
      </w:tr>
      <w:tr w:rsidR="00144D1E" w:rsidRPr="00EA0DC7" w14:paraId="292823E4" w14:textId="77777777" w:rsidTr="00F744CC">
        <w:trPr>
          <w:trHeight w:val="300"/>
        </w:trPr>
        <w:tc>
          <w:tcPr>
            <w:tcW w:w="1134" w:type="dxa"/>
            <w:shd w:val="clear" w:color="auto" w:fill="auto"/>
            <w:noWrap/>
          </w:tcPr>
          <w:p w14:paraId="238D5971" w14:textId="77777777" w:rsidR="00144D1E" w:rsidRPr="00EA0DC7" w:rsidRDefault="00144D1E" w:rsidP="00F744CC">
            <w:pPr>
              <w:spacing w:before="240" w:line="240" w:lineRule="auto"/>
              <w:jc w:val="left"/>
              <w:rPr>
                <w:rFonts w:eastAsia="Times New Roman" w:cs="Arial"/>
                <w:b/>
                <w:bCs/>
                <w:i/>
                <w:sz w:val="17"/>
                <w:szCs w:val="17"/>
              </w:rPr>
            </w:pPr>
            <w:r w:rsidRPr="00EA0DC7">
              <w:rPr>
                <w:rFonts w:eastAsia="Times New Roman" w:cs="Arial"/>
                <w:i/>
                <w:noProof/>
                <w:sz w:val="17"/>
                <w:szCs w:val="17"/>
              </w:rPr>
              <w:t>Burlingame et al. (2007)</w:t>
            </w:r>
          </w:p>
        </w:tc>
        <w:tc>
          <w:tcPr>
            <w:tcW w:w="1134" w:type="dxa"/>
            <w:shd w:val="clear" w:color="auto" w:fill="auto"/>
            <w:noWrap/>
          </w:tcPr>
          <w:p w14:paraId="00AD0C36"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 xml:space="preserve">Advanced Practice Registered Nurse, </w:t>
            </w:r>
            <w:r w:rsidRPr="00EA0DC7">
              <w:rPr>
                <w:rFonts w:eastAsia="Times New Roman" w:cs="Arial"/>
                <w:i/>
                <w:sz w:val="17"/>
                <w:szCs w:val="17"/>
              </w:rPr>
              <w:t xml:space="preserve">n = </w:t>
            </w:r>
            <w:r w:rsidRPr="00EA0DC7">
              <w:rPr>
                <w:rFonts w:eastAsia="Times New Roman" w:cs="Arial"/>
                <w:sz w:val="17"/>
                <w:szCs w:val="17"/>
              </w:rPr>
              <w:t>1</w:t>
            </w:r>
          </w:p>
        </w:tc>
        <w:tc>
          <w:tcPr>
            <w:tcW w:w="1134" w:type="dxa"/>
            <w:shd w:val="clear" w:color="auto" w:fill="auto"/>
            <w:noWrap/>
          </w:tcPr>
          <w:p w14:paraId="09BA2406" w14:textId="77777777" w:rsidR="00144D1E" w:rsidRPr="00EA0DC7" w:rsidRDefault="00144D1E" w:rsidP="00F744CC">
            <w:pPr>
              <w:spacing w:before="240" w:line="240" w:lineRule="auto"/>
              <w:jc w:val="left"/>
              <w:rPr>
                <w:rFonts w:eastAsia="Times New Roman" w:cs="Arial"/>
                <w:b/>
                <w:bCs/>
                <w:sz w:val="17"/>
                <w:szCs w:val="17"/>
              </w:rPr>
            </w:pPr>
            <w:r>
              <w:rPr>
                <w:rFonts w:eastAsia="Times New Roman" w:cs="Arial"/>
                <w:sz w:val="17"/>
                <w:szCs w:val="17"/>
              </w:rPr>
              <w:t>Qualified</w:t>
            </w:r>
            <w:r w:rsidRPr="00EA0DC7">
              <w:rPr>
                <w:rFonts w:eastAsia="Times New Roman" w:cs="Arial"/>
                <w:sz w:val="17"/>
                <w:szCs w:val="17"/>
              </w:rPr>
              <w:t xml:space="preserve"> (nurses, </w:t>
            </w:r>
            <w:r w:rsidRPr="00EA0DC7">
              <w:rPr>
                <w:rFonts w:eastAsia="Times New Roman" w:cs="Arial"/>
                <w:i/>
                <w:sz w:val="17"/>
                <w:szCs w:val="17"/>
              </w:rPr>
              <w:t xml:space="preserve">n = </w:t>
            </w:r>
            <w:r w:rsidRPr="00EA0DC7">
              <w:rPr>
                <w:rFonts w:eastAsia="Times New Roman" w:cs="Arial"/>
                <w:sz w:val="17"/>
                <w:szCs w:val="17"/>
              </w:rPr>
              <w:t>11)</w:t>
            </w:r>
          </w:p>
        </w:tc>
        <w:tc>
          <w:tcPr>
            <w:tcW w:w="1134" w:type="dxa"/>
            <w:shd w:val="clear" w:color="auto" w:fill="auto"/>
            <w:noWrap/>
          </w:tcPr>
          <w:p w14:paraId="4504BAB2"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 xml:space="preserve">Clinical (hospital inpatients, </w:t>
            </w:r>
            <w:r w:rsidRPr="00EA0DC7">
              <w:rPr>
                <w:rFonts w:eastAsia="Times New Roman" w:cs="Arial"/>
                <w:i/>
                <w:sz w:val="17"/>
                <w:szCs w:val="17"/>
              </w:rPr>
              <w:t xml:space="preserve">n = </w:t>
            </w:r>
            <w:r w:rsidRPr="00EA0DC7">
              <w:rPr>
                <w:rFonts w:eastAsia="Times New Roman" w:cs="Arial"/>
                <w:sz w:val="17"/>
                <w:szCs w:val="17"/>
              </w:rPr>
              <w:t>38)</w:t>
            </w:r>
          </w:p>
        </w:tc>
        <w:tc>
          <w:tcPr>
            <w:tcW w:w="993" w:type="dxa"/>
          </w:tcPr>
          <w:p w14:paraId="617B0CB3"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US</w:t>
            </w:r>
          </w:p>
          <w:p w14:paraId="48A322DE" w14:textId="77777777" w:rsidR="00144D1E" w:rsidRPr="00EA0DC7" w:rsidRDefault="00144D1E" w:rsidP="00F744CC">
            <w:pPr>
              <w:spacing w:before="240"/>
              <w:rPr>
                <w:rFonts w:eastAsia="Times New Roman" w:cs="Arial"/>
                <w:sz w:val="17"/>
                <w:szCs w:val="17"/>
              </w:rPr>
            </w:pPr>
          </w:p>
        </w:tc>
        <w:tc>
          <w:tcPr>
            <w:tcW w:w="1275" w:type="dxa"/>
            <w:shd w:val="clear" w:color="auto" w:fill="auto"/>
            <w:noWrap/>
          </w:tcPr>
          <w:p w14:paraId="357D7172"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Psycho-educational group</w:t>
            </w:r>
          </w:p>
        </w:tc>
        <w:tc>
          <w:tcPr>
            <w:tcW w:w="1281" w:type="dxa"/>
            <w:shd w:val="clear" w:color="auto" w:fill="auto"/>
            <w:noWrap/>
          </w:tcPr>
          <w:p w14:paraId="2875F13E"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ns</w:t>
            </w:r>
          </w:p>
        </w:tc>
        <w:tc>
          <w:tcPr>
            <w:tcW w:w="1276" w:type="dxa"/>
          </w:tcPr>
          <w:p w14:paraId="4FB48E4C"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Weekly</w:t>
            </w:r>
          </w:p>
        </w:tc>
        <w:tc>
          <w:tcPr>
            <w:tcW w:w="1134" w:type="dxa"/>
          </w:tcPr>
          <w:p w14:paraId="5CC3CAFB"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Control (received workshop training only)</w:t>
            </w:r>
          </w:p>
        </w:tc>
        <w:tc>
          <w:tcPr>
            <w:tcW w:w="1843" w:type="dxa"/>
            <w:shd w:val="clear" w:color="auto" w:fill="auto"/>
            <w:noWrap/>
          </w:tcPr>
          <w:p w14:paraId="5E4EE310"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There was no difference in patient outcome between the supervision condition and workshop condition.</w:t>
            </w:r>
          </w:p>
        </w:tc>
        <w:tc>
          <w:tcPr>
            <w:tcW w:w="1135" w:type="dxa"/>
            <w:shd w:val="clear" w:color="auto" w:fill="auto"/>
            <w:noWrap/>
          </w:tcPr>
          <w:p w14:paraId="1369BB86" w14:textId="77777777" w:rsidR="00144D1E" w:rsidRPr="00EA0DC7" w:rsidRDefault="00144D1E" w:rsidP="00F744CC">
            <w:pPr>
              <w:spacing w:before="240" w:line="240" w:lineRule="auto"/>
              <w:jc w:val="left"/>
              <w:rPr>
                <w:rFonts w:eastAsia="Times New Roman" w:cs="Arial"/>
                <w:b/>
                <w:bCs/>
                <w:sz w:val="17"/>
                <w:szCs w:val="17"/>
              </w:rPr>
            </w:pPr>
            <w:r w:rsidRPr="00EA0DC7">
              <w:rPr>
                <w:rFonts w:eastAsia="Times New Roman" w:cs="Arial"/>
                <w:sz w:val="17"/>
                <w:szCs w:val="17"/>
              </w:rPr>
              <w:t xml:space="preserve">Patient symptoms (Moller-Murphy Symptom Managem-ent Assessme-nt Tool II; MM-SMAT II revised; original from </w:t>
            </w:r>
            <w:r w:rsidRPr="00EA0DC7">
              <w:rPr>
                <w:rFonts w:eastAsia="Times New Roman" w:cs="Arial"/>
                <w:noProof/>
                <w:sz w:val="17"/>
                <w:szCs w:val="17"/>
              </w:rPr>
              <w:t>Murphy &amp; Moller, 1998)</w:t>
            </w:r>
          </w:p>
        </w:tc>
        <w:tc>
          <w:tcPr>
            <w:tcW w:w="708" w:type="dxa"/>
          </w:tcPr>
          <w:p w14:paraId="5A4BCDEF"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sz w:val="17"/>
                <w:szCs w:val="17"/>
              </w:rPr>
              <w:t>15</w:t>
            </w:r>
          </w:p>
        </w:tc>
      </w:tr>
      <w:tr w:rsidR="00144D1E" w:rsidRPr="00EA0DC7" w14:paraId="0041BEAC" w14:textId="77777777" w:rsidTr="00F744CC">
        <w:trPr>
          <w:trHeight w:val="1200"/>
        </w:trPr>
        <w:tc>
          <w:tcPr>
            <w:tcW w:w="1134" w:type="dxa"/>
            <w:tcBorders>
              <w:bottom w:val="single" w:sz="4" w:space="0" w:color="auto"/>
            </w:tcBorders>
            <w:shd w:val="clear" w:color="auto" w:fill="auto"/>
            <w:noWrap/>
          </w:tcPr>
          <w:p w14:paraId="03F5A20C" w14:textId="77777777" w:rsidR="00144D1E" w:rsidRPr="00EA0DC7" w:rsidRDefault="00144D1E" w:rsidP="00F744CC">
            <w:pPr>
              <w:spacing w:line="240" w:lineRule="auto"/>
              <w:jc w:val="left"/>
              <w:rPr>
                <w:rFonts w:eastAsia="Times New Roman" w:cs="Arial"/>
                <w:i/>
                <w:noProof/>
                <w:sz w:val="17"/>
                <w:szCs w:val="17"/>
              </w:rPr>
            </w:pPr>
            <w:r w:rsidRPr="00EA0DC7">
              <w:rPr>
                <w:rFonts w:eastAsia="Times New Roman" w:cs="Arial"/>
                <w:i/>
                <w:noProof/>
                <w:sz w:val="17"/>
                <w:szCs w:val="17"/>
              </w:rPr>
              <w:t>Crutchfield and Borders (1997)</w:t>
            </w:r>
          </w:p>
        </w:tc>
        <w:tc>
          <w:tcPr>
            <w:tcW w:w="1134" w:type="dxa"/>
            <w:tcBorders>
              <w:bottom w:val="single" w:sz="4" w:space="0" w:color="auto"/>
            </w:tcBorders>
            <w:shd w:val="clear" w:color="auto" w:fill="auto"/>
            <w:noWrap/>
          </w:tcPr>
          <w:p w14:paraId="01564D07"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ns</w:t>
            </w:r>
          </w:p>
        </w:tc>
        <w:tc>
          <w:tcPr>
            <w:tcW w:w="1134" w:type="dxa"/>
            <w:tcBorders>
              <w:bottom w:val="single" w:sz="4" w:space="0" w:color="auto"/>
            </w:tcBorders>
            <w:shd w:val="clear" w:color="auto" w:fill="auto"/>
            <w:noWrap/>
          </w:tcPr>
          <w:p w14:paraId="66D5AE87" w14:textId="77777777" w:rsidR="00144D1E" w:rsidRPr="00EA0DC7" w:rsidRDefault="00144D1E" w:rsidP="00F744CC">
            <w:pPr>
              <w:spacing w:line="240" w:lineRule="auto"/>
              <w:jc w:val="left"/>
              <w:rPr>
                <w:rFonts w:eastAsia="Times New Roman" w:cs="Arial"/>
                <w:sz w:val="17"/>
                <w:szCs w:val="17"/>
              </w:rPr>
            </w:pPr>
            <w:r>
              <w:rPr>
                <w:rFonts w:eastAsia="Times New Roman" w:cs="Arial"/>
                <w:sz w:val="17"/>
                <w:szCs w:val="17"/>
              </w:rPr>
              <w:t>Qualified</w:t>
            </w:r>
            <w:r w:rsidRPr="00EA0DC7">
              <w:rPr>
                <w:rFonts w:eastAsia="Times New Roman" w:cs="Arial"/>
                <w:sz w:val="17"/>
                <w:szCs w:val="17"/>
              </w:rPr>
              <w:t xml:space="preserve"> (school counsellors, </w:t>
            </w:r>
            <w:r w:rsidRPr="00EA0DC7">
              <w:rPr>
                <w:rFonts w:eastAsia="Times New Roman" w:cs="Arial"/>
                <w:i/>
                <w:sz w:val="17"/>
                <w:szCs w:val="17"/>
              </w:rPr>
              <w:t>n = 2</w:t>
            </w:r>
            <w:r w:rsidRPr="00EA0DC7">
              <w:rPr>
                <w:rFonts w:eastAsia="Times New Roman" w:cs="Arial"/>
                <w:sz w:val="17"/>
                <w:szCs w:val="17"/>
              </w:rPr>
              <w:t>8)</w:t>
            </w:r>
          </w:p>
        </w:tc>
        <w:tc>
          <w:tcPr>
            <w:tcW w:w="1134" w:type="dxa"/>
            <w:tcBorders>
              <w:bottom w:val="single" w:sz="4" w:space="0" w:color="auto"/>
            </w:tcBorders>
            <w:shd w:val="clear" w:color="auto" w:fill="auto"/>
            <w:noWrap/>
          </w:tcPr>
          <w:p w14:paraId="2E955899" w14:textId="77777777" w:rsidR="00144D1E" w:rsidRPr="00EA0DC7" w:rsidRDefault="00144D1E" w:rsidP="00F744CC">
            <w:pPr>
              <w:spacing w:line="240" w:lineRule="auto"/>
              <w:jc w:val="left"/>
              <w:rPr>
                <w:rFonts w:eastAsia="Times New Roman" w:cs="Arial"/>
                <w:i/>
                <w:sz w:val="17"/>
                <w:szCs w:val="17"/>
              </w:rPr>
            </w:pPr>
            <w:r w:rsidRPr="00EA0DC7">
              <w:rPr>
                <w:rFonts w:eastAsia="Times New Roman" w:cs="Arial"/>
                <w:sz w:val="17"/>
                <w:szCs w:val="17"/>
              </w:rPr>
              <w:t>Non-clinical</w:t>
            </w:r>
            <w:r w:rsidRPr="00EA0DC7">
              <w:rPr>
                <w:rFonts w:eastAsia="Times New Roman" w:cs="Arial"/>
                <w:i/>
                <w:sz w:val="17"/>
                <w:szCs w:val="17"/>
              </w:rPr>
              <w:t xml:space="preserve"> </w:t>
            </w:r>
            <w:r w:rsidRPr="00EA0DC7">
              <w:rPr>
                <w:rFonts w:eastAsia="Times New Roman" w:cs="Arial"/>
                <w:sz w:val="17"/>
                <w:szCs w:val="17"/>
              </w:rPr>
              <w:t>(</w:t>
            </w:r>
            <w:r w:rsidRPr="00EA0DC7">
              <w:rPr>
                <w:rFonts w:eastAsia="Times New Roman" w:cs="Arial"/>
                <w:i/>
                <w:sz w:val="17"/>
                <w:szCs w:val="17"/>
              </w:rPr>
              <w:t xml:space="preserve">n = </w:t>
            </w:r>
            <w:r w:rsidRPr="00EA0DC7">
              <w:rPr>
                <w:rFonts w:eastAsia="Times New Roman" w:cs="Arial"/>
                <w:sz w:val="17"/>
                <w:szCs w:val="17"/>
              </w:rPr>
              <w:t>156)</w:t>
            </w:r>
          </w:p>
        </w:tc>
        <w:tc>
          <w:tcPr>
            <w:tcW w:w="993" w:type="dxa"/>
            <w:tcBorders>
              <w:bottom w:val="single" w:sz="4" w:space="0" w:color="auto"/>
            </w:tcBorders>
          </w:tcPr>
          <w:p w14:paraId="3274A592"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US</w:t>
            </w:r>
          </w:p>
        </w:tc>
        <w:tc>
          <w:tcPr>
            <w:tcW w:w="1275" w:type="dxa"/>
            <w:tcBorders>
              <w:bottom w:val="single" w:sz="4" w:space="0" w:color="auto"/>
            </w:tcBorders>
            <w:shd w:val="clear" w:color="auto" w:fill="auto"/>
            <w:noWrap/>
          </w:tcPr>
          <w:p w14:paraId="4000B086"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ns</w:t>
            </w:r>
          </w:p>
        </w:tc>
        <w:tc>
          <w:tcPr>
            <w:tcW w:w="1281" w:type="dxa"/>
            <w:tcBorders>
              <w:bottom w:val="single" w:sz="4" w:space="0" w:color="auto"/>
            </w:tcBorders>
            <w:shd w:val="clear" w:color="auto" w:fill="auto"/>
          </w:tcPr>
          <w:p w14:paraId="7580E064"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Structured Peer Consultation Model for School Counsellors (SPCM-SC; Benshoff &amp; Paisley, 1996)</w:t>
            </w:r>
            <w:r w:rsidRPr="00EA0DC7">
              <w:rPr>
                <w:rFonts w:eastAsia="Times New Roman" w:cs="Arial"/>
                <w:sz w:val="17"/>
                <w:szCs w:val="17"/>
              </w:rPr>
              <w:br/>
            </w:r>
            <w:r w:rsidRPr="00EA0DC7">
              <w:rPr>
                <w:rFonts w:eastAsia="Times New Roman" w:cs="Arial"/>
                <w:sz w:val="17"/>
                <w:szCs w:val="17"/>
              </w:rPr>
              <w:br/>
              <w:t>Systematic Peer Group Supervision (SPCM-SC; Borders, 1991)</w:t>
            </w:r>
          </w:p>
        </w:tc>
        <w:tc>
          <w:tcPr>
            <w:tcW w:w="1276" w:type="dxa"/>
            <w:tcBorders>
              <w:bottom w:val="single" w:sz="4" w:space="0" w:color="auto"/>
            </w:tcBorders>
          </w:tcPr>
          <w:p w14:paraId="6C2D42C1"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Weekly</w:t>
            </w:r>
          </w:p>
        </w:tc>
        <w:tc>
          <w:tcPr>
            <w:tcW w:w="1134" w:type="dxa"/>
            <w:tcBorders>
              <w:bottom w:val="single" w:sz="4" w:space="0" w:color="auto"/>
            </w:tcBorders>
          </w:tcPr>
          <w:p w14:paraId="1F66CBA5"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Control (no supervision -this group were asked to focus individually on their plans for professional develop-ment)</w:t>
            </w:r>
          </w:p>
        </w:tc>
        <w:tc>
          <w:tcPr>
            <w:tcW w:w="1843" w:type="dxa"/>
            <w:tcBorders>
              <w:bottom w:val="single" w:sz="4" w:space="0" w:color="auto"/>
            </w:tcBorders>
            <w:shd w:val="clear" w:color="auto" w:fill="auto"/>
          </w:tcPr>
          <w:p w14:paraId="459F3136"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No difference in patient change between two peer-group supervision models and a control group without supervision.</w:t>
            </w:r>
          </w:p>
        </w:tc>
        <w:tc>
          <w:tcPr>
            <w:tcW w:w="1135" w:type="dxa"/>
            <w:tcBorders>
              <w:bottom w:val="single" w:sz="4" w:space="0" w:color="auto"/>
            </w:tcBorders>
            <w:shd w:val="clear" w:color="auto" w:fill="auto"/>
            <w:noWrap/>
          </w:tcPr>
          <w:p w14:paraId="072FCE45"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Patient change (Teacher Report Form; TRF; </w:t>
            </w:r>
            <w:r w:rsidRPr="00EA0DC7">
              <w:rPr>
                <w:rFonts w:eastAsia="Times New Roman" w:cs="Arial"/>
                <w:noProof/>
                <w:sz w:val="17"/>
                <w:szCs w:val="17"/>
              </w:rPr>
              <w:t>Achenbach, 1991)</w:t>
            </w:r>
          </w:p>
        </w:tc>
        <w:tc>
          <w:tcPr>
            <w:tcW w:w="708" w:type="dxa"/>
            <w:tcBorders>
              <w:bottom w:val="single" w:sz="4" w:space="0" w:color="auto"/>
            </w:tcBorders>
          </w:tcPr>
          <w:p w14:paraId="5008E4E3" w14:textId="77777777" w:rsidR="00144D1E" w:rsidRPr="00EA0DC7" w:rsidRDefault="00144D1E" w:rsidP="00F744CC">
            <w:pPr>
              <w:spacing w:line="240" w:lineRule="auto"/>
              <w:jc w:val="center"/>
              <w:rPr>
                <w:rFonts w:eastAsia="Times New Roman" w:cs="Arial"/>
                <w:sz w:val="17"/>
                <w:szCs w:val="17"/>
              </w:rPr>
            </w:pPr>
            <w:r w:rsidRPr="00EA0DC7">
              <w:rPr>
                <w:rFonts w:eastAsia="Times New Roman" w:cs="Arial"/>
                <w:sz w:val="17"/>
                <w:szCs w:val="17"/>
              </w:rPr>
              <w:t>11</w:t>
            </w:r>
          </w:p>
        </w:tc>
      </w:tr>
    </w:tbl>
    <w:p w14:paraId="753C76AB" w14:textId="77777777" w:rsidR="00144D1E" w:rsidRPr="00EA0DC7" w:rsidRDefault="00144D1E" w:rsidP="00144D1E">
      <w:pPr>
        <w:spacing w:before="240" w:line="240" w:lineRule="auto"/>
        <w:jc w:val="center"/>
        <w:rPr>
          <w:rFonts w:eastAsia="Times New Roman" w:cs="Arial"/>
          <w:b/>
          <w:bCs/>
          <w:sz w:val="17"/>
          <w:szCs w:val="17"/>
        </w:rPr>
        <w:sectPr w:rsidR="00144D1E" w:rsidRPr="00EA0DC7" w:rsidSect="00F744CC">
          <w:pgSz w:w="16838" w:h="11906" w:orient="landscape"/>
          <w:pgMar w:top="1440" w:right="1440" w:bottom="2268" w:left="1440" w:header="709" w:footer="709" w:gutter="0"/>
          <w:cols w:space="708"/>
          <w:docGrid w:linePitch="360"/>
        </w:sectPr>
      </w:pPr>
    </w:p>
    <w:tbl>
      <w:tblPr>
        <w:tblW w:w="14181" w:type="dxa"/>
        <w:tblInd w:w="-5" w:type="dxa"/>
        <w:tblLayout w:type="fixed"/>
        <w:tblLook w:val="04A0" w:firstRow="1" w:lastRow="0" w:firstColumn="1" w:lastColumn="0" w:noHBand="0" w:noVBand="1"/>
      </w:tblPr>
      <w:tblGrid>
        <w:gridCol w:w="1134"/>
        <w:gridCol w:w="1134"/>
        <w:gridCol w:w="1134"/>
        <w:gridCol w:w="1134"/>
        <w:gridCol w:w="993"/>
        <w:gridCol w:w="1275"/>
        <w:gridCol w:w="1281"/>
        <w:gridCol w:w="1276"/>
        <w:gridCol w:w="1134"/>
        <w:gridCol w:w="1843"/>
        <w:gridCol w:w="1135"/>
        <w:gridCol w:w="708"/>
      </w:tblGrid>
      <w:tr w:rsidR="00144D1E" w:rsidRPr="00EA0DC7" w14:paraId="7B13B93E" w14:textId="77777777" w:rsidTr="00F744CC">
        <w:trPr>
          <w:trHeight w:val="300"/>
        </w:trPr>
        <w:tc>
          <w:tcPr>
            <w:tcW w:w="1134" w:type="dxa"/>
            <w:tcBorders>
              <w:top w:val="single" w:sz="4" w:space="0" w:color="auto"/>
              <w:bottom w:val="single" w:sz="4" w:space="0" w:color="auto"/>
            </w:tcBorders>
            <w:shd w:val="clear" w:color="auto" w:fill="auto"/>
            <w:noWrap/>
            <w:hideMark/>
          </w:tcPr>
          <w:p w14:paraId="2BA16214" w14:textId="77777777" w:rsidR="00144D1E" w:rsidRPr="00EA0DC7" w:rsidRDefault="00144D1E" w:rsidP="00F744CC">
            <w:pPr>
              <w:spacing w:before="240"/>
              <w:jc w:val="center"/>
              <w:rPr>
                <w:rFonts w:eastAsia="Times New Roman" w:cs="Arial"/>
                <w:b/>
                <w:bCs/>
                <w:sz w:val="17"/>
                <w:szCs w:val="17"/>
              </w:rPr>
            </w:pPr>
            <w:r w:rsidRPr="00EA0DC7">
              <w:rPr>
                <w:rFonts w:eastAsia="Times New Roman" w:cs="Arial"/>
                <w:b/>
                <w:bCs/>
                <w:sz w:val="17"/>
                <w:szCs w:val="17"/>
              </w:rPr>
              <w:lastRenderedPageBreak/>
              <w:t>Study</w:t>
            </w:r>
          </w:p>
        </w:tc>
        <w:tc>
          <w:tcPr>
            <w:tcW w:w="1134" w:type="dxa"/>
            <w:tcBorders>
              <w:top w:val="single" w:sz="4" w:space="0" w:color="auto"/>
              <w:bottom w:val="single" w:sz="4" w:space="0" w:color="auto"/>
            </w:tcBorders>
            <w:shd w:val="clear" w:color="auto" w:fill="auto"/>
            <w:noWrap/>
            <w:hideMark/>
          </w:tcPr>
          <w:p w14:paraId="693C66F7"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Supervisor population</w:t>
            </w:r>
          </w:p>
        </w:tc>
        <w:tc>
          <w:tcPr>
            <w:tcW w:w="1134" w:type="dxa"/>
            <w:tcBorders>
              <w:top w:val="single" w:sz="4" w:space="0" w:color="auto"/>
              <w:bottom w:val="single" w:sz="4" w:space="0" w:color="auto"/>
            </w:tcBorders>
            <w:shd w:val="clear" w:color="auto" w:fill="auto"/>
            <w:noWrap/>
            <w:hideMark/>
          </w:tcPr>
          <w:p w14:paraId="4D46F96E"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Supervisee population</w:t>
            </w:r>
          </w:p>
        </w:tc>
        <w:tc>
          <w:tcPr>
            <w:tcW w:w="1134" w:type="dxa"/>
            <w:tcBorders>
              <w:top w:val="single" w:sz="4" w:space="0" w:color="auto"/>
              <w:bottom w:val="single" w:sz="4" w:space="0" w:color="auto"/>
            </w:tcBorders>
            <w:shd w:val="clear" w:color="auto" w:fill="auto"/>
            <w:noWrap/>
            <w:hideMark/>
          </w:tcPr>
          <w:p w14:paraId="36DBD9C9"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Patient population</w:t>
            </w:r>
          </w:p>
        </w:tc>
        <w:tc>
          <w:tcPr>
            <w:tcW w:w="993" w:type="dxa"/>
            <w:tcBorders>
              <w:top w:val="single" w:sz="4" w:space="0" w:color="auto"/>
              <w:bottom w:val="single" w:sz="4" w:space="0" w:color="auto"/>
            </w:tcBorders>
          </w:tcPr>
          <w:p w14:paraId="2B3ED248"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Location of study</w:t>
            </w:r>
          </w:p>
        </w:tc>
        <w:tc>
          <w:tcPr>
            <w:tcW w:w="1275" w:type="dxa"/>
            <w:tcBorders>
              <w:top w:val="single" w:sz="4" w:space="0" w:color="auto"/>
              <w:bottom w:val="single" w:sz="4" w:space="0" w:color="auto"/>
            </w:tcBorders>
            <w:shd w:val="clear" w:color="auto" w:fill="auto"/>
            <w:noWrap/>
            <w:hideMark/>
          </w:tcPr>
          <w:p w14:paraId="2415DAF7"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Clinical intervention</w:t>
            </w:r>
          </w:p>
        </w:tc>
        <w:tc>
          <w:tcPr>
            <w:tcW w:w="1281" w:type="dxa"/>
            <w:tcBorders>
              <w:top w:val="single" w:sz="4" w:space="0" w:color="auto"/>
              <w:bottom w:val="single" w:sz="4" w:space="0" w:color="auto"/>
            </w:tcBorders>
            <w:shd w:val="clear" w:color="auto" w:fill="auto"/>
            <w:noWrap/>
            <w:hideMark/>
          </w:tcPr>
          <w:p w14:paraId="757E0228"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Type(s) of supervision</w:t>
            </w:r>
          </w:p>
        </w:tc>
        <w:tc>
          <w:tcPr>
            <w:tcW w:w="1276" w:type="dxa"/>
            <w:tcBorders>
              <w:top w:val="single" w:sz="4" w:space="0" w:color="auto"/>
              <w:bottom w:val="single" w:sz="4" w:space="0" w:color="auto"/>
            </w:tcBorders>
          </w:tcPr>
          <w:p w14:paraId="7E259CDB"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Supervision frequency</w:t>
            </w:r>
          </w:p>
        </w:tc>
        <w:tc>
          <w:tcPr>
            <w:tcW w:w="1134" w:type="dxa"/>
            <w:tcBorders>
              <w:top w:val="single" w:sz="4" w:space="0" w:color="auto"/>
              <w:bottom w:val="single" w:sz="4" w:space="0" w:color="auto"/>
            </w:tcBorders>
          </w:tcPr>
          <w:p w14:paraId="03FF8628"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Study design</w:t>
            </w:r>
          </w:p>
        </w:tc>
        <w:tc>
          <w:tcPr>
            <w:tcW w:w="1843" w:type="dxa"/>
            <w:tcBorders>
              <w:top w:val="single" w:sz="4" w:space="0" w:color="auto"/>
              <w:bottom w:val="single" w:sz="4" w:space="0" w:color="auto"/>
            </w:tcBorders>
            <w:shd w:val="clear" w:color="auto" w:fill="auto"/>
            <w:noWrap/>
            <w:hideMark/>
          </w:tcPr>
          <w:p w14:paraId="7CCA6519"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Main findings</w:t>
            </w:r>
          </w:p>
        </w:tc>
        <w:tc>
          <w:tcPr>
            <w:tcW w:w="1135" w:type="dxa"/>
            <w:tcBorders>
              <w:top w:val="single" w:sz="4" w:space="0" w:color="auto"/>
              <w:bottom w:val="single" w:sz="4" w:space="0" w:color="auto"/>
            </w:tcBorders>
            <w:shd w:val="clear" w:color="auto" w:fill="auto"/>
            <w:noWrap/>
            <w:hideMark/>
          </w:tcPr>
          <w:p w14:paraId="7B95759A" w14:textId="77777777" w:rsidR="00144D1E" w:rsidRPr="00EA0DC7" w:rsidRDefault="00144D1E" w:rsidP="00F744CC">
            <w:pPr>
              <w:spacing w:before="240" w:line="240" w:lineRule="auto"/>
              <w:jc w:val="center"/>
              <w:rPr>
                <w:rFonts w:eastAsia="Times New Roman" w:cs="Arial"/>
                <w:b/>
                <w:bCs/>
                <w:sz w:val="17"/>
                <w:szCs w:val="17"/>
              </w:rPr>
            </w:pPr>
            <w:r w:rsidRPr="00EA0DC7">
              <w:rPr>
                <w:rFonts w:eastAsia="Times New Roman" w:cs="Arial"/>
                <w:b/>
                <w:bCs/>
                <w:sz w:val="17"/>
                <w:szCs w:val="17"/>
              </w:rPr>
              <w:t>Primary outcome variable</w:t>
            </w:r>
          </w:p>
        </w:tc>
        <w:tc>
          <w:tcPr>
            <w:tcW w:w="708" w:type="dxa"/>
            <w:tcBorders>
              <w:top w:val="single" w:sz="4" w:space="0" w:color="auto"/>
              <w:bottom w:val="single" w:sz="4" w:space="0" w:color="auto"/>
            </w:tcBorders>
          </w:tcPr>
          <w:p w14:paraId="2FCD8929" w14:textId="77777777" w:rsidR="00144D1E" w:rsidRPr="00EA0DC7" w:rsidRDefault="00144D1E" w:rsidP="00F744CC">
            <w:pPr>
              <w:spacing w:before="240" w:line="240" w:lineRule="auto"/>
              <w:ind w:right="-44"/>
              <w:jc w:val="center"/>
              <w:rPr>
                <w:rFonts w:eastAsia="Times New Roman" w:cs="Arial"/>
                <w:b/>
                <w:bCs/>
                <w:sz w:val="17"/>
                <w:szCs w:val="17"/>
              </w:rPr>
            </w:pPr>
            <w:r w:rsidRPr="00EA0DC7">
              <w:rPr>
                <w:rFonts w:eastAsia="Times New Roman" w:cs="Arial"/>
                <w:b/>
                <w:bCs/>
                <w:sz w:val="17"/>
                <w:szCs w:val="17"/>
              </w:rPr>
              <w:t>QI score</w:t>
            </w:r>
          </w:p>
        </w:tc>
      </w:tr>
      <w:tr w:rsidR="00144D1E" w:rsidRPr="00EA0DC7" w14:paraId="733607D6" w14:textId="77777777" w:rsidTr="00F744CC">
        <w:trPr>
          <w:trHeight w:val="1200"/>
        </w:trPr>
        <w:tc>
          <w:tcPr>
            <w:tcW w:w="1134" w:type="dxa"/>
            <w:shd w:val="clear" w:color="auto" w:fill="auto"/>
            <w:noWrap/>
            <w:hideMark/>
          </w:tcPr>
          <w:p w14:paraId="3EB66713" w14:textId="77777777" w:rsidR="00144D1E" w:rsidRPr="00EA0DC7" w:rsidRDefault="00144D1E" w:rsidP="00F744CC">
            <w:pPr>
              <w:spacing w:before="240" w:line="240" w:lineRule="auto"/>
              <w:jc w:val="left"/>
              <w:rPr>
                <w:rFonts w:eastAsia="Times New Roman" w:cs="Arial"/>
                <w:i/>
                <w:sz w:val="17"/>
                <w:szCs w:val="17"/>
              </w:rPr>
            </w:pPr>
            <w:r w:rsidRPr="00EA0DC7">
              <w:rPr>
                <w:rFonts w:eastAsia="Times New Roman" w:cs="Arial"/>
                <w:i/>
                <w:noProof/>
                <w:sz w:val="17"/>
                <w:szCs w:val="17"/>
              </w:rPr>
              <w:t>Grossl, Reese, Norsworthy and Hopkins (2014)</w:t>
            </w:r>
          </w:p>
        </w:tc>
        <w:tc>
          <w:tcPr>
            <w:tcW w:w="1134" w:type="dxa"/>
            <w:shd w:val="clear" w:color="auto" w:fill="auto"/>
            <w:noWrap/>
            <w:hideMark/>
          </w:tcPr>
          <w:p w14:paraId="769D1EF0"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Licensed psychologi-sts or marriage and family therapists with doctoral degrees, </w:t>
            </w:r>
            <w:r w:rsidRPr="00EA0DC7">
              <w:rPr>
                <w:rFonts w:eastAsia="Times New Roman" w:cs="Arial"/>
                <w:i/>
                <w:sz w:val="17"/>
                <w:szCs w:val="17"/>
              </w:rPr>
              <w:t xml:space="preserve">n = </w:t>
            </w:r>
            <w:r w:rsidRPr="00EA0DC7">
              <w:rPr>
                <w:rFonts w:eastAsia="Times New Roman" w:cs="Arial"/>
                <w:sz w:val="17"/>
                <w:szCs w:val="17"/>
              </w:rPr>
              <w:t>18</w:t>
            </w:r>
          </w:p>
        </w:tc>
        <w:tc>
          <w:tcPr>
            <w:tcW w:w="1134" w:type="dxa"/>
            <w:shd w:val="clear" w:color="auto" w:fill="auto"/>
            <w:noWrap/>
            <w:hideMark/>
          </w:tcPr>
          <w:p w14:paraId="04B8D1A1"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Trainee (graduate level, </w:t>
            </w:r>
            <w:r w:rsidRPr="00EA0DC7">
              <w:rPr>
                <w:rFonts w:eastAsia="Times New Roman" w:cs="Arial"/>
                <w:i/>
                <w:sz w:val="17"/>
                <w:szCs w:val="17"/>
              </w:rPr>
              <w:t xml:space="preserve">n = </w:t>
            </w:r>
            <w:r w:rsidRPr="00EA0DC7">
              <w:rPr>
                <w:rFonts w:eastAsia="Times New Roman" w:cs="Arial"/>
                <w:sz w:val="17"/>
                <w:szCs w:val="17"/>
              </w:rPr>
              <w:t>44)</w:t>
            </w:r>
          </w:p>
        </w:tc>
        <w:tc>
          <w:tcPr>
            <w:tcW w:w="1134" w:type="dxa"/>
            <w:shd w:val="clear" w:color="auto" w:fill="auto"/>
            <w:noWrap/>
            <w:hideMark/>
          </w:tcPr>
          <w:p w14:paraId="414ECB74"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Clinical (typical of those attending community mental health or university counselling centres, </w:t>
            </w:r>
            <w:r w:rsidRPr="00EA0DC7">
              <w:rPr>
                <w:rFonts w:eastAsia="Times New Roman" w:cs="Arial"/>
                <w:i/>
                <w:sz w:val="17"/>
                <w:szCs w:val="17"/>
              </w:rPr>
              <w:t xml:space="preserve">n = </w:t>
            </w:r>
            <w:r w:rsidRPr="00EA0DC7">
              <w:rPr>
                <w:rFonts w:eastAsia="Times New Roman" w:cs="Arial"/>
                <w:sz w:val="17"/>
                <w:szCs w:val="17"/>
              </w:rPr>
              <w:t>195)</w:t>
            </w:r>
          </w:p>
        </w:tc>
        <w:tc>
          <w:tcPr>
            <w:tcW w:w="993" w:type="dxa"/>
          </w:tcPr>
          <w:p w14:paraId="06E0034D"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US</w:t>
            </w:r>
          </w:p>
        </w:tc>
        <w:tc>
          <w:tcPr>
            <w:tcW w:w="1275" w:type="dxa"/>
            <w:shd w:val="clear" w:color="auto" w:fill="auto"/>
            <w:noWrap/>
            <w:hideMark/>
          </w:tcPr>
          <w:p w14:paraId="5AEB5280"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Various</w:t>
            </w:r>
          </w:p>
        </w:tc>
        <w:tc>
          <w:tcPr>
            <w:tcW w:w="1281" w:type="dxa"/>
            <w:shd w:val="clear" w:color="auto" w:fill="auto"/>
            <w:hideMark/>
          </w:tcPr>
          <w:p w14:paraId="10C8D4D1"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Supervision using patient feedback (including outcome data)</w:t>
            </w:r>
            <w:r w:rsidRPr="00EA0DC7">
              <w:rPr>
                <w:rFonts w:eastAsia="Times New Roman" w:cs="Arial"/>
                <w:sz w:val="17"/>
                <w:szCs w:val="17"/>
              </w:rPr>
              <w:br/>
            </w:r>
            <w:r w:rsidRPr="00EA0DC7">
              <w:rPr>
                <w:rFonts w:eastAsia="Times New Roman" w:cs="Arial"/>
                <w:sz w:val="17"/>
                <w:szCs w:val="17"/>
              </w:rPr>
              <w:br/>
              <w:t>Supervision without patient feedback</w:t>
            </w:r>
          </w:p>
        </w:tc>
        <w:tc>
          <w:tcPr>
            <w:tcW w:w="1276" w:type="dxa"/>
          </w:tcPr>
          <w:p w14:paraId="03990103"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Weekly</w:t>
            </w:r>
          </w:p>
        </w:tc>
        <w:tc>
          <w:tcPr>
            <w:tcW w:w="1134" w:type="dxa"/>
          </w:tcPr>
          <w:p w14:paraId="1FC89494"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No control</w:t>
            </w:r>
          </w:p>
        </w:tc>
        <w:tc>
          <w:tcPr>
            <w:tcW w:w="1843" w:type="dxa"/>
            <w:shd w:val="clear" w:color="auto" w:fill="auto"/>
            <w:hideMark/>
          </w:tcPr>
          <w:p w14:paraId="6CF8A5FD"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Patient improvement was the same in both the supervisory feedback condition and supervision as usual.</w:t>
            </w:r>
          </w:p>
        </w:tc>
        <w:tc>
          <w:tcPr>
            <w:tcW w:w="1135" w:type="dxa"/>
            <w:shd w:val="clear" w:color="auto" w:fill="auto"/>
            <w:noWrap/>
            <w:hideMark/>
          </w:tcPr>
          <w:p w14:paraId="1A04CBE8"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Patient outcome (Outcome Rating Scale; ORS; </w:t>
            </w:r>
            <w:r w:rsidRPr="00EA0DC7">
              <w:rPr>
                <w:rFonts w:eastAsia="Times New Roman" w:cs="Arial"/>
                <w:noProof/>
                <w:sz w:val="17"/>
                <w:szCs w:val="17"/>
              </w:rPr>
              <w:t>Miller &amp; Duncan, 2000)</w:t>
            </w:r>
          </w:p>
        </w:tc>
        <w:tc>
          <w:tcPr>
            <w:tcW w:w="708" w:type="dxa"/>
          </w:tcPr>
          <w:p w14:paraId="450F3376"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sz w:val="17"/>
                <w:szCs w:val="17"/>
              </w:rPr>
              <w:t>13</w:t>
            </w:r>
          </w:p>
        </w:tc>
      </w:tr>
      <w:tr w:rsidR="00144D1E" w:rsidRPr="00EA0DC7" w14:paraId="74C90451" w14:textId="77777777" w:rsidTr="00F744CC">
        <w:trPr>
          <w:trHeight w:val="416"/>
        </w:trPr>
        <w:tc>
          <w:tcPr>
            <w:tcW w:w="1134" w:type="dxa"/>
            <w:tcBorders>
              <w:bottom w:val="single" w:sz="4" w:space="0" w:color="auto"/>
            </w:tcBorders>
            <w:shd w:val="clear" w:color="auto" w:fill="auto"/>
            <w:noWrap/>
            <w:hideMark/>
          </w:tcPr>
          <w:p w14:paraId="7AD79200" w14:textId="77777777" w:rsidR="00144D1E" w:rsidRPr="00EA0DC7" w:rsidRDefault="00144D1E" w:rsidP="00F744CC">
            <w:pPr>
              <w:spacing w:line="240" w:lineRule="auto"/>
              <w:jc w:val="left"/>
              <w:rPr>
                <w:rFonts w:eastAsia="Times New Roman" w:cs="Arial"/>
                <w:i/>
                <w:sz w:val="17"/>
                <w:szCs w:val="17"/>
              </w:rPr>
            </w:pPr>
            <w:r w:rsidRPr="00EA0DC7">
              <w:rPr>
                <w:rFonts w:eastAsia="Times New Roman" w:cs="Arial"/>
                <w:i/>
                <w:noProof/>
                <w:sz w:val="17"/>
                <w:szCs w:val="17"/>
              </w:rPr>
              <w:t>Kivlighan, Angelone and Swafford (1991)</w:t>
            </w:r>
          </w:p>
        </w:tc>
        <w:tc>
          <w:tcPr>
            <w:tcW w:w="1134" w:type="dxa"/>
            <w:tcBorders>
              <w:bottom w:val="single" w:sz="4" w:space="0" w:color="auto"/>
            </w:tcBorders>
            <w:shd w:val="clear" w:color="auto" w:fill="auto"/>
            <w:noWrap/>
            <w:hideMark/>
          </w:tcPr>
          <w:p w14:paraId="3B09148B"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Doctoral-level counselling psychologi-st, </w:t>
            </w:r>
            <w:r w:rsidRPr="00EA0DC7">
              <w:rPr>
                <w:rFonts w:eastAsia="Times New Roman" w:cs="Arial"/>
                <w:i/>
                <w:sz w:val="17"/>
                <w:szCs w:val="17"/>
              </w:rPr>
              <w:t xml:space="preserve">n = </w:t>
            </w:r>
            <w:r w:rsidRPr="00EA0DC7">
              <w:rPr>
                <w:rFonts w:eastAsia="Times New Roman" w:cs="Arial"/>
                <w:sz w:val="17"/>
                <w:szCs w:val="17"/>
              </w:rPr>
              <w:t xml:space="preserve">1. Advanced doctoral-level counselling psychology students, </w:t>
            </w:r>
            <w:r w:rsidRPr="00EA0DC7">
              <w:rPr>
                <w:rFonts w:eastAsia="Times New Roman" w:cs="Arial"/>
                <w:i/>
                <w:sz w:val="17"/>
                <w:szCs w:val="17"/>
              </w:rPr>
              <w:t xml:space="preserve">n = </w:t>
            </w:r>
            <w:r w:rsidRPr="00EA0DC7">
              <w:rPr>
                <w:rFonts w:eastAsia="Times New Roman" w:cs="Arial"/>
                <w:sz w:val="17"/>
                <w:szCs w:val="17"/>
              </w:rPr>
              <w:t>16</w:t>
            </w:r>
          </w:p>
        </w:tc>
        <w:tc>
          <w:tcPr>
            <w:tcW w:w="1134" w:type="dxa"/>
            <w:tcBorders>
              <w:bottom w:val="single" w:sz="4" w:space="0" w:color="auto"/>
            </w:tcBorders>
            <w:shd w:val="clear" w:color="auto" w:fill="auto"/>
            <w:noWrap/>
            <w:hideMark/>
          </w:tcPr>
          <w:p w14:paraId="6665ECCA"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Trainee (master's-level counselling students, </w:t>
            </w:r>
            <w:r w:rsidRPr="00EA0DC7">
              <w:rPr>
                <w:rFonts w:eastAsia="Times New Roman" w:cs="Arial"/>
                <w:i/>
                <w:sz w:val="17"/>
                <w:szCs w:val="17"/>
              </w:rPr>
              <w:t xml:space="preserve">n = </w:t>
            </w:r>
            <w:r w:rsidRPr="00EA0DC7">
              <w:rPr>
                <w:rFonts w:eastAsia="Times New Roman" w:cs="Arial"/>
                <w:sz w:val="17"/>
                <w:szCs w:val="17"/>
              </w:rPr>
              <w:t>48)</w:t>
            </w:r>
          </w:p>
        </w:tc>
        <w:tc>
          <w:tcPr>
            <w:tcW w:w="1134" w:type="dxa"/>
            <w:tcBorders>
              <w:bottom w:val="single" w:sz="4" w:space="0" w:color="auto"/>
            </w:tcBorders>
            <w:shd w:val="clear" w:color="auto" w:fill="auto"/>
            <w:noWrap/>
            <w:hideMark/>
          </w:tcPr>
          <w:p w14:paraId="6F39E87B"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Non-clinical (undergraduate students, </w:t>
            </w:r>
            <w:r w:rsidRPr="00EA0DC7">
              <w:rPr>
                <w:rFonts w:eastAsia="Times New Roman" w:cs="Arial"/>
                <w:i/>
                <w:sz w:val="17"/>
                <w:szCs w:val="17"/>
              </w:rPr>
              <w:t xml:space="preserve">n = </w:t>
            </w:r>
            <w:r w:rsidRPr="00EA0DC7">
              <w:rPr>
                <w:rFonts w:eastAsia="Times New Roman" w:cs="Arial"/>
                <w:sz w:val="17"/>
                <w:szCs w:val="17"/>
              </w:rPr>
              <w:t>48)</w:t>
            </w:r>
          </w:p>
        </w:tc>
        <w:tc>
          <w:tcPr>
            <w:tcW w:w="993" w:type="dxa"/>
            <w:tcBorders>
              <w:bottom w:val="single" w:sz="4" w:space="0" w:color="auto"/>
            </w:tcBorders>
          </w:tcPr>
          <w:p w14:paraId="1B98B47E"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US</w:t>
            </w:r>
          </w:p>
        </w:tc>
        <w:tc>
          <w:tcPr>
            <w:tcW w:w="1275" w:type="dxa"/>
            <w:tcBorders>
              <w:bottom w:val="single" w:sz="4" w:space="0" w:color="auto"/>
            </w:tcBorders>
            <w:shd w:val="clear" w:color="auto" w:fill="auto"/>
            <w:noWrap/>
            <w:hideMark/>
          </w:tcPr>
          <w:p w14:paraId="4C50F85A"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Interpersonal therapy</w:t>
            </w:r>
          </w:p>
        </w:tc>
        <w:tc>
          <w:tcPr>
            <w:tcW w:w="1281" w:type="dxa"/>
            <w:tcBorders>
              <w:bottom w:val="single" w:sz="4" w:space="0" w:color="auto"/>
            </w:tcBorders>
            <w:shd w:val="clear" w:color="auto" w:fill="auto"/>
            <w:hideMark/>
          </w:tcPr>
          <w:p w14:paraId="59545F79"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Live supervision</w:t>
            </w:r>
            <w:r w:rsidRPr="00EA0DC7">
              <w:rPr>
                <w:rFonts w:eastAsia="Times New Roman" w:cs="Arial"/>
                <w:sz w:val="17"/>
                <w:szCs w:val="17"/>
              </w:rPr>
              <w:br/>
            </w:r>
            <w:r w:rsidRPr="00EA0DC7">
              <w:rPr>
                <w:rFonts w:eastAsia="Times New Roman" w:cs="Arial"/>
                <w:sz w:val="17"/>
                <w:szCs w:val="17"/>
              </w:rPr>
              <w:br/>
              <w:t>Videotaped supervision</w:t>
            </w:r>
          </w:p>
        </w:tc>
        <w:tc>
          <w:tcPr>
            <w:tcW w:w="1276" w:type="dxa"/>
            <w:tcBorders>
              <w:bottom w:val="single" w:sz="4" w:space="0" w:color="auto"/>
            </w:tcBorders>
          </w:tcPr>
          <w:p w14:paraId="14DF8970"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Weekly</w:t>
            </w:r>
          </w:p>
        </w:tc>
        <w:tc>
          <w:tcPr>
            <w:tcW w:w="1134" w:type="dxa"/>
            <w:tcBorders>
              <w:bottom w:val="single" w:sz="4" w:space="0" w:color="auto"/>
            </w:tcBorders>
          </w:tcPr>
          <w:p w14:paraId="5EA8576A"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No control</w:t>
            </w:r>
          </w:p>
        </w:tc>
        <w:tc>
          <w:tcPr>
            <w:tcW w:w="1843" w:type="dxa"/>
            <w:tcBorders>
              <w:bottom w:val="single" w:sz="4" w:space="0" w:color="auto"/>
            </w:tcBorders>
            <w:shd w:val="clear" w:color="auto" w:fill="auto"/>
            <w:hideMark/>
          </w:tcPr>
          <w:p w14:paraId="7B2E7384"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Patients in the videotaped supervision condition reported a slightly greater working alliance improvement over the course of therapy than those in the live supervision condition. Live supervision was rated as ‘rougher’ than videotaped supervision but there was no difference in session depth between the two conditions.</w:t>
            </w:r>
          </w:p>
        </w:tc>
        <w:tc>
          <w:tcPr>
            <w:tcW w:w="1135" w:type="dxa"/>
            <w:tcBorders>
              <w:bottom w:val="single" w:sz="4" w:space="0" w:color="auto"/>
            </w:tcBorders>
            <w:shd w:val="clear" w:color="auto" w:fill="auto"/>
            <w:noWrap/>
            <w:hideMark/>
          </w:tcPr>
          <w:p w14:paraId="40129261"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Working alliance (Working Alliance Inventory; WAI; </w:t>
            </w:r>
            <w:r w:rsidRPr="00EA0DC7">
              <w:rPr>
                <w:rFonts w:eastAsia="Times New Roman" w:cs="Arial"/>
                <w:noProof/>
                <w:sz w:val="17"/>
                <w:szCs w:val="17"/>
              </w:rPr>
              <w:t>Horvath &amp; Greenberg, 1989)</w:t>
            </w:r>
          </w:p>
        </w:tc>
        <w:tc>
          <w:tcPr>
            <w:tcW w:w="708" w:type="dxa"/>
            <w:tcBorders>
              <w:bottom w:val="single" w:sz="4" w:space="0" w:color="auto"/>
            </w:tcBorders>
          </w:tcPr>
          <w:p w14:paraId="23865DCB" w14:textId="77777777" w:rsidR="00144D1E" w:rsidRPr="00EA0DC7" w:rsidRDefault="00144D1E" w:rsidP="00F744CC">
            <w:pPr>
              <w:spacing w:line="240" w:lineRule="auto"/>
              <w:jc w:val="center"/>
              <w:rPr>
                <w:rFonts w:eastAsia="Times New Roman" w:cs="Arial"/>
                <w:sz w:val="17"/>
                <w:szCs w:val="17"/>
              </w:rPr>
            </w:pPr>
            <w:r w:rsidRPr="00EA0DC7">
              <w:rPr>
                <w:rFonts w:eastAsia="Times New Roman" w:cs="Arial"/>
                <w:sz w:val="17"/>
                <w:szCs w:val="17"/>
              </w:rPr>
              <w:t>16</w:t>
            </w:r>
          </w:p>
        </w:tc>
      </w:tr>
    </w:tbl>
    <w:p w14:paraId="5EB793E1" w14:textId="77777777" w:rsidR="00144D1E" w:rsidRPr="00EA0DC7" w:rsidRDefault="00144D1E" w:rsidP="00144D1E"/>
    <w:p w14:paraId="43B113B4" w14:textId="77777777" w:rsidR="00144D1E" w:rsidRPr="00EA0DC7" w:rsidRDefault="00144D1E" w:rsidP="00144D1E">
      <w:pPr>
        <w:spacing w:line="240" w:lineRule="auto"/>
        <w:jc w:val="left"/>
        <w:rPr>
          <w:rFonts w:eastAsia="Times New Roman" w:cs="Arial"/>
          <w:i/>
          <w:noProof/>
          <w:sz w:val="17"/>
          <w:szCs w:val="17"/>
        </w:rPr>
        <w:sectPr w:rsidR="00144D1E" w:rsidRPr="00EA0DC7" w:rsidSect="00F744CC">
          <w:pgSz w:w="16838" w:h="11906" w:orient="landscape"/>
          <w:pgMar w:top="2268" w:right="1440" w:bottom="1440" w:left="1440" w:header="709" w:footer="709" w:gutter="0"/>
          <w:cols w:space="708"/>
          <w:docGrid w:linePitch="360"/>
        </w:sectPr>
      </w:pPr>
    </w:p>
    <w:tbl>
      <w:tblPr>
        <w:tblW w:w="14181" w:type="dxa"/>
        <w:tblInd w:w="-5" w:type="dxa"/>
        <w:tblLayout w:type="fixed"/>
        <w:tblLook w:val="04A0" w:firstRow="1" w:lastRow="0" w:firstColumn="1" w:lastColumn="0" w:noHBand="0" w:noVBand="1"/>
      </w:tblPr>
      <w:tblGrid>
        <w:gridCol w:w="1134"/>
        <w:gridCol w:w="1134"/>
        <w:gridCol w:w="1134"/>
        <w:gridCol w:w="1134"/>
        <w:gridCol w:w="993"/>
        <w:gridCol w:w="1275"/>
        <w:gridCol w:w="1281"/>
        <w:gridCol w:w="1276"/>
        <w:gridCol w:w="1134"/>
        <w:gridCol w:w="1843"/>
        <w:gridCol w:w="1135"/>
        <w:gridCol w:w="708"/>
      </w:tblGrid>
      <w:tr w:rsidR="00144D1E" w:rsidRPr="00EA0DC7" w14:paraId="7B252AFE" w14:textId="77777777" w:rsidTr="00F744CC">
        <w:trPr>
          <w:trHeight w:val="568"/>
        </w:trPr>
        <w:tc>
          <w:tcPr>
            <w:tcW w:w="1134" w:type="dxa"/>
            <w:tcBorders>
              <w:top w:val="single" w:sz="4" w:space="0" w:color="auto"/>
              <w:bottom w:val="single" w:sz="4" w:space="0" w:color="auto"/>
            </w:tcBorders>
            <w:shd w:val="clear" w:color="auto" w:fill="auto"/>
            <w:noWrap/>
          </w:tcPr>
          <w:p w14:paraId="7B4DA89E" w14:textId="77777777" w:rsidR="00144D1E" w:rsidRPr="00EA0DC7" w:rsidRDefault="00144D1E" w:rsidP="00F744CC">
            <w:pPr>
              <w:spacing w:before="240" w:line="240" w:lineRule="auto"/>
              <w:jc w:val="center"/>
              <w:rPr>
                <w:rFonts w:eastAsia="Times New Roman" w:cs="Arial"/>
                <w:i/>
                <w:noProof/>
                <w:sz w:val="17"/>
                <w:szCs w:val="17"/>
              </w:rPr>
            </w:pPr>
            <w:r w:rsidRPr="00EA0DC7">
              <w:rPr>
                <w:rFonts w:eastAsia="Times New Roman" w:cs="Arial"/>
                <w:b/>
                <w:bCs/>
                <w:sz w:val="17"/>
                <w:szCs w:val="17"/>
              </w:rPr>
              <w:lastRenderedPageBreak/>
              <w:t>Study</w:t>
            </w:r>
          </w:p>
        </w:tc>
        <w:tc>
          <w:tcPr>
            <w:tcW w:w="1134" w:type="dxa"/>
            <w:tcBorders>
              <w:top w:val="single" w:sz="4" w:space="0" w:color="auto"/>
              <w:bottom w:val="single" w:sz="4" w:space="0" w:color="auto"/>
            </w:tcBorders>
            <w:shd w:val="clear" w:color="auto" w:fill="auto"/>
            <w:noWrap/>
          </w:tcPr>
          <w:p w14:paraId="6D4AB97F"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Supervisor population</w:t>
            </w:r>
          </w:p>
        </w:tc>
        <w:tc>
          <w:tcPr>
            <w:tcW w:w="1134" w:type="dxa"/>
            <w:tcBorders>
              <w:top w:val="single" w:sz="4" w:space="0" w:color="auto"/>
              <w:bottom w:val="single" w:sz="4" w:space="0" w:color="auto"/>
            </w:tcBorders>
            <w:shd w:val="clear" w:color="auto" w:fill="auto"/>
            <w:noWrap/>
          </w:tcPr>
          <w:p w14:paraId="66BB1FF7"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Supervisee population</w:t>
            </w:r>
          </w:p>
        </w:tc>
        <w:tc>
          <w:tcPr>
            <w:tcW w:w="1134" w:type="dxa"/>
            <w:tcBorders>
              <w:top w:val="single" w:sz="4" w:space="0" w:color="auto"/>
              <w:bottom w:val="single" w:sz="4" w:space="0" w:color="auto"/>
            </w:tcBorders>
            <w:shd w:val="clear" w:color="auto" w:fill="auto"/>
            <w:noWrap/>
          </w:tcPr>
          <w:p w14:paraId="33C6370D"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Patient population</w:t>
            </w:r>
          </w:p>
        </w:tc>
        <w:tc>
          <w:tcPr>
            <w:tcW w:w="993" w:type="dxa"/>
            <w:tcBorders>
              <w:top w:val="single" w:sz="4" w:space="0" w:color="auto"/>
              <w:bottom w:val="single" w:sz="4" w:space="0" w:color="auto"/>
            </w:tcBorders>
          </w:tcPr>
          <w:p w14:paraId="563AABEA"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Location of study</w:t>
            </w:r>
          </w:p>
        </w:tc>
        <w:tc>
          <w:tcPr>
            <w:tcW w:w="1275" w:type="dxa"/>
            <w:tcBorders>
              <w:top w:val="single" w:sz="4" w:space="0" w:color="auto"/>
              <w:bottom w:val="single" w:sz="4" w:space="0" w:color="auto"/>
            </w:tcBorders>
            <w:shd w:val="clear" w:color="auto" w:fill="auto"/>
            <w:noWrap/>
          </w:tcPr>
          <w:p w14:paraId="23E200B5"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Clinical intervention</w:t>
            </w:r>
          </w:p>
        </w:tc>
        <w:tc>
          <w:tcPr>
            <w:tcW w:w="1281" w:type="dxa"/>
            <w:tcBorders>
              <w:top w:val="single" w:sz="4" w:space="0" w:color="auto"/>
              <w:bottom w:val="single" w:sz="4" w:space="0" w:color="auto"/>
            </w:tcBorders>
            <w:shd w:val="clear" w:color="auto" w:fill="auto"/>
          </w:tcPr>
          <w:p w14:paraId="3041EB48"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Type(s) of supervision</w:t>
            </w:r>
          </w:p>
        </w:tc>
        <w:tc>
          <w:tcPr>
            <w:tcW w:w="1276" w:type="dxa"/>
            <w:tcBorders>
              <w:top w:val="single" w:sz="4" w:space="0" w:color="auto"/>
              <w:bottom w:val="single" w:sz="4" w:space="0" w:color="auto"/>
            </w:tcBorders>
          </w:tcPr>
          <w:p w14:paraId="6BEC0697" w14:textId="77777777" w:rsidR="00144D1E" w:rsidRPr="00EA0DC7" w:rsidRDefault="00144D1E" w:rsidP="00F744CC">
            <w:pPr>
              <w:tabs>
                <w:tab w:val="left" w:pos="885"/>
              </w:tabs>
              <w:spacing w:before="240" w:line="240" w:lineRule="auto"/>
              <w:jc w:val="center"/>
              <w:rPr>
                <w:rFonts w:eastAsia="Times New Roman" w:cs="Arial"/>
                <w:sz w:val="17"/>
                <w:szCs w:val="17"/>
              </w:rPr>
            </w:pPr>
            <w:r w:rsidRPr="00EA0DC7">
              <w:rPr>
                <w:rFonts w:eastAsia="Times New Roman" w:cs="Arial"/>
                <w:b/>
                <w:bCs/>
                <w:sz w:val="17"/>
                <w:szCs w:val="17"/>
              </w:rPr>
              <w:t>Supervision frequency</w:t>
            </w:r>
          </w:p>
        </w:tc>
        <w:tc>
          <w:tcPr>
            <w:tcW w:w="1134" w:type="dxa"/>
            <w:tcBorders>
              <w:top w:val="single" w:sz="4" w:space="0" w:color="auto"/>
              <w:bottom w:val="single" w:sz="4" w:space="0" w:color="auto"/>
            </w:tcBorders>
          </w:tcPr>
          <w:p w14:paraId="58C5BC1A"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Study design</w:t>
            </w:r>
          </w:p>
        </w:tc>
        <w:tc>
          <w:tcPr>
            <w:tcW w:w="1843" w:type="dxa"/>
            <w:tcBorders>
              <w:top w:val="single" w:sz="4" w:space="0" w:color="auto"/>
              <w:bottom w:val="single" w:sz="4" w:space="0" w:color="auto"/>
            </w:tcBorders>
            <w:shd w:val="clear" w:color="auto" w:fill="auto"/>
          </w:tcPr>
          <w:p w14:paraId="34CE04FE"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Main findings</w:t>
            </w:r>
          </w:p>
        </w:tc>
        <w:tc>
          <w:tcPr>
            <w:tcW w:w="1135" w:type="dxa"/>
            <w:tcBorders>
              <w:top w:val="single" w:sz="4" w:space="0" w:color="auto"/>
              <w:bottom w:val="single" w:sz="4" w:space="0" w:color="auto"/>
            </w:tcBorders>
            <w:shd w:val="clear" w:color="auto" w:fill="auto"/>
          </w:tcPr>
          <w:p w14:paraId="5EA24C0E"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Primary outcome variable</w:t>
            </w:r>
          </w:p>
        </w:tc>
        <w:tc>
          <w:tcPr>
            <w:tcW w:w="708" w:type="dxa"/>
            <w:tcBorders>
              <w:top w:val="single" w:sz="4" w:space="0" w:color="auto"/>
              <w:bottom w:val="single" w:sz="4" w:space="0" w:color="auto"/>
            </w:tcBorders>
          </w:tcPr>
          <w:p w14:paraId="134C8F61"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b/>
                <w:bCs/>
                <w:sz w:val="17"/>
                <w:szCs w:val="17"/>
              </w:rPr>
              <w:t>QI score</w:t>
            </w:r>
          </w:p>
        </w:tc>
      </w:tr>
      <w:tr w:rsidR="00144D1E" w:rsidRPr="00EA0DC7" w14:paraId="756ADFF6" w14:textId="77777777" w:rsidTr="00F744CC">
        <w:trPr>
          <w:trHeight w:val="1200"/>
        </w:trPr>
        <w:tc>
          <w:tcPr>
            <w:tcW w:w="1134" w:type="dxa"/>
            <w:tcBorders>
              <w:top w:val="single" w:sz="4" w:space="0" w:color="auto"/>
            </w:tcBorders>
            <w:shd w:val="clear" w:color="auto" w:fill="auto"/>
            <w:noWrap/>
          </w:tcPr>
          <w:p w14:paraId="5BEF394C" w14:textId="77777777" w:rsidR="00144D1E" w:rsidRPr="00EA0DC7" w:rsidRDefault="00144D1E" w:rsidP="00F744CC">
            <w:pPr>
              <w:spacing w:before="240" w:line="240" w:lineRule="auto"/>
              <w:jc w:val="left"/>
              <w:rPr>
                <w:rFonts w:eastAsia="Times New Roman" w:cs="Arial"/>
                <w:i/>
                <w:noProof/>
                <w:sz w:val="17"/>
                <w:szCs w:val="17"/>
              </w:rPr>
            </w:pPr>
            <w:r w:rsidRPr="00EA0DC7">
              <w:rPr>
                <w:rFonts w:eastAsia="Times New Roman" w:cs="Arial"/>
                <w:i/>
                <w:noProof/>
                <w:sz w:val="17"/>
                <w:szCs w:val="17"/>
              </w:rPr>
              <w:t>Reese et al., (2009)</w:t>
            </w:r>
          </w:p>
        </w:tc>
        <w:tc>
          <w:tcPr>
            <w:tcW w:w="1134" w:type="dxa"/>
            <w:tcBorders>
              <w:top w:val="single" w:sz="4" w:space="0" w:color="auto"/>
            </w:tcBorders>
            <w:shd w:val="clear" w:color="auto" w:fill="auto"/>
            <w:noWrap/>
          </w:tcPr>
          <w:p w14:paraId="03760F86"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Full-time or adjunct faculty staff </w:t>
            </w:r>
            <w:r w:rsidRPr="00EA0DC7">
              <w:rPr>
                <w:rFonts w:eastAsia="Times New Roman" w:cs="Arial"/>
                <w:i/>
                <w:sz w:val="17"/>
                <w:szCs w:val="17"/>
              </w:rPr>
              <w:t xml:space="preserve">n = </w:t>
            </w:r>
            <w:r w:rsidRPr="00EA0DC7">
              <w:rPr>
                <w:rFonts w:eastAsia="Times New Roman" w:cs="Arial"/>
                <w:sz w:val="17"/>
                <w:szCs w:val="17"/>
              </w:rPr>
              <w:t>9</w:t>
            </w:r>
          </w:p>
        </w:tc>
        <w:tc>
          <w:tcPr>
            <w:tcW w:w="1134" w:type="dxa"/>
            <w:tcBorders>
              <w:top w:val="single" w:sz="4" w:space="0" w:color="auto"/>
            </w:tcBorders>
            <w:shd w:val="clear" w:color="auto" w:fill="auto"/>
            <w:noWrap/>
          </w:tcPr>
          <w:p w14:paraId="633E4545"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Trainee (second year of a master's-level marriage and family program or a clinical-counselling psychology program, </w:t>
            </w:r>
            <w:r w:rsidRPr="00EA0DC7">
              <w:rPr>
                <w:rFonts w:eastAsia="Times New Roman" w:cs="Arial"/>
                <w:i/>
                <w:sz w:val="17"/>
                <w:szCs w:val="17"/>
              </w:rPr>
              <w:t xml:space="preserve">n = </w:t>
            </w:r>
            <w:r w:rsidRPr="00EA0DC7">
              <w:rPr>
                <w:rFonts w:eastAsia="Times New Roman" w:cs="Arial"/>
                <w:sz w:val="17"/>
                <w:szCs w:val="17"/>
              </w:rPr>
              <w:t>28)</w:t>
            </w:r>
          </w:p>
        </w:tc>
        <w:tc>
          <w:tcPr>
            <w:tcW w:w="1134" w:type="dxa"/>
            <w:tcBorders>
              <w:top w:val="single" w:sz="4" w:space="0" w:color="auto"/>
            </w:tcBorders>
            <w:shd w:val="clear" w:color="auto" w:fill="auto"/>
            <w:noWrap/>
          </w:tcPr>
          <w:p w14:paraId="66F44DBE"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Clinical (typical of those attending community mental health or university counselling centres, </w:t>
            </w:r>
            <w:r w:rsidRPr="00EA0DC7">
              <w:rPr>
                <w:rFonts w:eastAsia="Times New Roman" w:cs="Arial"/>
                <w:i/>
                <w:sz w:val="17"/>
                <w:szCs w:val="17"/>
              </w:rPr>
              <w:t xml:space="preserve">n = </w:t>
            </w:r>
            <w:r w:rsidRPr="00EA0DC7">
              <w:rPr>
                <w:rFonts w:eastAsia="Times New Roman" w:cs="Arial"/>
                <w:sz w:val="17"/>
                <w:szCs w:val="17"/>
              </w:rPr>
              <w:t>95)</w:t>
            </w:r>
          </w:p>
        </w:tc>
        <w:tc>
          <w:tcPr>
            <w:tcW w:w="993" w:type="dxa"/>
            <w:tcBorders>
              <w:top w:val="single" w:sz="4" w:space="0" w:color="auto"/>
            </w:tcBorders>
          </w:tcPr>
          <w:p w14:paraId="45575E85"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US</w:t>
            </w:r>
          </w:p>
        </w:tc>
        <w:tc>
          <w:tcPr>
            <w:tcW w:w="1275" w:type="dxa"/>
            <w:tcBorders>
              <w:top w:val="single" w:sz="4" w:space="0" w:color="auto"/>
            </w:tcBorders>
            <w:shd w:val="clear" w:color="auto" w:fill="auto"/>
            <w:noWrap/>
          </w:tcPr>
          <w:p w14:paraId="43D1EEC1"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Various</w:t>
            </w:r>
          </w:p>
        </w:tc>
        <w:tc>
          <w:tcPr>
            <w:tcW w:w="1281" w:type="dxa"/>
            <w:tcBorders>
              <w:top w:val="single" w:sz="4" w:space="0" w:color="auto"/>
            </w:tcBorders>
            <w:shd w:val="clear" w:color="auto" w:fill="auto"/>
          </w:tcPr>
          <w:p w14:paraId="67C1452B"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Supervision using patient feedback (including outcome data)</w:t>
            </w:r>
            <w:r w:rsidRPr="00EA0DC7">
              <w:rPr>
                <w:rFonts w:eastAsia="Times New Roman" w:cs="Arial"/>
                <w:sz w:val="17"/>
                <w:szCs w:val="17"/>
              </w:rPr>
              <w:br/>
            </w:r>
            <w:r w:rsidRPr="00EA0DC7">
              <w:rPr>
                <w:rFonts w:eastAsia="Times New Roman" w:cs="Arial"/>
                <w:sz w:val="17"/>
                <w:szCs w:val="17"/>
              </w:rPr>
              <w:br/>
              <w:t>Supervision without patient feedback</w:t>
            </w:r>
          </w:p>
        </w:tc>
        <w:tc>
          <w:tcPr>
            <w:tcW w:w="1276" w:type="dxa"/>
            <w:tcBorders>
              <w:top w:val="single" w:sz="4" w:space="0" w:color="auto"/>
            </w:tcBorders>
          </w:tcPr>
          <w:p w14:paraId="7C876167" w14:textId="77777777" w:rsidR="00144D1E" w:rsidRPr="00EA0DC7" w:rsidRDefault="00144D1E" w:rsidP="00F744CC">
            <w:pPr>
              <w:tabs>
                <w:tab w:val="left" w:pos="885"/>
              </w:tabs>
              <w:spacing w:before="240" w:line="240" w:lineRule="auto"/>
              <w:jc w:val="left"/>
              <w:rPr>
                <w:rFonts w:eastAsia="Times New Roman" w:cs="Arial"/>
                <w:sz w:val="17"/>
                <w:szCs w:val="17"/>
              </w:rPr>
            </w:pPr>
            <w:r w:rsidRPr="00EA0DC7">
              <w:rPr>
                <w:rFonts w:eastAsia="Times New Roman" w:cs="Arial"/>
                <w:sz w:val="17"/>
                <w:szCs w:val="17"/>
              </w:rPr>
              <w:t>Twice weekly</w:t>
            </w:r>
          </w:p>
        </w:tc>
        <w:tc>
          <w:tcPr>
            <w:tcW w:w="1134" w:type="dxa"/>
            <w:tcBorders>
              <w:top w:val="single" w:sz="4" w:space="0" w:color="auto"/>
            </w:tcBorders>
          </w:tcPr>
          <w:p w14:paraId="70B0A400"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No control</w:t>
            </w:r>
          </w:p>
        </w:tc>
        <w:tc>
          <w:tcPr>
            <w:tcW w:w="1843" w:type="dxa"/>
            <w:tcBorders>
              <w:top w:val="single" w:sz="4" w:space="0" w:color="auto"/>
            </w:tcBorders>
            <w:shd w:val="clear" w:color="auto" w:fill="auto"/>
          </w:tcPr>
          <w:p w14:paraId="4390904E"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Patients showed significant improvement in both groups, but those in the feedback condition had better outcomes than those in the no feedback condition.</w:t>
            </w:r>
          </w:p>
        </w:tc>
        <w:tc>
          <w:tcPr>
            <w:tcW w:w="1135" w:type="dxa"/>
            <w:tcBorders>
              <w:top w:val="single" w:sz="4" w:space="0" w:color="auto"/>
            </w:tcBorders>
            <w:shd w:val="clear" w:color="auto" w:fill="auto"/>
          </w:tcPr>
          <w:p w14:paraId="1BFCE75D" w14:textId="77777777" w:rsidR="00144D1E" w:rsidRPr="00EA0DC7" w:rsidRDefault="00144D1E" w:rsidP="00F744CC">
            <w:pPr>
              <w:spacing w:before="240" w:line="240" w:lineRule="auto"/>
              <w:jc w:val="left"/>
              <w:rPr>
                <w:rFonts w:eastAsia="Times New Roman" w:cs="Arial"/>
                <w:sz w:val="17"/>
                <w:szCs w:val="17"/>
              </w:rPr>
            </w:pPr>
            <w:r w:rsidRPr="00EA0DC7">
              <w:rPr>
                <w:rFonts w:eastAsia="Times New Roman" w:cs="Arial"/>
                <w:sz w:val="17"/>
                <w:szCs w:val="17"/>
              </w:rPr>
              <w:t xml:space="preserve">Patient outcome (Outcome Rating Scale; ORS; </w:t>
            </w:r>
            <w:r w:rsidRPr="00EA0DC7">
              <w:rPr>
                <w:rFonts w:eastAsia="Times New Roman" w:cs="Arial"/>
                <w:noProof/>
                <w:sz w:val="17"/>
                <w:szCs w:val="17"/>
              </w:rPr>
              <w:t>Miller &amp; Duncan, 2000)</w:t>
            </w:r>
          </w:p>
        </w:tc>
        <w:tc>
          <w:tcPr>
            <w:tcW w:w="708" w:type="dxa"/>
            <w:tcBorders>
              <w:top w:val="single" w:sz="4" w:space="0" w:color="auto"/>
            </w:tcBorders>
          </w:tcPr>
          <w:p w14:paraId="5044AB42" w14:textId="77777777" w:rsidR="00144D1E" w:rsidRPr="00EA0DC7" w:rsidRDefault="00144D1E" w:rsidP="00F744CC">
            <w:pPr>
              <w:spacing w:before="240" w:line="240" w:lineRule="auto"/>
              <w:jc w:val="center"/>
              <w:rPr>
                <w:rFonts w:eastAsia="Times New Roman" w:cs="Arial"/>
                <w:sz w:val="17"/>
                <w:szCs w:val="17"/>
              </w:rPr>
            </w:pPr>
            <w:r w:rsidRPr="00EA0DC7">
              <w:rPr>
                <w:rFonts w:eastAsia="Times New Roman" w:cs="Arial"/>
                <w:sz w:val="17"/>
                <w:szCs w:val="17"/>
              </w:rPr>
              <w:t>13</w:t>
            </w:r>
          </w:p>
        </w:tc>
      </w:tr>
      <w:tr w:rsidR="00144D1E" w:rsidRPr="00EA0DC7" w14:paraId="4BF0ABC1" w14:textId="77777777" w:rsidTr="00F744CC">
        <w:trPr>
          <w:trHeight w:val="1200"/>
        </w:trPr>
        <w:tc>
          <w:tcPr>
            <w:tcW w:w="1134" w:type="dxa"/>
            <w:tcBorders>
              <w:bottom w:val="single" w:sz="4" w:space="0" w:color="auto"/>
            </w:tcBorders>
            <w:shd w:val="clear" w:color="auto" w:fill="auto"/>
            <w:noWrap/>
          </w:tcPr>
          <w:p w14:paraId="201ECA2B" w14:textId="77777777" w:rsidR="00144D1E" w:rsidRPr="00EA0DC7" w:rsidRDefault="00144D1E" w:rsidP="00F744CC">
            <w:pPr>
              <w:spacing w:line="240" w:lineRule="auto"/>
              <w:jc w:val="left"/>
              <w:rPr>
                <w:rFonts w:eastAsia="Times New Roman" w:cs="Arial"/>
                <w:i/>
                <w:sz w:val="17"/>
                <w:szCs w:val="17"/>
              </w:rPr>
            </w:pPr>
            <w:r w:rsidRPr="00EA0DC7">
              <w:rPr>
                <w:rFonts w:eastAsia="Times New Roman" w:cs="Arial"/>
                <w:i/>
                <w:noProof/>
                <w:sz w:val="17"/>
                <w:szCs w:val="17"/>
              </w:rPr>
              <w:t>Tanner, Gray and Haaga (2012)</w:t>
            </w:r>
          </w:p>
          <w:p w14:paraId="583E9961" w14:textId="77777777" w:rsidR="00144D1E" w:rsidRPr="00EA0DC7" w:rsidRDefault="00144D1E" w:rsidP="00F744CC">
            <w:pPr>
              <w:spacing w:line="240" w:lineRule="auto"/>
              <w:jc w:val="left"/>
              <w:rPr>
                <w:rFonts w:eastAsia="Times New Roman" w:cs="Arial"/>
                <w:i/>
                <w:noProof/>
                <w:sz w:val="17"/>
                <w:szCs w:val="17"/>
              </w:rPr>
            </w:pPr>
          </w:p>
        </w:tc>
        <w:tc>
          <w:tcPr>
            <w:tcW w:w="1134" w:type="dxa"/>
            <w:tcBorders>
              <w:bottom w:val="single" w:sz="4" w:space="0" w:color="auto"/>
            </w:tcBorders>
            <w:shd w:val="clear" w:color="auto" w:fill="auto"/>
            <w:noWrap/>
          </w:tcPr>
          <w:p w14:paraId="748EFC32"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Licensed psychologists and tenured faculty members in the department of psychology, </w:t>
            </w:r>
            <w:r w:rsidRPr="00EA0DC7">
              <w:rPr>
                <w:rFonts w:eastAsia="Times New Roman" w:cs="Arial"/>
                <w:i/>
                <w:sz w:val="17"/>
                <w:szCs w:val="17"/>
              </w:rPr>
              <w:t xml:space="preserve">n = </w:t>
            </w:r>
            <w:r w:rsidRPr="00EA0DC7">
              <w:rPr>
                <w:rFonts w:eastAsia="Times New Roman" w:cs="Arial"/>
                <w:sz w:val="17"/>
                <w:szCs w:val="17"/>
              </w:rPr>
              <w:t>3</w:t>
            </w:r>
          </w:p>
        </w:tc>
        <w:tc>
          <w:tcPr>
            <w:tcW w:w="1134" w:type="dxa"/>
            <w:tcBorders>
              <w:bottom w:val="single" w:sz="4" w:space="0" w:color="auto"/>
            </w:tcBorders>
            <w:shd w:val="clear" w:color="auto" w:fill="auto"/>
            <w:noWrap/>
          </w:tcPr>
          <w:p w14:paraId="2C6E01D3"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Trainee (third -year students in an American Psychologi-cal Association-accredited clinical psychology PhD program, </w:t>
            </w:r>
            <w:r w:rsidRPr="00EA0DC7">
              <w:rPr>
                <w:rFonts w:eastAsia="Times New Roman" w:cs="Arial"/>
                <w:i/>
                <w:sz w:val="17"/>
                <w:szCs w:val="17"/>
              </w:rPr>
              <w:t xml:space="preserve">n = </w:t>
            </w:r>
            <w:r w:rsidRPr="00EA0DC7">
              <w:rPr>
                <w:rFonts w:eastAsia="Times New Roman" w:cs="Arial"/>
                <w:sz w:val="17"/>
                <w:szCs w:val="17"/>
              </w:rPr>
              <w:t>79)</w:t>
            </w:r>
          </w:p>
        </w:tc>
        <w:tc>
          <w:tcPr>
            <w:tcW w:w="1134" w:type="dxa"/>
            <w:tcBorders>
              <w:bottom w:val="single" w:sz="4" w:space="0" w:color="auto"/>
            </w:tcBorders>
            <w:shd w:val="clear" w:color="auto" w:fill="auto"/>
            <w:noWrap/>
          </w:tcPr>
          <w:p w14:paraId="1348D8A4"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Clinical (most had primary diagnosis of anxiety or mood disorders, </w:t>
            </w:r>
            <w:r w:rsidRPr="00EA0DC7">
              <w:rPr>
                <w:rFonts w:eastAsia="Times New Roman" w:cs="Arial"/>
                <w:i/>
                <w:sz w:val="17"/>
                <w:szCs w:val="17"/>
              </w:rPr>
              <w:t xml:space="preserve">n = </w:t>
            </w:r>
            <w:r w:rsidRPr="00EA0DC7">
              <w:rPr>
                <w:rFonts w:eastAsia="Times New Roman" w:cs="Arial"/>
                <w:sz w:val="17"/>
                <w:szCs w:val="17"/>
              </w:rPr>
              <w:t>176)</w:t>
            </w:r>
          </w:p>
        </w:tc>
        <w:tc>
          <w:tcPr>
            <w:tcW w:w="993" w:type="dxa"/>
            <w:tcBorders>
              <w:bottom w:val="single" w:sz="4" w:space="0" w:color="auto"/>
            </w:tcBorders>
          </w:tcPr>
          <w:p w14:paraId="6CABCF03"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US</w:t>
            </w:r>
          </w:p>
        </w:tc>
        <w:tc>
          <w:tcPr>
            <w:tcW w:w="1275" w:type="dxa"/>
            <w:tcBorders>
              <w:bottom w:val="single" w:sz="4" w:space="0" w:color="auto"/>
            </w:tcBorders>
            <w:shd w:val="clear" w:color="auto" w:fill="auto"/>
            <w:noWrap/>
          </w:tcPr>
          <w:p w14:paraId="16319237"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Cognitive behavioural therapy</w:t>
            </w:r>
          </w:p>
        </w:tc>
        <w:tc>
          <w:tcPr>
            <w:tcW w:w="1281" w:type="dxa"/>
            <w:tcBorders>
              <w:bottom w:val="single" w:sz="4" w:space="0" w:color="auto"/>
            </w:tcBorders>
            <w:shd w:val="clear" w:color="auto" w:fill="auto"/>
          </w:tcPr>
          <w:p w14:paraId="06C2FFA8"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Co-therapy supervision</w:t>
            </w:r>
          </w:p>
        </w:tc>
        <w:tc>
          <w:tcPr>
            <w:tcW w:w="1276" w:type="dxa"/>
            <w:tcBorders>
              <w:bottom w:val="single" w:sz="4" w:space="0" w:color="auto"/>
            </w:tcBorders>
          </w:tcPr>
          <w:p w14:paraId="01D681F0" w14:textId="77777777" w:rsidR="00144D1E" w:rsidRPr="00EA0DC7" w:rsidRDefault="00144D1E" w:rsidP="00F744CC">
            <w:pPr>
              <w:tabs>
                <w:tab w:val="left" w:pos="885"/>
              </w:tabs>
              <w:spacing w:line="240" w:lineRule="auto"/>
              <w:jc w:val="left"/>
              <w:rPr>
                <w:rFonts w:eastAsia="Times New Roman" w:cs="Arial"/>
                <w:sz w:val="17"/>
                <w:szCs w:val="17"/>
              </w:rPr>
            </w:pPr>
            <w:r w:rsidRPr="00EA0DC7">
              <w:rPr>
                <w:rFonts w:eastAsia="Times New Roman" w:cs="Arial"/>
                <w:sz w:val="17"/>
                <w:szCs w:val="17"/>
              </w:rPr>
              <w:t>ns</w:t>
            </w:r>
          </w:p>
        </w:tc>
        <w:tc>
          <w:tcPr>
            <w:tcW w:w="1134" w:type="dxa"/>
            <w:tcBorders>
              <w:bottom w:val="single" w:sz="4" w:space="0" w:color="auto"/>
            </w:tcBorders>
          </w:tcPr>
          <w:p w14:paraId="1D43869E"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Control (unsupervi-sed)</w:t>
            </w:r>
          </w:p>
        </w:tc>
        <w:tc>
          <w:tcPr>
            <w:tcW w:w="1843" w:type="dxa"/>
            <w:tcBorders>
              <w:bottom w:val="single" w:sz="4" w:space="0" w:color="auto"/>
            </w:tcBorders>
            <w:shd w:val="clear" w:color="auto" w:fill="auto"/>
          </w:tcPr>
          <w:p w14:paraId="4290183E"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No difference in client retention and symptom improvement between patients in co-therapy (with a supervisor) and those treated by a solo therapist.</w:t>
            </w:r>
          </w:p>
        </w:tc>
        <w:tc>
          <w:tcPr>
            <w:tcW w:w="1135" w:type="dxa"/>
            <w:tcBorders>
              <w:bottom w:val="single" w:sz="4" w:space="0" w:color="auto"/>
            </w:tcBorders>
            <w:shd w:val="clear" w:color="auto" w:fill="auto"/>
          </w:tcPr>
          <w:p w14:paraId="2CFEDFE3" w14:textId="77777777" w:rsidR="00144D1E" w:rsidRPr="00EA0DC7" w:rsidRDefault="00144D1E" w:rsidP="00F744CC">
            <w:pPr>
              <w:spacing w:line="240" w:lineRule="auto"/>
              <w:jc w:val="left"/>
              <w:rPr>
                <w:rFonts w:eastAsia="Times New Roman" w:cs="Arial"/>
                <w:sz w:val="17"/>
                <w:szCs w:val="17"/>
              </w:rPr>
            </w:pPr>
            <w:r w:rsidRPr="00EA0DC7">
              <w:rPr>
                <w:rFonts w:eastAsia="Times New Roman" w:cs="Arial"/>
                <w:sz w:val="17"/>
                <w:szCs w:val="17"/>
              </w:rPr>
              <w:t xml:space="preserve">Patient outcome (Outcome Questionna-ire; OQ-45; </w:t>
            </w:r>
            <w:r w:rsidRPr="00EA0DC7">
              <w:rPr>
                <w:rFonts w:eastAsia="Times New Roman" w:cs="Arial"/>
                <w:noProof/>
                <w:sz w:val="17"/>
                <w:szCs w:val="17"/>
              </w:rPr>
              <w:t>Lambert et al., 1996)</w:t>
            </w:r>
          </w:p>
        </w:tc>
        <w:tc>
          <w:tcPr>
            <w:tcW w:w="708" w:type="dxa"/>
            <w:tcBorders>
              <w:bottom w:val="single" w:sz="4" w:space="0" w:color="auto"/>
            </w:tcBorders>
          </w:tcPr>
          <w:p w14:paraId="48DFC761" w14:textId="77777777" w:rsidR="00144D1E" w:rsidRPr="00EA0DC7" w:rsidRDefault="00144D1E" w:rsidP="00F744CC">
            <w:pPr>
              <w:spacing w:line="240" w:lineRule="auto"/>
              <w:jc w:val="center"/>
              <w:rPr>
                <w:rFonts w:eastAsia="Times New Roman" w:cs="Arial"/>
                <w:sz w:val="17"/>
                <w:szCs w:val="17"/>
              </w:rPr>
            </w:pPr>
            <w:r w:rsidRPr="00EA0DC7">
              <w:rPr>
                <w:rFonts w:eastAsia="Times New Roman" w:cs="Arial"/>
                <w:sz w:val="17"/>
                <w:szCs w:val="17"/>
              </w:rPr>
              <w:t>13</w:t>
            </w:r>
          </w:p>
        </w:tc>
      </w:tr>
      <w:tr w:rsidR="00144D1E" w:rsidRPr="00EA0DC7" w14:paraId="10B72BF8" w14:textId="77777777" w:rsidTr="00F744CC">
        <w:trPr>
          <w:trHeight w:val="271"/>
        </w:trPr>
        <w:tc>
          <w:tcPr>
            <w:tcW w:w="14181" w:type="dxa"/>
            <w:gridSpan w:val="12"/>
            <w:tcBorders>
              <w:top w:val="single" w:sz="4" w:space="0" w:color="auto"/>
              <w:bottom w:val="single" w:sz="4" w:space="0" w:color="auto"/>
            </w:tcBorders>
            <w:shd w:val="clear" w:color="auto" w:fill="auto"/>
            <w:noWrap/>
          </w:tcPr>
          <w:p w14:paraId="6AF9EAF2" w14:textId="77777777" w:rsidR="00144D1E" w:rsidRPr="00EA0DC7" w:rsidRDefault="00144D1E" w:rsidP="00F744CC">
            <w:pPr>
              <w:spacing w:after="0" w:line="240" w:lineRule="auto"/>
              <w:jc w:val="left"/>
              <w:rPr>
                <w:rFonts w:eastAsia="Times New Roman" w:cs="Arial"/>
                <w:sz w:val="17"/>
                <w:szCs w:val="17"/>
              </w:rPr>
            </w:pPr>
            <w:r w:rsidRPr="00EA0DC7">
              <w:rPr>
                <w:rFonts w:eastAsia="Times New Roman" w:cs="Arial"/>
                <w:sz w:val="17"/>
                <w:szCs w:val="17"/>
              </w:rPr>
              <w:t>ns = not specified</w:t>
            </w:r>
          </w:p>
        </w:tc>
      </w:tr>
    </w:tbl>
    <w:p w14:paraId="5E1E8BDA" w14:textId="77777777" w:rsidR="00144D1E" w:rsidRPr="00EA0DC7" w:rsidRDefault="00144D1E" w:rsidP="00144D1E">
      <w:pPr>
        <w:spacing w:after="160" w:line="259" w:lineRule="auto"/>
        <w:jc w:val="left"/>
        <w:rPr>
          <w:rFonts w:ascii="Calibri" w:eastAsia="Calibri" w:hAnsi="Calibri" w:cs="Times New Roman"/>
          <w:sz w:val="22"/>
          <w:lang w:eastAsia="en-US"/>
        </w:rPr>
        <w:sectPr w:rsidR="00144D1E" w:rsidRPr="00EA0DC7" w:rsidSect="00F744CC">
          <w:pgSz w:w="16838" w:h="11906" w:orient="landscape"/>
          <w:pgMar w:top="1440" w:right="1440" w:bottom="2268" w:left="1440" w:header="709" w:footer="709" w:gutter="0"/>
          <w:cols w:space="708"/>
          <w:docGrid w:linePitch="360"/>
        </w:sectPr>
      </w:pPr>
    </w:p>
    <w:p w14:paraId="54E82454" w14:textId="602C97A9" w:rsidR="00144D1E" w:rsidRPr="00EA0DC7" w:rsidRDefault="00144D1E" w:rsidP="00144D1E">
      <w:pPr>
        <w:pStyle w:val="Captions"/>
        <w:rPr>
          <w:rFonts w:eastAsia="Calibri" w:cs="Arial"/>
          <w:lang w:eastAsia="en-US"/>
        </w:rPr>
      </w:pPr>
      <w:bookmarkStart w:id="114" w:name="_Toc47039924"/>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2</w:t>
      </w:r>
      <w:r w:rsidR="004F2FDB">
        <w:rPr>
          <w:noProof/>
        </w:rPr>
        <w:fldChar w:fldCharType="end"/>
      </w:r>
      <w:r w:rsidRPr="00EA0DC7">
        <w:t>. Studies investigating the impact of supervision on supervisee outcomes.</w:t>
      </w:r>
      <w:bookmarkEnd w:id="114"/>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41D936CF" w14:textId="77777777" w:rsidTr="00F744CC">
        <w:trPr>
          <w:trHeight w:val="300"/>
        </w:trPr>
        <w:tc>
          <w:tcPr>
            <w:tcW w:w="993" w:type="dxa"/>
            <w:tcBorders>
              <w:top w:val="single" w:sz="4" w:space="0" w:color="auto"/>
              <w:bottom w:val="single" w:sz="4" w:space="0" w:color="auto"/>
            </w:tcBorders>
            <w:shd w:val="clear" w:color="auto" w:fill="auto"/>
            <w:noWrap/>
            <w:hideMark/>
          </w:tcPr>
          <w:p w14:paraId="68C68733"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Study</w:t>
            </w:r>
          </w:p>
        </w:tc>
        <w:tc>
          <w:tcPr>
            <w:tcW w:w="1134" w:type="dxa"/>
            <w:tcBorders>
              <w:top w:val="single" w:sz="4" w:space="0" w:color="auto"/>
              <w:bottom w:val="single" w:sz="4" w:space="0" w:color="auto"/>
            </w:tcBorders>
            <w:shd w:val="clear" w:color="auto" w:fill="auto"/>
            <w:noWrap/>
            <w:hideMark/>
          </w:tcPr>
          <w:p w14:paraId="233DA3D1"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hideMark/>
          </w:tcPr>
          <w:p w14:paraId="0EC25F2C"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hideMark/>
          </w:tcPr>
          <w:p w14:paraId="51C9D115"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4666F203"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hideMark/>
          </w:tcPr>
          <w:p w14:paraId="765F3FB1"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noWrap/>
            <w:hideMark/>
          </w:tcPr>
          <w:p w14:paraId="3F1B6B01"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tcPr>
          <w:p w14:paraId="19E4C907"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7900C5D7"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2DB2C111"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noWrap/>
            <w:hideMark/>
          </w:tcPr>
          <w:p w14:paraId="3DA57BAC"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noWrap/>
            <w:hideMark/>
          </w:tcPr>
          <w:p w14:paraId="10864ECD"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0B89D5BC" w14:textId="77777777" w:rsidR="00144D1E" w:rsidRPr="00EA0DC7" w:rsidRDefault="00144D1E" w:rsidP="00F744CC">
            <w:pPr>
              <w:spacing w:before="240" w:line="240" w:lineRule="auto"/>
              <w:jc w:val="center"/>
              <w:rPr>
                <w:rFonts w:eastAsia="Times New Roman" w:cs="Arial"/>
                <w:b/>
                <w:bCs/>
                <w:sz w:val="16"/>
                <w:szCs w:val="16"/>
              </w:rPr>
            </w:pPr>
            <w:r w:rsidRPr="00EA0DC7">
              <w:rPr>
                <w:rFonts w:eastAsia="Times New Roman" w:cs="Arial"/>
                <w:b/>
                <w:bCs/>
                <w:sz w:val="16"/>
                <w:szCs w:val="16"/>
              </w:rPr>
              <w:t>QI score</w:t>
            </w:r>
          </w:p>
        </w:tc>
      </w:tr>
      <w:tr w:rsidR="00144D1E" w:rsidRPr="00EA0DC7" w14:paraId="03740D65" w14:textId="77777777" w:rsidTr="00F744CC">
        <w:trPr>
          <w:trHeight w:val="1200"/>
        </w:trPr>
        <w:tc>
          <w:tcPr>
            <w:tcW w:w="993" w:type="dxa"/>
            <w:tcBorders>
              <w:top w:val="single" w:sz="4" w:space="0" w:color="auto"/>
            </w:tcBorders>
            <w:shd w:val="clear" w:color="auto" w:fill="auto"/>
            <w:noWrap/>
          </w:tcPr>
          <w:p w14:paraId="45186ECD" w14:textId="77777777" w:rsidR="00144D1E" w:rsidRPr="00EA0DC7" w:rsidRDefault="00144D1E" w:rsidP="00F744CC">
            <w:pPr>
              <w:spacing w:before="240" w:line="240" w:lineRule="auto"/>
              <w:jc w:val="left"/>
              <w:rPr>
                <w:rFonts w:eastAsia="Times New Roman" w:cs="Arial"/>
                <w:i/>
                <w:noProof/>
                <w:sz w:val="16"/>
                <w:szCs w:val="16"/>
              </w:rPr>
            </w:pPr>
            <w:r w:rsidRPr="00EA0DC7">
              <w:rPr>
                <w:rFonts w:eastAsia="Times New Roman" w:cs="Arial"/>
                <w:i/>
                <w:noProof/>
                <w:sz w:val="16"/>
                <w:szCs w:val="16"/>
              </w:rPr>
              <w:t>Berg and Stone (1980)</w:t>
            </w:r>
          </w:p>
        </w:tc>
        <w:tc>
          <w:tcPr>
            <w:tcW w:w="1134" w:type="dxa"/>
            <w:tcBorders>
              <w:top w:val="single" w:sz="4" w:space="0" w:color="auto"/>
            </w:tcBorders>
            <w:shd w:val="clear" w:color="auto" w:fill="auto"/>
            <w:noWrap/>
          </w:tcPr>
          <w:p w14:paraId="555F92E0"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Doctoral students </w:t>
            </w:r>
            <w:r w:rsidRPr="00EA0DC7">
              <w:rPr>
                <w:rFonts w:eastAsia="Times New Roman" w:cs="Arial"/>
                <w:i/>
                <w:sz w:val="16"/>
                <w:szCs w:val="16"/>
              </w:rPr>
              <w:t xml:space="preserve">n = </w:t>
            </w:r>
            <w:r w:rsidRPr="00EA0DC7">
              <w:rPr>
                <w:rFonts w:eastAsia="Times New Roman" w:cs="Arial"/>
                <w:sz w:val="16"/>
                <w:szCs w:val="16"/>
              </w:rPr>
              <w:t>2</w:t>
            </w:r>
          </w:p>
        </w:tc>
        <w:tc>
          <w:tcPr>
            <w:tcW w:w="1134" w:type="dxa"/>
            <w:tcBorders>
              <w:top w:val="single" w:sz="4" w:space="0" w:color="auto"/>
            </w:tcBorders>
            <w:shd w:val="clear" w:color="auto" w:fill="auto"/>
            <w:noWrap/>
          </w:tcPr>
          <w:p w14:paraId="4E928480"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Trainee (female psychology students, </w:t>
            </w:r>
            <w:r w:rsidRPr="00EA0DC7">
              <w:rPr>
                <w:rFonts w:eastAsia="Times New Roman" w:cs="Arial"/>
                <w:i/>
                <w:sz w:val="16"/>
                <w:szCs w:val="16"/>
              </w:rPr>
              <w:t xml:space="preserve">n = </w:t>
            </w:r>
            <w:r w:rsidRPr="00EA0DC7">
              <w:rPr>
                <w:rFonts w:eastAsia="Times New Roman" w:cs="Arial"/>
                <w:sz w:val="16"/>
                <w:szCs w:val="16"/>
              </w:rPr>
              <w:t>60)</w:t>
            </w:r>
          </w:p>
        </w:tc>
        <w:tc>
          <w:tcPr>
            <w:tcW w:w="1139" w:type="dxa"/>
            <w:tcBorders>
              <w:top w:val="single" w:sz="4" w:space="0" w:color="auto"/>
            </w:tcBorders>
            <w:shd w:val="clear" w:color="auto" w:fill="auto"/>
            <w:noWrap/>
          </w:tcPr>
          <w:p w14:paraId="65F1F645"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None</w:t>
            </w:r>
          </w:p>
        </w:tc>
        <w:tc>
          <w:tcPr>
            <w:tcW w:w="992" w:type="dxa"/>
            <w:tcBorders>
              <w:top w:val="single" w:sz="4" w:space="0" w:color="auto"/>
            </w:tcBorders>
          </w:tcPr>
          <w:p w14:paraId="0E8191C2"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134" w:type="dxa"/>
            <w:tcBorders>
              <w:top w:val="single" w:sz="4" w:space="0" w:color="auto"/>
            </w:tcBorders>
            <w:shd w:val="clear" w:color="auto" w:fill="auto"/>
            <w:noWrap/>
          </w:tcPr>
          <w:p w14:paraId="1BC1670B"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None</w:t>
            </w:r>
          </w:p>
        </w:tc>
        <w:tc>
          <w:tcPr>
            <w:tcW w:w="1134" w:type="dxa"/>
            <w:tcBorders>
              <w:top w:val="single" w:sz="4" w:space="0" w:color="auto"/>
            </w:tcBorders>
            <w:shd w:val="clear" w:color="auto" w:fill="auto"/>
            <w:noWrap/>
          </w:tcPr>
          <w:p w14:paraId="659AC0E0"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High structure supervision</w:t>
            </w:r>
            <w:r w:rsidRPr="00EA0DC7">
              <w:rPr>
                <w:rFonts w:eastAsia="Times New Roman" w:cs="Arial"/>
                <w:sz w:val="16"/>
                <w:szCs w:val="16"/>
              </w:rPr>
              <w:br/>
            </w:r>
            <w:r w:rsidRPr="00EA0DC7">
              <w:rPr>
                <w:rFonts w:eastAsia="Times New Roman" w:cs="Arial"/>
                <w:sz w:val="16"/>
                <w:szCs w:val="16"/>
              </w:rPr>
              <w:br/>
              <w:t>Low structure supervision</w:t>
            </w:r>
          </w:p>
        </w:tc>
        <w:tc>
          <w:tcPr>
            <w:tcW w:w="1134" w:type="dxa"/>
            <w:tcBorders>
              <w:top w:val="single" w:sz="4" w:space="0" w:color="auto"/>
            </w:tcBorders>
          </w:tcPr>
          <w:p w14:paraId="7CE62DD5"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Weekly</w:t>
            </w:r>
          </w:p>
        </w:tc>
        <w:tc>
          <w:tcPr>
            <w:tcW w:w="992" w:type="dxa"/>
            <w:tcBorders>
              <w:top w:val="single" w:sz="4" w:space="0" w:color="auto"/>
            </w:tcBorders>
          </w:tcPr>
          <w:p w14:paraId="25794A21"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Control (received dyadic training only)</w:t>
            </w:r>
          </w:p>
        </w:tc>
        <w:tc>
          <w:tcPr>
            <w:tcW w:w="850" w:type="dxa"/>
            <w:tcBorders>
              <w:top w:val="single" w:sz="4" w:space="0" w:color="auto"/>
            </w:tcBorders>
          </w:tcPr>
          <w:p w14:paraId="391D904E"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1</w:t>
            </w:r>
          </w:p>
        </w:tc>
        <w:tc>
          <w:tcPr>
            <w:tcW w:w="1560" w:type="dxa"/>
            <w:tcBorders>
              <w:top w:val="single" w:sz="4" w:space="0" w:color="auto"/>
            </w:tcBorders>
            <w:shd w:val="clear" w:color="auto" w:fill="auto"/>
          </w:tcPr>
          <w:p w14:paraId="3E35E2A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Supervision increased empathic communication and refection of feeling in therapists compared to control group. There was no difference in these measures between high and low structure supervision conditions.</w:t>
            </w:r>
          </w:p>
        </w:tc>
        <w:tc>
          <w:tcPr>
            <w:tcW w:w="992" w:type="dxa"/>
            <w:tcBorders>
              <w:top w:val="single" w:sz="4" w:space="0" w:color="auto"/>
            </w:tcBorders>
            <w:shd w:val="clear" w:color="auto" w:fill="auto"/>
            <w:noWrap/>
          </w:tcPr>
          <w:p w14:paraId="34449368"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Therapist reflection of feeling responses</w:t>
            </w:r>
          </w:p>
        </w:tc>
        <w:tc>
          <w:tcPr>
            <w:tcW w:w="709" w:type="dxa"/>
            <w:tcBorders>
              <w:top w:val="single" w:sz="4" w:space="0" w:color="auto"/>
            </w:tcBorders>
          </w:tcPr>
          <w:p w14:paraId="45D7D0DA"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sz w:val="16"/>
                <w:szCs w:val="16"/>
              </w:rPr>
              <w:t>14</w:t>
            </w:r>
          </w:p>
        </w:tc>
      </w:tr>
      <w:tr w:rsidR="00144D1E" w:rsidRPr="00EA0DC7" w14:paraId="62CD2465" w14:textId="77777777" w:rsidTr="00F744CC">
        <w:trPr>
          <w:trHeight w:val="1200"/>
        </w:trPr>
        <w:tc>
          <w:tcPr>
            <w:tcW w:w="993" w:type="dxa"/>
            <w:tcBorders>
              <w:bottom w:val="single" w:sz="4" w:space="0" w:color="auto"/>
            </w:tcBorders>
            <w:shd w:val="clear" w:color="auto" w:fill="auto"/>
            <w:noWrap/>
            <w:hideMark/>
          </w:tcPr>
          <w:p w14:paraId="16329923" w14:textId="77777777" w:rsidR="00144D1E" w:rsidRPr="00EA0DC7" w:rsidRDefault="00144D1E" w:rsidP="00F744CC">
            <w:pPr>
              <w:spacing w:line="240" w:lineRule="auto"/>
              <w:jc w:val="left"/>
              <w:rPr>
                <w:rFonts w:eastAsia="Times New Roman" w:cs="Arial"/>
                <w:i/>
                <w:sz w:val="16"/>
                <w:szCs w:val="16"/>
              </w:rPr>
            </w:pPr>
            <w:r w:rsidRPr="00EA0DC7">
              <w:rPr>
                <w:rFonts w:eastAsia="Times New Roman" w:cs="Arial"/>
                <w:i/>
                <w:noProof/>
                <w:sz w:val="16"/>
                <w:szCs w:val="16"/>
              </w:rPr>
              <w:t>Borders (1991)</w:t>
            </w:r>
          </w:p>
        </w:tc>
        <w:tc>
          <w:tcPr>
            <w:tcW w:w="1134" w:type="dxa"/>
            <w:tcBorders>
              <w:bottom w:val="single" w:sz="4" w:space="0" w:color="auto"/>
            </w:tcBorders>
            <w:shd w:val="clear" w:color="auto" w:fill="auto"/>
            <w:noWrap/>
            <w:hideMark/>
          </w:tcPr>
          <w:p w14:paraId="2E29851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Faculty members, </w:t>
            </w:r>
            <w:r w:rsidRPr="00EA0DC7">
              <w:rPr>
                <w:rFonts w:eastAsia="Times New Roman" w:cs="Arial"/>
                <w:i/>
                <w:sz w:val="16"/>
                <w:szCs w:val="16"/>
              </w:rPr>
              <w:t xml:space="preserve">n = </w:t>
            </w:r>
            <w:r w:rsidRPr="00EA0DC7">
              <w:rPr>
                <w:rFonts w:eastAsia="Times New Roman" w:cs="Arial"/>
                <w:sz w:val="16"/>
                <w:szCs w:val="16"/>
              </w:rPr>
              <w:t>3</w:t>
            </w:r>
          </w:p>
        </w:tc>
        <w:tc>
          <w:tcPr>
            <w:tcW w:w="1134" w:type="dxa"/>
            <w:tcBorders>
              <w:bottom w:val="single" w:sz="4" w:space="0" w:color="auto"/>
            </w:tcBorders>
            <w:shd w:val="clear" w:color="auto" w:fill="auto"/>
            <w:noWrap/>
            <w:hideMark/>
          </w:tcPr>
          <w:p w14:paraId="09E3B819"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Trainee (students from a master's counselling program, </w:t>
            </w:r>
            <w:r w:rsidRPr="00EA0DC7">
              <w:rPr>
                <w:rFonts w:eastAsia="Times New Roman" w:cs="Arial"/>
                <w:i/>
                <w:sz w:val="16"/>
                <w:szCs w:val="16"/>
              </w:rPr>
              <w:t xml:space="preserve">n = </w:t>
            </w:r>
            <w:r w:rsidRPr="00EA0DC7">
              <w:rPr>
                <w:rFonts w:eastAsia="Times New Roman" w:cs="Arial"/>
                <w:sz w:val="16"/>
                <w:szCs w:val="16"/>
              </w:rPr>
              <w:t>44)</w:t>
            </w:r>
          </w:p>
        </w:tc>
        <w:tc>
          <w:tcPr>
            <w:tcW w:w="1139" w:type="dxa"/>
            <w:tcBorders>
              <w:bottom w:val="single" w:sz="4" w:space="0" w:color="auto"/>
            </w:tcBorders>
            <w:shd w:val="clear" w:color="auto" w:fill="auto"/>
            <w:noWrap/>
            <w:hideMark/>
          </w:tcPr>
          <w:p w14:paraId="001A4A6A"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992" w:type="dxa"/>
            <w:tcBorders>
              <w:bottom w:val="single" w:sz="4" w:space="0" w:color="auto"/>
            </w:tcBorders>
          </w:tcPr>
          <w:p w14:paraId="0BA561E2"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tc>
        <w:tc>
          <w:tcPr>
            <w:tcW w:w="1134" w:type="dxa"/>
            <w:tcBorders>
              <w:bottom w:val="single" w:sz="4" w:space="0" w:color="auto"/>
            </w:tcBorders>
            <w:shd w:val="clear" w:color="auto" w:fill="auto"/>
            <w:noWrap/>
            <w:hideMark/>
          </w:tcPr>
          <w:p w14:paraId="62A8D65F"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Various</w:t>
            </w:r>
          </w:p>
        </w:tc>
        <w:tc>
          <w:tcPr>
            <w:tcW w:w="1134" w:type="dxa"/>
            <w:tcBorders>
              <w:bottom w:val="single" w:sz="4" w:space="0" w:color="auto"/>
            </w:tcBorders>
            <w:shd w:val="clear" w:color="auto" w:fill="auto"/>
            <w:noWrap/>
            <w:hideMark/>
          </w:tcPr>
          <w:p w14:paraId="0234D65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Group and individual supervision (live observation and/or videotape review)</w:t>
            </w:r>
          </w:p>
        </w:tc>
        <w:tc>
          <w:tcPr>
            <w:tcW w:w="1134" w:type="dxa"/>
            <w:tcBorders>
              <w:bottom w:val="single" w:sz="4" w:space="0" w:color="auto"/>
            </w:tcBorders>
            <w:shd w:val="clear" w:color="auto" w:fill="auto"/>
          </w:tcPr>
          <w:p w14:paraId="401092D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Weekly</w:t>
            </w:r>
          </w:p>
        </w:tc>
        <w:tc>
          <w:tcPr>
            <w:tcW w:w="992" w:type="dxa"/>
            <w:tcBorders>
              <w:bottom w:val="single" w:sz="4" w:space="0" w:color="auto"/>
            </w:tcBorders>
          </w:tcPr>
          <w:p w14:paraId="56DF036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bottom w:val="single" w:sz="4" w:space="0" w:color="auto"/>
            </w:tcBorders>
          </w:tcPr>
          <w:p w14:paraId="44924C1A"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16</w:t>
            </w:r>
          </w:p>
        </w:tc>
        <w:tc>
          <w:tcPr>
            <w:tcW w:w="1560" w:type="dxa"/>
            <w:tcBorders>
              <w:bottom w:val="single" w:sz="4" w:space="0" w:color="auto"/>
            </w:tcBorders>
            <w:shd w:val="clear" w:color="auto" w:fill="auto"/>
            <w:hideMark/>
          </w:tcPr>
          <w:p w14:paraId="3B7E5870"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Supervisees increased in self-awareness, dependency/autonomy, and theory/skills acquisition between the 2nd and 16th weeks of the semester.</w:t>
            </w:r>
          </w:p>
        </w:tc>
        <w:tc>
          <w:tcPr>
            <w:tcW w:w="992" w:type="dxa"/>
            <w:tcBorders>
              <w:bottom w:val="single" w:sz="4" w:space="0" w:color="auto"/>
            </w:tcBorders>
            <w:shd w:val="clear" w:color="auto" w:fill="auto"/>
            <w:noWrap/>
            <w:hideMark/>
          </w:tcPr>
          <w:p w14:paraId="7913961A"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Supervis-ee develop-mental level (Supervis-ee Levels Question-naire; SLQ; </w:t>
            </w:r>
            <w:r w:rsidRPr="00EA0DC7">
              <w:rPr>
                <w:rFonts w:eastAsia="Times New Roman" w:cs="Arial"/>
                <w:noProof/>
                <w:sz w:val="16"/>
                <w:szCs w:val="16"/>
              </w:rPr>
              <w:t>McNeill, Stoltenbe-rg, &amp; Pierce, 1985)</w:t>
            </w:r>
          </w:p>
        </w:tc>
        <w:tc>
          <w:tcPr>
            <w:tcW w:w="709" w:type="dxa"/>
            <w:tcBorders>
              <w:bottom w:val="single" w:sz="4" w:space="0" w:color="auto"/>
            </w:tcBorders>
          </w:tcPr>
          <w:p w14:paraId="7F726657" w14:textId="77777777" w:rsidR="00144D1E" w:rsidRPr="00EA0DC7" w:rsidRDefault="00144D1E" w:rsidP="00F744CC">
            <w:pPr>
              <w:spacing w:line="240" w:lineRule="auto"/>
              <w:jc w:val="center"/>
              <w:rPr>
                <w:rFonts w:eastAsia="Times New Roman" w:cs="Arial"/>
                <w:sz w:val="16"/>
                <w:szCs w:val="16"/>
              </w:rPr>
            </w:pPr>
            <w:r w:rsidRPr="00EA0DC7">
              <w:rPr>
                <w:rFonts w:eastAsia="Times New Roman" w:cs="Arial"/>
                <w:sz w:val="16"/>
                <w:szCs w:val="16"/>
              </w:rPr>
              <w:t>13</w:t>
            </w:r>
          </w:p>
        </w:tc>
      </w:tr>
    </w:tbl>
    <w:p w14:paraId="72FA1C37" w14:textId="77777777" w:rsidR="00144D1E" w:rsidRPr="00EA0DC7" w:rsidRDefault="00144D1E" w:rsidP="00144D1E">
      <w:pPr>
        <w:spacing w:before="240" w:line="240" w:lineRule="auto"/>
        <w:jc w:val="center"/>
        <w:rPr>
          <w:rFonts w:eastAsia="Times New Roman" w:cs="Arial"/>
          <w:b/>
          <w:bCs/>
          <w:sz w:val="16"/>
          <w:szCs w:val="16"/>
        </w:rPr>
        <w:sectPr w:rsidR="00144D1E" w:rsidRPr="00EA0DC7" w:rsidSect="00F744CC">
          <w:pgSz w:w="16838" w:h="11906" w:orient="landscape"/>
          <w:pgMar w:top="2268" w:right="1440" w:bottom="1440" w:left="1440" w:header="709" w:footer="709" w:gutter="0"/>
          <w:cols w:space="708"/>
          <w:docGrid w:linePitch="360"/>
        </w:sectPr>
      </w:pPr>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59168A37" w14:textId="77777777" w:rsidTr="00F744CC">
        <w:trPr>
          <w:trHeight w:val="709"/>
        </w:trPr>
        <w:tc>
          <w:tcPr>
            <w:tcW w:w="993" w:type="dxa"/>
            <w:tcBorders>
              <w:top w:val="single" w:sz="4" w:space="0" w:color="auto"/>
              <w:bottom w:val="single" w:sz="4" w:space="0" w:color="auto"/>
            </w:tcBorders>
            <w:shd w:val="clear" w:color="auto" w:fill="auto"/>
            <w:noWrap/>
          </w:tcPr>
          <w:p w14:paraId="00196EE8" w14:textId="77777777" w:rsidR="00144D1E" w:rsidRPr="00EA0DC7" w:rsidRDefault="00144D1E" w:rsidP="00F744CC">
            <w:pPr>
              <w:spacing w:before="240" w:line="240" w:lineRule="auto"/>
              <w:jc w:val="center"/>
              <w:rPr>
                <w:rFonts w:eastAsia="Times New Roman" w:cs="Arial"/>
                <w:i/>
                <w:noProof/>
                <w:sz w:val="16"/>
                <w:szCs w:val="16"/>
              </w:rPr>
            </w:pPr>
            <w:r w:rsidRPr="00EA0DC7">
              <w:rPr>
                <w:rFonts w:eastAsia="Times New Roman" w:cs="Arial"/>
                <w:b/>
                <w:bCs/>
                <w:sz w:val="16"/>
                <w:szCs w:val="16"/>
              </w:rPr>
              <w:lastRenderedPageBreak/>
              <w:t>Study</w:t>
            </w:r>
          </w:p>
        </w:tc>
        <w:tc>
          <w:tcPr>
            <w:tcW w:w="1134" w:type="dxa"/>
            <w:tcBorders>
              <w:top w:val="single" w:sz="4" w:space="0" w:color="auto"/>
              <w:bottom w:val="single" w:sz="4" w:space="0" w:color="auto"/>
            </w:tcBorders>
            <w:shd w:val="clear" w:color="auto" w:fill="auto"/>
            <w:noWrap/>
          </w:tcPr>
          <w:p w14:paraId="6AC076BF"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tcPr>
          <w:p w14:paraId="74986DA1"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tcPr>
          <w:p w14:paraId="16B2A4B7"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5E65B142"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tcPr>
          <w:p w14:paraId="7E4E145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noWrap/>
          </w:tcPr>
          <w:p w14:paraId="146ED52D"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shd w:val="clear" w:color="auto" w:fill="auto"/>
          </w:tcPr>
          <w:p w14:paraId="7AF4E02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1F48634E"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37167C15"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tcPr>
          <w:p w14:paraId="74A2F5D0"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noWrap/>
          </w:tcPr>
          <w:p w14:paraId="2ABD11A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325A9BC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QI score</w:t>
            </w:r>
          </w:p>
        </w:tc>
      </w:tr>
      <w:tr w:rsidR="00144D1E" w:rsidRPr="00EA0DC7" w14:paraId="4B084722" w14:textId="77777777" w:rsidTr="00F744CC">
        <w:trPr>
          <w:trHeight w:val="709"/>
        </w:trPr>
        <w:tc>
          <w:tcPr>
            <w:tcW w:w="993" w:type="dxa"/>
            <w:tcBorders>
              <w:top w:val="single" w:sz="4" w:space="0" w:color="auto"/>
            </w:tcBorders>
            <w:shd w:val="clear" w:color="auto" w:fill="auto"/>
            <w:noWrap/>
          </w:tcPr>
          <w:p w14:paraId="50C13BEB" w14:textId="77777777" w:rsidR="00144D1E" w:rsidRPr="00EA0DC7" w:rsidRDefault="00144D1E" w:rsidP="00F744CC">
            <w:pPr>
              <w:spacing w:before="240" w:line="240" w:lineRule="auto"/>
              <w:jc w:val="left"/>
              <w:rPr>
                <w:rFonts w:eastAsia="Times New Roman" w:cs="Arial"/>
                <w:i/>
                <w:noProof/>
                <w:sz w:val="16"/>
                <w:szCs w:val="16"/>
              </w:rPr>
            </w:pPr>
            <w:r w:rsidRPr="00EA0DC7">
              <w:rPr>
                <w:rFonts w:eastAsia="Times New Roman" w:cs="Arial"/>
                <w:i/>
                <w:noProof/>
                <w:sz w:val="16"/>
                <w:szCs w:val="16"/>
              </w:rPr>
              <w:t>Bradshaw et al. (2007)</w:t>
            </w:r>
          </w:p>
        </w:tc>
        <w:tc>
          <w:tcPr>
            <w:tcW w:w="1134" w:type="dxa"/>
            <w:tcBorders>
              <w:top w:val="single" w:sz="4" w:space="0" w:color="auto"/>
            </w:tcBorders>
            <w:shd w:val="clear" w:color="auto" w:fill="auto"/>
            <w:noWrap/>
          </w:tcPr>
          <w:p w14:paraId="20247B58"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Graduates, </w:t>
            </w:r>
            <w:r w:rsidRPr="00EA0DC7">
              <w:rPr>
                <w:rFonts w:eastAsia="Times New Roman" w:cs="Arial"/>
                <w:i/>
                <w:sz w:val="16"/>
                <w:szCs w:val="16"/>
              </w:rPr>
              <w:t xml:space="preserve">n = </w:t>
            </w:r>
            <w:r w:rsidRPr="00EA0DC7">
              <w:rPr>
                <w:rFonts w:eastAsia="Times New Roman" w:cs="Arial"/>
                <w:sz w:val="16"/>
                <w:szCs w:val="16"/>
              </w:rPr>
              <w:t>ns</w:t>
            </w:r>
          </w:p>
        </w:tc>
        <w:tc>
          <w:tcPr>
            <w:tcW w:w="1134" w:type="dxa"/>
            <w:tcBorders>
              <w:top w:val="single" w:sz="4" w:space="0" w:color="auto"/>
            </w:tcBorders>
            <w:shd w:val="clear" w:color="auto" w:fill="auto"/>
            <w:noWrap/>
          </w:tcPr>
          <w:p w14:paraId="329C91B2" w14:textId="77777777" w:rsidR="00144D1E" w:rsidRPr="00EA0DC7" w:rsidRDefault="00144D1E" w:rsidP="00F744CC">
            <w:pPr>
              <w:spacing w:before="240" w:line="240" w:lineRule="auto"/>
              <w:jc w:val="left"/>
              <w:rPr>
                <w:rFonts w:eastAsia="Times New Roman" w:cs="Arial"/>
                <w:sz w:val="16"/>
                <w:szCs w:val="16"/>
              </w:rPr>
            </w:pPr>
            <w:r>
              <w:rPr>
                <w:rFonts w:eastAsia="Times New Roman" w:cs="Arial"/>
                <w:sz w:val="16"/>
                <w:szCs w:val="16"/>
              </w:rPr>
              <w:t>Qualified</w:t>
            </w:r>
            <w:r w:rsidRPr="00EA0DC7">
              <w:rPr>
                <w:rFonts w:eastAsia="Times New Roman" w:cs="Arial"/>
                <w:sz w:val="16"/>
                <w:szCs w:val="16"/>
              </w:rPr>
              <w:t xml:space="preserve"> (mental health nurses, </w:t>
            </w:r>
            <w:r w:rsidRPr="00EA0DC7">
              <w:rPr>
                <w:rFonts w:eastAsia="Times New Roman" w:cs="Arial"/>
                <w:i/>
                <w:sz w:val="16"/>
                <w:szCs w:val="16"/>
              </w:rPr>
              <w:t xml:space="preserve">n = </w:t>
            </w:r>
            <w:r w:rsidRPr="00EA0DC7">
              <w:rPr>
                <w:rFonts w:eastAsia="Times New Roman" w:cs="Arial"/>
                <w:sz w:val="16"/>
                <w:szCs w:val="16"/>
              </w:rPr>
              <w:t>23)</w:t>
            </w:r>
          </w:p>
        </w:tc>
        <w:tc>
          <w:tcPr>
            <w:tcW w:w="1139" w:type="dxa"/>
            <w:tcBorders>
              <w:top w:val="single" w:sz="4" w:space="0" w:color="auto"/>
            </w:tcBorders>
            <w:shd w:val="clear" w:color="auto" w:fill="auto"/>
            <w:noWrap/>
          </w:tcPr>
          <w:p w14:paraId="3B8E3261"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Clinical (schizophre-nia diagnosis, </w:t>
            </w:r>
            <w:r w:rsidRPr="00EA0DC7">
              <w:rPr>
                <w:rFonts w:eastAsia="Times New Roman" w:cs="Arial"/>
                <w:i/>
                <w:sz w:val="16"/>
                <w:szCs w:val="16"/>
              </w:rPr>
              <w:t xml:space="preserve">n = </w:t>
            </w:r>
            <w:r w:rsidRPr="00EA0DC7">
              <w:rPr>
                <w:rFonts w:eastAsia="Times New Roman" w:cs="Arial"/>
                <w:sz w:val="16"/>
                <w:szCs w:val="16"/>
              </w:rPr>
              <w:t>93)</w:t>
            </w:r>
          </w:p>
        </w:tc>
        <w:tc>
          <w:tcPr>
            <w:tcW w:w="992" w:type="dxa"/>
            <w:tcBorders>
              <w:top w:val="single" w:sz="4" w:space="0" w:color="auto"/>
            </w:tcBorders>
          </w:tcPr>
          <w:p w14:paraId="592F8F79"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UK</w:t>
            </w:r>
          </w:p>
        </w:tc>
        <w:tc>
          <w:tcPr>
            <w:tcW w:w="1134" w:type="dxa"/>
            <w:tcBorders>
              <w:top w:val="single" w:sz="4" w:space="0" w:color="auto"/>
            </w:tcBorders>
            <w:shd w:val="clear" w:color="auto" w:fill="auto"/>
            <w:noWrap/>
          </w:tcPr>
          <w:p w14:paraId="10A005CD"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Psychosoci-al intervention</w:t>
            </w:r>
          </w:p>
        </w:tc>
        <w:tc>
          <w:tcPr>
            <w:tcW w:w="1134" w:type="dxa"/>
            <w:tcBorders>
              <w:top w:val="single" w:sz="4" w:space="0" w:color="auto"/>
            </w:tcBorders>
            <w:shd w:val="clear" w:color="auto" w:fill="auto"/>
            <w:noWrap/>
          </w:tcPr>
          <w:p w14:paraId="660B521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Workplace supervision</w:t>
            </w:r>
          </w:p>
        </w:tc>
        <w:tc>
          <w:tcPr>
            <w:tcW w:w="1134" w:type="dxa"/>
            <w:tcBorders>
              <w:top w:val="single" w:sz="4" w:space="0" w:color="auto"/>
            </w:tcBorders>
            <w:shd w:val="clear" w:color="auto" w:fill="auto"/>
          </w:tcPr>
          <w:p w14:paraId="5B58A37A"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Every two weeks</w:t>
            </w:r>
          </w:p>
        </w:tc>
        <w:tc>
          <w:tcPr>
            <w:tcW w:w="992" w:type="dxa"/>
            <w:tcBorders>
              <w:top w:val="single" w:sz="4" w:space="0" w:color="auto"/>
            </w:tcBorders>
          </w:tcPr>
          <w:p w14:paraId="728473D5"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Control (received clinical supervisi-on on the education program-me but not additional workplace supervise-on)</w:t>
            </w:r>
          </w:p>
        </w:tc>
        <w:tc>
          <w:tcPr>
            <w:tcW w:w="850" w:type="dxa"/>
            <w:tcBorders>
              <w:top w:val="single" w:sz="4" w:space="0" w:color="auto"/>
            </w:tcBorders>
          </w:tcPr>
          <w:p w14:paraId="5E5C9D86"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52</w:t>
            </w:r>
          </w:p>
        </w:tc>
        <w:tc>
          <w:tcPr>
            <w:tcW w:w="1560" w:type="dxa"/>
            <w:tcBorders>
              <w:top w:val="single" w:sz="4" w:space="0" w:color="auto"/>
            </w:tcBorders>
            <w:shd w:val="clear" w:color="auto" w:fill="auto"/>
          </w:tcPr>
          <w:p w14:paraId="2214144B"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Those receiving supervision experienced a greater increase in knowledge of psychological interventions than those not receiving supervision.</w:t>
            </w:r>
          </w:p>
        </w:tc>
        <w:tc>
          <w:tcPr>
            <w:tcW w:w="992" w:type="dxa"/>
            <w:tcBorders>
              <w:top w:val="single" w:sz="4" w:space="0" w:color="auto"/>
            </w:tcBorders>
            <w:shd w:val="clear" w:color="auto" w:fill="auto"/>
            <w:noWrap/>
          </w:tcPr>
          <w:p w14:paraId="775B4953"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Therapist knowledge (multiple choice question papers)</w:t>
            </w:r>
          </w:p>
        </w:tc>
        <w:tc>
          <w:tcPr>
            <w:tcW w:w="709" w:type="dxa"/>
            <w:tcBorders>
              <w:top w:val="single" w:sz="4" w:space="0" w:color="auto"/>
            </w:tcBorders>
          </w:tcPr>
          <w:p w14:paraId="0418EB51"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18</w:t>
            </w:r>
          </w:p>
        </w:tc>
      </w:tr>
      <w:tr w:rsidR="00144D1E" w:rsidRPr="00EA0DC7" w14:paraId="74574959" w14:textId="77777777" w:rsidTr="00F744CC">
        <w:trPr>
          <w:trHeight w:val="709"/>
        </w:trPr>
        <w:tc>
          <w:tcPr>
            <w:tcW w:w="993" w:type="dxa"/>
            <w:tcBorders>
              <w:bottom w:val="single" w:sz="4" w:space="0" w:color="auto"/>
            </w:tcBorders>
            <w:shd w:val="clear" w:color="auto" w:fill="auto"/>
            <w:noWrap/>
          </w:tcPr>
          <w:p w14:paraId="179DD2D9" w14:textId="77777777" w:rsidR="00144D1E" w:rsidRPr="00EA0DC7" w:rsidRDefault="00144D1E" w:rsidP="00F744CC">
            <w:pPr>
              <w:spacing w:line="240" w:lineRule="auto"/>
              <w:jc w:val="left"/>
              <w:rPr>
                <w:rFonts w:eastAsia="Times New Roman" w:cs="Arial"/>
                <w:i/>
                <w:noProof/>
                <w:sz w:val="16"/>
                <w:szCs w:val="16"/>
              </w:rPr>
            </w:pPr>
            <w:r w:rsidRPr="00EA0DC7">
              <w:rPr>
                <w:rFonts w:eastAsia="Times New Roman" w:cs="Arial"/>
                <w:i/>
                <w:noProof/>
                <w:sz w:val="16"/>
                <w:szCs w:val="16"/>
              </w:rPr>
              <w:t>Burlinga-me et al. (2007)</w:t>
            </w:r>
          </w:p>
        </w:tc>
        <w:tc>
          <w:tcPr>
            <w:tcW w:w="1134" w:type="dxa"/>
            <w:tcBorders>
              <w:bottom w:val="single" w:sz="4" w:space="0" w:color="auto"/>
            </w:tcBorders>
            <w:shd w:val="clear" w:color="auto" w:fill="auto"/>
            <w:noWrap/>
          </w:tcPr>
          <w:p w14:paraId="1CAE8D1A"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Advanced Practice Registered Nurse, </w:t>
            </w:r>
            <w:r w:rsidRPr="00EA0DC7">
              <w:rPr>
                <w:rFonts w:eastAsia="Times New Roman" w:cs="Arial"/>
                <w:i/>
                <w:sz w:val="16"/>
                <w:szCs w:val="16"/>
              </w:rPr>
              <w:t xml:space="preserve">n = </w:t>
            </w:r>
            <w:r w:rsidRPr="00EA0DC7">
              <w:rPr>
                <w:rFonts w:eastAsia="Times New Roman" w:cs="Arial"/>
                <w:sz w:val="16"/>
                <w:szCs w:val="16"/>
              </w:rPr>
              <w:t>1</w:t>
            </w:r>
          </w:p>
        </w:tc>
        <w:tc>
          <w:tcPr>
            <w:tcW w:w="1134" w:type="dxa"/>
            <w:tcBorders>
              <w:bottom w:val="single" w:sz="4" w:space="0" w:color="auto"/>
            </w:tcBorders>
            <w:shd w:val="clear" w:color="auto" w:fill="auto"/>
            <w:noWrap/>
          </w:tcPr>
          <w:p w14:paraId="6F67CFBF" w14:textId="77777777" w:rsidR="00144D1E" w:rsidRPr="00EA0DC7" w:rsidRDefault="00144D1E" w:rsidP="00F744CC">
            <w:pPr>
              <w:spacing w:line="240" w:lineRule="auto"/>
              <w:jc w:val="left"/>
              <w:rPr>
                <w:rFonts w:eastAsia="Times New Roman" w:cs="Arial"/>
                <w:sz w:val="16"/>
                <w:szCs w:val="16"/>
              </w:rPr>
            </w:pPr>
            <w:r>
              <w:rPr>
                <w:rFonts w:eastAsia="Times New Roman" w:cs="Arial"/>
                <w:sz w:val="16"/>
                <w:szCs w:val="16"/>
              </w:rPr>
              <w:t>Qualified</w:t>
            </w:r>
            <w:r w:rsidRPr="00EA0DC7">
              <w:rPr>
                <w:rFonts w:eastAsia="Times New Roman" w:cs="Arial"/>
                <w:sz w:val="16"/>
                <w:szCs w:val="16"/>
              </w:rPr>
              <w:t xml:space="preserve"> (nurses, </w:t>
            </w:r>
            <w:r w:rsidRPr="00EA0DC7">
              <w:rPr>
                <w:rFonts w:eastAsia="Times New Roman" w:cs="Arial"/>
                <w:i/>
                <w:sz w:val="16"/>
                <w:szCs w:val="16"/>
              </w:rPr>
              <w:t xml:space="preserve">n = </w:t>
            </w:r>
            <w:r w:rsidRPr="00EA0DC7">
              <w:rPr>
                <w:rFonts w:eastAsia="Times New Roman" w:cs="Arial"/>
                <w:sz w:val="16"/>
                <w:szCs w:val="16"/>
              </w:rPr>
              <w:t>10)</w:t>
            </w:r>
          </w:p>
        </w:tc>
        <w:tc>
          <w:tcPr>
            <w:tcW w:w="1139" w:type="dxa"/>
            <w:tcBorders>
              <w:bottom w:val="single" w:sz="4" w:space="0" w:color="auto"/>
            </w:tcBorders>
            <w:shd w:val="clear" w:color="auto" w:fill="auto"/>
            <w:noWrap/>
          </w:tcPr>
          <w:p w14:paraId="7C99C027"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Clinical (hospital inpatients, </w:t>
            </w:r>
            <w:r w:rsidRPr="00EA0DC7">
              <w:rPr>
                <w:rFonts w:eastAsia="Times New Roman" w:cs="Arial"/>
                <w:i/>
                <w:sz w:val="16"/>
                <w:szCs w:val="16"/>
              </w:rPr>
              <w:t xml:space="preserve">n = </w:t>
            </w:r>
            <w:r w:rsidRPr="00EA0DC7">
              <w:rPr>
                <w:rFonts w:eastAsia="Times New Roman" w:cs="Arial"/>
                <w:sz w:val="16"/>
                <w:szCs w:val="16"/>
              </w:rPr>
              <w:t>38)</w:t>
            </w:r>
          </w:p>
        </w:tc>
        <w:tc>
          <w:tcPr>
            <w:tcW w:w="992" w:type="dxa"/>
            <w:tcBorders>
              <w:bottom w:val="single" w:sz="4" w:space="0" w:color="auto"/>
            </w:tcBorders>
          </w:tcPr>
          <w:p w14:paraId="316D9C6B"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p w14:paraId="55167F46" w14:textId="77777777" w:rsidR="00144D1E" w:rsidRPr="00EA0DC7" w:rsidRDefault="00144D1E" w:rsidP="00F744CC">
            <w:pPr>
              <w:spacing w:line="240" w:lineRule="auto"/>
              <w:jc w:val="left"/>
              <w:rPr>
                <w:rFonts w:eastAsia="Times New Roman" w:cs="Arial"/>
                <w:sz w:val="16"/>
                <w:szCs w:val="16"/>
              </w:rPr>
            </w:pPr>
          </w:p>
        </w:tc>
        <w:tc>
          <w:tcPr>
            <w:tcW w:w="1134" w:type="dxa"/>
            <w:tcBorders>
              <w:bottom w:val="single" w:sz="4" w:space="0" w:color="auto"/>
            </w:tcBorders>
            <w:shd w:val="clear" w:color="auto" w:fill="auto"/>
            <w:noWrap/>
          </w:tcPr>
          <w:p w14:paraId="5B1D886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Psycho-educational group</w:t>
            </w:r>
          </w:p>
        </w:tc>
        <w:tc>
          <w:tcPr>
            <w:tcW w:w="1134" w:type="dxa"/>
            <w:tcBorders>
              <w:bottom w:val="single" w:sz="4" w:space="0" w:color="auto"/>
            </w:tcBorders>
            <w:shd w:val="clear" w:color="auto" w:fill="auto"/>
            <w:noWrap/>
          </w:tcPr>
          <w:p w14:paraId="1707C24C"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bottom w:val="single" w:sz="4" w:space="0" w:color="auto"/>
            </w:tcBorders>
            <w:shd w:val="clear" w:color="auto" w:fill="auto"/>
          </w:tcPr>
          <w:p w14:paraId="1FB5AB63"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Weekly</w:t>
            </w:r>
          </w:p>
        </w:tc>
        <w:tc>
          <w:tcPr>
            <w:tcW w:w="992" w:type="dxa"/>
            <w:tcBorders>
              <w:bottom w:val="single" w:sz="4" w:space="0" w:color="auto"/>
            </w:tcBorders>
          </w:tcPr>
          <w:p w14:paraId="177CBD4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Control (received workshop training only)</w:t>
            </w:r>
          </w:p>
        </w:tc>
        <w:tc>
          <w:tcPr>
            <w:tcW w:w="850" w:type="dxa"/>
            <w:tcBorders>
              <w:bottom w:val="single" w:sz="4" w:space="0" w:color="auto"/>
            </w:tcBorders>
          </w:tcPr>
          <w:p w14:paraId="2775E4C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560" w:type="dxa"/>
            <w:tcBorders>
              <w:bottom w:val="single" w:sz="4" w:space="0" w:color="auto"/>
            </w:tcBorders>
            <w:shd w:val="clear" w:color="auto" w:fill="auto"/>
          </w:tcPr>
          <w:p w14:paraId="70D63833"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difference in nurse knowledge and skills between the workshop and supervision conditions.</w:t>
            </w:r>
          </w:p>
        </w:tc>
        <w:tc>
          <w:tcPr>
            <w:tcW w:w="992" w:type="dxa"/>
            <w:tcBorders>
              <w:bottom w:val="single" w:sz="4" w:space="0" w:color="auto"/>
            </w:tcBorders>
            <w:shd w:val="clear" w:color="auto" w:fill="auto"/>
            <w:noWrap/>
          </w:tcPr>
          <w:p w14:paraId="6536E62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Basic knowledge and skills (Psycho-Educatio-nal Group Question-naire for Nurses; PEGQ-N)</w:t>
            </w:r>
          </w:p>
        </w:tc>
        <w:tc>
          <w:tcPr>
            <w:tcW w:w="709" w:type="dxa"/>
            <w:tcBorders>
              <w:bottom w:val="single" w:sz="4" w:space="0" w:color="auto"/>
            </w:tcBorders>
          </w:tcPr>
          <w:p w14:paraId="06292AB0"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16</w:t>
            </w:r>
          </w:p>
        </w:tc>
      </w:tr>
    </w:tbl>
    <w:p w14:paraId="53A5CA00" w14:textId="77777777" w:rsidR="00144D1E" w:rsidRPr="00EA0DC7" w:rsidRDefault="00144D1E" w:rsidP="00144D1E">
      <w:pPr>
        <w:spacing w:line="240" w:lineRule="auto"/>
        <w:jc w:val="left"/>
        <w:rPr>
          <w:rFonts w:eastAsia="Times New Roman" w:cs="Arial"/>
          <w:i/>
          <w:noProof/>
          <w:sz w:val="16"/>
          <w:szCs w:val="16"/>
        </w:rPr>
        <w:sectPr w:rsidR="00144D1E" w:rsidRPr="00EA0DC7" w:rsidSect="00F744CC">
          <w:pgSz w:w="16838" w:h="11906" w:orient="landscape"/>
          <w:pgMar w:top="1440" w:right="1440" w:bottom="2268" w:left="1440" w:header="709" w:footer="709" w:gutter="0"/>
          <w:cols w:space="708"/>
          <w:docGrid w:linePitch="360"/>
        </w:sectPr>
      </w:pPr>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1F378BD1" w14:textId="77777777" w:rsidTr="00F744CC">
        <w:trPr>
          <w:trHeight w:val="709"/>
        </w:trPr>
        <w:tc>
          <w:tcPr>
            <w:tcW w:w="993" w:type="dxa"/>
            <w:tcBorders>
              <w:top w:val="single" w:sz="4" w:space="0" w:color="auto"/>
              <w:bottom w:val="single" w:sz="4" w:space="0" w:color="auto"/>
            </w:tcBorders>
            <w:shd w:val="clear" w:color="auto" w:fill="auto"/>
            <w:noWrap/>
          </w:tcPr>
          <w:p w14:paraId="1A4346C8" w14:textId="77777777" w:rsidR="00144D1E" w:rsidRPr="00EA0DC7" w:rsidRDefault="00144D1E" w:rsidP="00F744CC">
            <w:pPr>
              <w:spacing w:before="240" w:line="240" w:lineRule="auto"/>
              <w:jc w:val="center"/>
              <w:rPr>
                <w:rFonts w:eastAsia="Times New Roman" w:cs="Arial"/>
                <w:i/>
                <w:noProof/>
                <w:sz w:val="16"/>
                <w:szCs w:val="16"/>
              </w:rPr>
            </w:pPr>
            <w:r w:rsidRPr="00EA0DC7">
              <w:rPr>
                <w:rFonts w:eastAsia="Times New Roman" w:cs="Arial"/>
                <w:b/>
                <w:bCs/>
                <w:sz w:val="16"/>
                <w:szCs w:val="16"/>
              </w:rPr>
              <w:lastRenderedPageBreak/>
              <w:t>Study</w:t>
            </w:r>
          </w:p>
        </w:tc>
        <w:tc>
          <w:tcPr>
            <w:tcW w:w="1134" w:type="dxa"/>
            <w:tcBorders>
              <w:top w:val="single" w:sz="4" w:space="0" w:color="auto"/>
              <w:bottom w:val="single" w:sz="4" w:space="0" w:color="auto"/>
            </w:tcBorders>
            <w:shd w:val="clear" w:color="auto" w:fill="auto"/>
            <w:noWrap/>
          </w:tcPr>
          <w:p w14:paraId="21FF25E6"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tcPr>
          <w:p w14:paraId="545DA7B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tcPr>
          <w:p w14:paraId="27F81C6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74667E1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tcPr>
          <w:p w14:paraId="1B00676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noWrap/>
          </w:tcPr>
          <w:p w14:paraId="798B26CA"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shd w:val="clear" w:color="auto" w:fill="auto"/>
          </w:tcPr>
          <w:p w14:paraId="6A5C0DD0"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688ADD45"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325791CF"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tcPr>
          <w:p w14:paraId="648181B2"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noWrap/>
          </w:tcPr>
          <w:p w14:paraId="57597F27"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1F6FCDD1"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QI score</w:t>
            </w:r>
          </w:p>
        </w:tc>
      </w:tr>
      <w:tr w:rsidR="00144D1E" w:rsidRPr="00EA0DC7" w14:paraId="7033E739" w14:textId="77777777" w:rsidTr="00F744CC">
        <w:trPr>
          <w:trHeight w:val="1200"/>
        </w:trPr>
        <w:tc>
          <w:tcPr>
            <w:tcW w:w="993" w:type="dxa"/>
            <w:shd w:val="clear" w:color="auto" w:fill="auto"/>
            <w:noWrap/>
          </w:tcPr>
          <w:p w14:paraId="30FB8FF1" w14:textId="77777777" w:rsidR="00144D1E" w:rsidRPr="00EA0DC7" w:rsidRDefault="00144D1E" w:rsidP="00F744CC">
            <w:pPr>
              <w:spacing w:before="240" w:line="240" w:lineRule="auto"/>
              <w:jc w:val="left"/>
              <w:rPr>
                <w:rFonts w:eastAsia="Times New Roman" w:cs="Arial"/>
                <w:i/>
                <w:noProof/>
                <w:sz w:val="16"/>
                <w:szCs w:val="16"/>
              </w:rPr>
            </w:pPr>
            <w:r w:rsidRPr="00EA0DC7">
              <w:rPr>
                <w:rFonts w:eastAsia="Times New Roman" w:cs="Arial"/>
                <w:i/>
                <w:noProof/>
                <w:sz w:val="16"/>
                <w:szCs w:val="16"/>
              </w:rPr>
              <w:t>Crutchfield and Borders (1997)</w:t>
            </w:r>
          </w:p>
        </w:tc>
        <w:tc>
          <w:tcPr>
            <w:tcW w:w="1134" w:type="dxa"/>
            <w:shd w:val="clear" w:color="auto" w:fill="auto"/>
            <w:noWrap/>
          </w:tcPr>
          <w:p w14:paraId="3DCDE12D"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134" w:type="dxa"/>
            <w:shd w:val="clear" w:color="auto" w:fill="auto"/>
            <w:noWrap/>
          </w:tcPr>
          <w:p w14:paraId="1E443FE9" w14:textId="77777777" w:rsidR="00144D1E" w:rsidRPr="00EA0DC7" w:rsidRDefault="00144D1E" w:rsidP="00F744CC">
            <w:pPr>
              <w:spacing w:before="240" w:line="240" w:lineRule="auto"/>
              <w:jc w:val="left"/>
              <w:rPr>
                <w:rFonts w:eastAsia="Times New Roman" w:cs="Arial"/>
                <w:sz w:val="16"/>
                <w:szCs w:val="16"/>
              </w:rPr>
            </w:pPr>
            <w:r>
              <w:rPr>
                <w:rFonts w:eastAsia="Times New Roman" w:cs="Arial"/>
                <w:sz w:val="16"/>
                <w:szCs w:val="16"/>
              </w:rPr>
              <w:t>Qualified</w:t>
            </w:r>
            <w:r w:rsidRPr="00EA0DC7">
              <w:rPr>
                <w:rFonts w:eastAsia="Times New Roman" w:cs="Arial"/>
                <w:sz w:val="16"/>
                <w:szCs w:val="16"/>
              </w:rPr>
              <w:t xml:space="preserve"> (school counsellors, </w:t>
            </w:r>
            <w:r w:rsidRPr="00EA0DC7">
              <w:rPr>
                <w:rFonts w:eastAsia="Times New Roman" w:cs="Arial"/>
                <w:i/>
                <w:sz w:val="16"/>
                <w:szCs w:val="16"/>
              </w:rPr>
              <w:t>n = 2</w:t>
            </w:r>
            <w:r w:rsidRPr="00EA0DC7">
              <w:rPr>
                <w:rFonts w:eastAsia="Times New Roman" w:cs="Arial"/>
                <w:sz w:val="16"/>
                <w:szCs w:val="16"/>
              </w:rPr>
              <w:t>9)</w:t>
            </w:r>
          </w:p>
        </w:tc>
        <w:tc>
          <w:tcPr>
            <w:tcW w:w="1139" w:type="dxa"/>
            <w:shd w:val="clear" w:color="auto" w:fill="auto"/>
            <w:noWrap/>
          </w:tcPr>
          <w:p w14:paraId="3B5488D7" w14:textId="77777777" w:rsidR="00144D1E" w:rsidRPr="00EA0DC7" w:rsidRDefault="00144D1E" w:rsidP="00F744CC">
            <w:pPr>
              <w:spacing w:before="240" w:line="240" w:lineRule="auto"/>
              <w:jc w:val="left"/>
              <w:rPr>
                <w:rFonts w:eastAsia="Times New Roman" w:cs="Arial"/>
                <w:i/>
                <w:sz w:val="16"/>
                <w:szCs w:val="16"/>
              </w:rPr>
            </w:pPr>
            <w:r w:rsidRPr="00EA0DC7">
              <w:rPr>
                <w:rFonts w:eastAsia="Times New Roman" w:cs="Arial"/>
                <w:sz w:val="16"/>
                <w:szCs w:val="16"/>
              </w:rPr>
              <w:t>Non-clinical</w:t>
            </w:r>
            <w:r w:rsidRPr="00EA0DC7">
              <w:rPr>
                <w:rFonts w:eastAsia="Times New Roman" w:cs="Arial"/>
                <w:i/>
                <w:sz w:val="16"/>
                <w:szCs w:val="16"/>
              </w:rPr>
              <w:t xml:space="preserve"> </w:t>
            </w:r>
            <w:r w:rsidRPr="00EA0DC7">
              <w:rPr>
                <w:rFonts w:eastAsia="Times New Roman" w:cs="Arial"/>
                <w:sz w:val="16"/>
                <w:szCs w:val="16"/>
              </w:rPr>
              <w:t>(</w:t>
            </w:r>
            <w:r w:rsidRPr="00EA0DC7">
              <w:rPr>
                <w:rFonts w:eastAsia="Times New Roman" w:cs="Arial"/>
                <w:i/>
                <w:sz w:val="16"/>
                <w:szCs w:val="16"/>
              </w:rPr>
              <w:t xml:space="preserve">n = </w:t>
            </w:r>
            <w:r w:rsidRPr="00EA0DC7">
              <w:rPr>
                <w:rFonts w:eastAsia="Times New Roman" w:cs="Arial"/>
                <w:sz w:val="16"/>
                <w:szCs w:val="16"/>
              </w:rPr>
              <w:t>156)</w:t>
            </w:r>
          </w:p>
        </w:tc>
        <w:tc>
          <w:tcPr>
            <w:tcW w:w="992" w:type="dxa"/>
          </w:tcPr>
          <w:p w14:paraId="3512669D"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US</w:t>
            </w:r>
          </w:p>
        </w:tc>
        <w:tc>
          <w:tcPr>
            <w:tcW w:w="1134" w:type="dxa"/>
            <w:shd w:val="clear" w:color="auto" w:fill="auto"/>
            <w:noWrap/>
          </w:tcPr>
          <w:p w14:paraId="1DF76BF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134" w:type="dxa"/>
            <w:shd w:val="clear" w:color="auto" w:fill="auto"/>
            <w:noWrap/>
          </w:tcPr>
          <w:p w14:paraId="37F53E17"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Structured Peer Consultation Model for School Counsellors (SPCM-SC; Benshoff &amp; Paisley, 1996)</w:t>
            </w:r>
            <w:r w:rsidRPr="00EA0DC7">
              <w:rPr>
                <w:rFonts w:eastAsia="Times New Roman" w:cs="Arial"/>
                <w:sz w:val="16"/>
                <w:szCs w:val="16"/>
              </w:rPr>
              <w:br/>
            </w:r>
            <w:r w:rsidRPr="00EA0DC7">
              <w:rPr>
                <w:rFonts w:eastAsia="Times New Roman" w:cs="Arial"/>
                <w:sz w:val="16"/>
                <w:szCs w:val="16"/>
              </w:rPr>
              <w:br/>
              <w:t>Systematic Peer Group Supervision (SPCM-SC; Borders, 1991)</w:t>
            </w:r>
          </w:p>
        </w:tc>
        <w:tc>
          <w:tcPr>
            <w:tcW w:w="1134" w:type="dxa"/>
            <w:shd w:val="clear" w:color="auto" w:fill="auto"/>
          </w:tcPr>
          <w:p w14:paraId="565BD903"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Weekly</w:t>
            </w:r>
          </w:p>
        </w:tc>
        <w:tc>
          <w:tcPr>
            <w:tcW w:w="992" w:type="dxa"/>
          </w:tcPr>
          <w:p w14:paraId="1CA12E12"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Control (no supervis-ion -this group were asked to focus individual-ly on their plans for professio-nal develop-ment)</w:t>
            </w:r>
          </w:p>
        </w:tc>
        <w:tc>
          <w:tcPr>
            <w:tcW w:w="850" w:type="dxa"/>
          </w:tcPr>
          <w:p w14:paraId="6E71242E"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560" w:type="dxa"/>
            <w:shd w:val="clear" w:color="auto" w:fill="auto"/>
          </w:tcPr>
          <w:p w14:paraId="0585E908"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No difference in therapist self-efficacy, job satisfaction or counselling effectiveness change between two peer group supervision models. Also no difference to control group without supervision.</w:t>
            </w:r>
          </w:p>
        </w:tc>
        <w:tc>
          <w:tcPr>
            <w:tcW w:w="992" w:type="dxa"/>
            <w:shd w:val="clear" w:color="auto" w:fill="auto"/>
            <w:noWrap/>
          </w:tcPr>
          <w:p w14:paraId="7D49962B"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Therapist self-efficacy (Counsell-ing Self-Estimate Inventory; COSE; </w:t>
            </w:r>
            <w:r w:rsidRPr="00EA0DC7">
              <w:rPr>
                <w:rFonts w:eastAsia="Times New Roman" w:cs="Arial"/>
                <w:noProof/>
                <w:sz w:val="16"/>
                <w:szCs w:val="16"/>
              </w:rPr>
              <w:t>Larson et al., 1992)</w:t>
            </w:r>
          </w:p>
        </w:tc>
        <w:tc>
          <w:tcPr>
            <w:tcW w:w="709" w:type="dxa"/>
          </w:tcPr>
          <w:p w14:paraId="0B12EDA7"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15</w:t>
            </w:r>
          </w:p>
        </w:tc>
      </w:tr>
      <w:tr w:rsidR="00144D1E" w:rsidRPr="00EA0DC7" w14:paraId="6B3E4E79" w14:textId="77777777" w:rsidTr="00F744CC">
        <w:trPr>
          <w:trHeight w:val="1200"/>
        </w:trPr>
        <w:tc>
          <w:tcPr>
            <w:tcW w:w="993" w:type="dxa"/>
            <w:tcBorders>
              <w:bottom w:val="single" w:sz="4" w:space="0" w:color="auto"/>
            </w:tcBorders>
            <w:shd w:val="clear" w:color="auto" w:fill="auto"/>
            <w:noWrap/>
            <w:hideMark/>
          </w:tcPr>
          <w:p w14:paraId="123A6175" w14:textId="77777777" w:rsidR="00144D1E" w:rsidRPr="00EA0DC7" w:rsidRDefault="00144D1E" w:rsidP="00F744CC">
            <w:pPr>
              <w:spacing w:line="240" w:lineRule="auto"/>
              <w:jc w:val="left"/>
              <w:rPr>
                <w:rFonts w:eastAsia="Times New Roman" w:cs="Arial"/>
                <w:i/>
                <w:sz w:val="16"/>
                <w:szCs w:val="16"/>
              </w:rPr>
            </w:pPr>
            <w:r w:rsidRPr="00EA0DC7">
              <w:rPr>
                <w:rFonts w:eastAsia="Times New Roman" w:cs="Arial"/>
                <w:i/>
                <w:noProof/>
                <w:sz w:val="16"/>
                <w:szCs w:val="16"/>
              </w:rPr>
              <w:t>Fenell, Hovestadt and Harvey (1986)</w:t>
            </w:r>
          </w:p>
        </w:tc>
        <w:tc>
          <w:tcPr>
            <w:tcW w:w="1134" w:type="dxa"/>
            <w:tcBorders>
              <w:bottom w:val="single" w:sz="4" w:space="0" w:color="auto"/>
            </w:tcBorders>
            <w:shd w:val="clear" w:color="auto" w:fill="auto"/>
            <w:noWrap/>
            <w:hideMark/>
          </w:tcPr>
          <w:p w14:paraId="64B980C5"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bottom w:val="single" w:sz="4" w:space="0" w:color="auto"/>
            </w:tcBorders>
            <w:shd w:val="clear" w:color="auto" w:fill="auto"/>
            <w:noWrap/>
            <w:hideMark/>
          </w:tcPr>
          <w:p w14:paraId="3B8DF96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Trainee (doctoral students, </w:t>
            </w:r>
            <w:r w:rsidRPr="00EA0DC7">
              <w:rPr>
                <w:rFonts w:eastAsia="Times New Roman" w:cs="Arial"/>
                <w:i/>
                <w:sz w:val="16"/>
                <w:szCs w:val="16"/>
              </w:rPr>
              <w:t xml:space="preserve">n = </w:t>
            </w:r>
            <w:r w:rsidRPr="00EA0DC7">
              <w:rPr>
                <w:rFonts w:eastAsia="Times New Roman" w:cs="Arial"/>
                <w:sz w:val="16"/>
                <w:szCs w:val="16"/>
              </w:rPr>
              <w:t>13)</w:t>
            </w:r>
          </w:p>
        </w:tc>
        <w:tc>
          <w:tcPr>
            <w:tcW w:w="1139" w:type="dxa"/>
            <w:tcBorders>
              <w:bottom w:val="single" w:sz="4" w:space="0" w:color="auto"/>
            </w:tcBorders>
            <w:shd w:val="clear" w:color="auto" w:fill="auto"/>
            <w:noWrap/>
            <w:hideMark/>
          </w:tcPr>
          <w:p w14:paraId="50A5DD94"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na</w:t>
            </w:r>
          </w:p>
        </w:tc>
        <w:tc>
          <w:tcPr>
            <w:tcW w:w="992" w:type="dxa"/>
            <w:tcBorders>
              <w:bottom w:val="single" w:sz="4" w:space="0" w:color="auto"/>
            </w:tcBorders>
          </w:tcPr>
          <w:p w14:paraId="0632459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tc>
        <w:tc>
          <w:tcPr>
            <w:tcW w:w="1134" w:type="dxa"/>
            <w:tcBorders>
              <w:bottom w:val="single" w:sz="4" w:space="0" w:color="auto"/>
            </w:tcBorders>
            <w:shd w:val="clear" w:color="auto" w:fill="auto"/>
            <w:noWrap/>
            <w:hideMark/>
          </w:tcPr>
          <w:p w14:paraId="51A48EF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Marriage and Family Therapy</w:t>
            </w:r>
          </w:p>
        </w:tc>
        <w:tc>
          <w:tcPr>
            <w:tcW w:w="1134" w:type="dxa"/>
            <w:tcBorders>
              <w:bottom w:val="single" w:sz="4" w:space="0" w:color="auto"/>
            </w:tcBorders>
            <w:shd w:val="clear" w:color="auto" w:fill="auto"/>
            <w:hideMark/>
          </w:tcPr>
          <w:p w14:paraId="310E77A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Delayed feedback supervision</w:t>
            </w:r>
            <w:r w:rsidRPr="00EA0DC7">
              <w:rPr>
                <w:rFonts w:eastAsia="Times New Roman" w:cs="Arial"/>
                <w:sz w:val="16"/>
                <w:szCs w:val="16"/>
              </w:rPr>
              <w:br/>
            </w:r>
            <w:r w:rsidRPr="00EA0DC7">
              <w:rPr>
                <w:rFonts w:eastAsia="Times New Roman" w:cs="Arial"/>
                <w:sz w:val="16"/>
                <w:szCs w:val="16"/>
              </w:rPr>
              <w:br/>
              <w:t>Live supervision</w:t>
            </w:r>
          </w:p>
        </w:tc>
        <w:tc>
          <w:tcPr>
            <w:tcW w:w="1134" w:type="dxa"/>
            <w:tcBorders>
              <w:bottom w:val="single" w:sz="4" w:space="0" w:color="auto"/>
            </w:tcBorders>
            <w:shd w:val="clear" w:color="auto" w:fill="auto"/>
          </w:tcPr>
          <w:p w14:paraId="1310D8D3"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na</w:t>
            </w:r>
          </w:p>
        </w:tc>
        <w:tc>
          <w:tcPr>
            <w:tcW w:w="992" w:type="dxa"/>
            <w:tcBorders>
              <w:bottom w:val="single" w:sz="4" w:space="0" w:color="auto"/>
            </w:tcBorders>
          </w:tcPr>
          <w:p w14:paraId="085ACF01"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bottom w:val="single" w:sz="4" w:space="0" w:color="auto"/>
            </w:tcBorders>
          </w:tcPr>
          <w:p w14:paraId="1EC3FD42"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32</w:t>
            </w:r>
          </w:p>
        </w:tc>
        <w:tc>
          <w:tcPr>
            <w:tcW w:w="1560" w:type="dxa"/>
            <w:tcBorders>
              <w:bottom w:val="single" w:sz="4" w:space="0" w:color="auto"/>
            </w:tcBorders>
            <w:shd w:val="clear" w:color="auto" w:fill="auto"/>
            <w:hideMark/>
          </w:tcPr>
          <w:p w14:paraId="5FD780A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There was no significant difference in therapist skill between delayed feedback and live supervision groups.</w:t>
            </w:r>
          </w:p>
        </w:tc>
        <w:tc>
          <w:tcPr>
            <w:tcW w:w="992" w:type="dxa"/>
            <w:tcBorders>
              <w:bottom w:val="single" w:sz="4" w:space="0" w:color="auto"/>
            </w:tcBorders>
            <w:shd w:val="clear" w:color="auto" w:fill="auto"/>
            <w:noWrap/>
            <w:hideMark/>
          </w:tcPr>
          <w:p w14:paraId="6970536C"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Therapist skill (Family Therapist Rating Scale; </w:t>
            </w:r>
            <w:r w:rsidRPr="00EA0DC7">
              <w:rPr>
                <w:rFonts w:eastAsia="Times New Roman" w:cs="Arial"/>
                <w:noProof/>
                <w:sz w:val="16"/>
                <w:szCs w:val="16"/>
              </w:rPr>
              <w:t>Piercy, Laird, &amp; Mohamm-ed, 1983)</w:t>
            </w:r>
          </w:p>
        </w:tc>
        <w:tc>
          <w:tcPr>
            <w:tcW w:w="709" w:type="dxa"/>
            <w:tcBorders>
              <w:bottom w:val="single" w:sz="4" w:space="0" w:color="auto"/>
            </w:tcBorders>
          </w:tcPr>
          <w:p w14:paraId="153D49A0"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12</w:t>
            </w:r>
          </w:p>
        </w:tc>
      </w:tr>
    </w:tbl>
    <w:p w14:paraId="50555F82" w14:textId="77777777" w:rsidR="00144D1E" w:rsidRPr="00EA0DC7" w:rsidRDefault="00144D1E" w:rsidP="00144D1E">
      <w:pPr>
        <w:spacing w:line="240" w:lineRule="auto"/>
        <w:jc w:val="left"/>
        <w:rPr>
          <w:rFonts w:eastAsia="Times New Roman" w:cs="Arial"/>
          <w:i/>
          <w:noProof/>
          <w:sz w:val="16"/>
          <w:szCs w:val="16"/>
        </w:rPr>
        <w:sectPr w:rsidR="00144D1E" w:rsidRPr="00EA0DC7" w:rsidSect="00F744CC">
          <w:pgSz w:w="16838" w:h="11906" w:orient="landscape"/>
          <w:pgMar w:top="2268" w:right="1440" w:bottom="1440" w:left="1440" w:header="709" w:footer="709" w:gutter="0"/>
          <w:cols w:space="708"/>
          <w:docGrid w:linePitch="360"/>
        </w:sectPr>
      </w:pPr>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3A4A346B" w14:textId="77777777" w:rsidTr="00F744CC">
        <w:trPr>
          <w:trHeight w:val="557"/>
        </w:trPr>
        <w:tc>
          <w:tcPr>
            <w:tcW w:w="993" w:type="dxa"/>
            <w:tcBorders>
              <w:top w:val="single" w:sz="4" w:space="0" w:color="auto"/>
              <w:bottom w:val="single" w:sz="4" w:space="0" w:color="auto"/>
            </w:tcBorders>
            <w:shd w:val="clear" w:color="auto" w:fill="auto"/>
            <w:noWrap/>
          </w:tcPr>
          <w:p w14:paraId="763DD943" w14:textId="77777777" w:rsidR="00144D1E" w:rsidRPr="00EA0DC7" w:rsidRDefault="00144D1E" w:rsidP="00F744CC">
            <w:pPr>
              <w:spacing w:before="240" w:line="240" w:lineRule="auto"/>
              <w:jc w:val="center"/>
              <w:rPr>
                <w:rFonts w:eastAsia="Times New Roman" w:cs="Arial"/>
                <w:i/>
                <w:noProof/>
                <w:sz w:val="16"/>
                <w:szCs w:val="16"/>
              </w:rPr>
            </w:pPr>
            <w:r w:rsidRPr="00EA0DC7">
              <w:rPr>
                <w:rFonts w:eastAsia="Times New Roman" w:cs="Arial"/>
                <w:b/>
                <w:bCs/>
                <w:sz w:val="16"/>
                <w:szCs w:val="16"/>
              </w:rPr>
              <w:lastRenderedPageBreak/>
              <w:t>Study</w:t>
            </w:r>
          </w:p>
        </w:tc>
        <w:tc>
          <w:tcPr>
            <w:tcW w:w="1134" w:type="dxa"/>
            <w:tcBorders>
              <w:top w:val="single" w:sz="4" w:space="0" w:color="auto"/>
              <w:bottom w:val="single" w:sz="4" w:space="0" w:color="auto"/>
            </w:tcBorders>
            <w:shd w:val="clear" w:color="auto" w:fill="auto"/>
            <w:noWrap/>
          </w:tcPr>
          <w:p w14:paraId="3DC4D3C7"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tcPr>
          <w:p w14:paraId="42FD5D9F"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tcPr>
          <w:p w14:paraId="0CFD7EEC"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73FAD542"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tcPr>
          <w:p w14:paraId="78D447A6"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noWrap/>
          </w:tcPr>
          <w:p w14:paraId="02CDA31E"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shd w:val="clear" w:color="auto" w:fill="auto"/>
          </w:tcPr>
          <w:p w14:paraId="25F77A76"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2221BC11"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03388F5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tcPr>
          <w:p w14:paraId="2BDF3101"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noWrap/>
          </w:tcPr>
          <w:p w14:paraId="2C67C2A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23A2DECD"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QI score</w:t>
            </w:r>
          </w:p>
        </w:tc>
      </w:tr>
      <w:tr w:rsidR="00144D1E" w:rsidRPr="00EA0DC7" w14:paraId="112AEF9D" w14:textId="77777777" w:rsidTr="00F744CC">
        <w:trPr>
          <w:trHeight w:val="1200"/>
        </w:trPr>
        <w:tc>
          <w:tcPr>
            <w:tcW w:w="993" w:type="dxa"/>
            <w:tcBorders>
              <w:top w:val="single" w:sz="4" w:space="0" w:color="auto"/>
            </w:tcBorders>
            <w:shd w:val="clear" w:color="auto" w:fill="auto"/>
            <w:noWrap/>
            <w:hideMark/>
          </w:tcPr>
          <w:p w14:paraId="4BC9AD75" w14:textId="77777777" w:rsidR="00144D1E" w:rsidRPr="00EA0DC7" w:rsidRDefault="00144D1E" w:rsidP="00F744CC">
            <w:pPr>
              <w:spacing w:line="240" w:lineRule="auto"/>
              <w:jc w:val="left"/>
              <w:rPr>
                <w:rFonts w:eastAsia="Times New Roman" w:cs="Arial"/>
                <w:i/>
                <w:sz w:val="16"/>
                <w:szCs w:val="16"/>
              </w:rPr>
            </w:pPr>
            <w:r w:rsidRPr="00EA0DC7">
              <w:rPr>
                <w:rFonts w:eastAsia="Times New Roman" w:cs="Arial"/>
                <w:i/>
                <w:noProof/>
                <w:sz w:val="16"/>
                <w:szCs w:val="16"/>
              </w:rPr>
              <w:t>Ladany, Ellis and Friedland-er (1999)</w:t>
            </w:r>
          </w:p>
        </w:tc>
        <w:tc>
          <w:tcPr>
            <w:tcW w:w="1134" w:type="dxa"/>
            <w:tcBorders>
              <w:top w:val="single" w:sz="4" w:space="0" w:color="auto"/>
            </w:tcBorders>
            <w:shd w:val="clear" w:color="auto" w:fill="auto"/>
            <w:noWrap/>
            <w:hideMark/>
          </w:tcPr>
          <w:p w14:paraId="13105160"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top w:val="single" w:sz="4" w:space="0" w:color="auto"/>
            </w:tcBorders>
            <w:shd w:val="clear" w:color="auto" w:fill="auto"/>
            <w:noWrap/>
            <w:hideMark/>
          </w:tcPr>
          <w:p w14:paraId="740E8A9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Trainee (counsellor trainees, </w:t>
            </w:r>
            <w:r w:rsidRPr="00EA0DC7">
              <w:rPr>
                <w:rFonts w:eastAsia="Times New Roman" w:cs="Arial"/>
                <w:i/>
                <w:sz w:val="16"/>
                <w:szCs w:val="16"/>
              </w:rPr>
              <w:t xml:space="preserve">n = </w:t>
            </w:r>
            <w:r w:rsidRPr="00EA0DC7">
              <w:rPr>
                <w:rFonts w:eastAsia="Times New Roman" w:cs="Arial"/>
                <w:sz w:val="16"/>
                <w:szCs w:val="16"/>
              </w:rPr>
              <w:t>107)</w:t>
            </w:r>
          </w:p>
        </w:tc>
        <w:tc>
          <w:tcPr>
            <w:tcW w:w="1139" w:type="dxa"/>
            <w:tcBorders>
              <w:top w:val="single" w:sz="4" w:space="0" w:color="auto"/>
            </w:tcBorders>
            <w:shd w:val="clear" w:color="auto" w:fill="auto"/>
            <w:noWrap/>
            <w:hideMark/>
          </w:tcPr>
          <w:p w14:paraId="6CE8B8D2"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992" w:type="dxa"/>
            <w:tcBorders>
              <w:top w:val="single" w:sz="4" w:space="0" w:color="auto"/>
            </w:tcBorders>
          </w:tcPr>
          <w:p w14:paraId="37074002"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tc>
        <w:tc>
          <w:tcPr>
            <w:tcW w:w="1134" w:type="dxa"/>
            <w:tcBorders>
              <w:top w:val="single" w:sz="4" w:space="0" w:color="auto"/>
            </w:tcBorders>
            <w:shd w:val="clear" w:color="auto" w:fill="auto"/>
            <w:noWrap/>
            <w:hideMark/>
          </w:tcPr>
          <w:p w14:paraId="2C2F5FF9"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top w:val="single" w:sz="4" w:space="0" w:color="auto"/>
            </w:tcBorders>
            <w:shd w:val="clear" w:color="auto" w:fill="auto"/>
            <w:noWrap/>
            <w:hideMark/>
          </w:tcPr>
          <w:p w14:paraId="3081A5BB"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top w:val="single" w:sz="4" w:space="0" w:color="auto"/>
            </w:tcBorders>
            <w:shd w:val="clear" w:color="auto" w:fill="auto"/>
          </w:tcPr>
          <w:p w14:paraId="78BFBB57"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992" w:type="dxa"/>
            <w:tcBorders>
              <w:top w:val="single" w:sz="4" w:space="0" w:color="auto"/>
            </w:tcBorders>
          </w:tcPr>
          <w:p w14:paraId="6E82F29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top w:val="single" w:sz="4" w:space="0" w:color="auto"/>
            </w:tcBorders>
          </w:tcPr>
          <w:p w14:paraId="30A1599B"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560" w:type="dxa"/>
            <w:tcBorders>
              <w:top w:val="single" w:sz="4" w:space="0" w:color="auto"/>
            </w:tcBorders>
            <w:shd w:val="clear" w:color="auto" w:fill="auto"/>
            <w:hideMark/>
          </w:tcPr>
          <w:p w14:paraId="38F7658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Trainee self-efficacy increased between 3rd - 5th weeks of supervision and 11th - 16th weeks of supervision. Supervisory working alliance did not increase, nor did trainee satisfaction with supervision. Changes over time in supervisory working alliance were not related to changes in trainees' self-efficacy ratings but were positively related to changes in trainees' satisfaction ratings of supervision.</w:t>
            </w:r>
          </w:p>
        </w:tc>
        <w:tc>
          <w:tcPr>
            <w:tcW w:w="992" w:type="dxa"/>
            <w:tcBorders>
              <w:top w:val="single" w:sz="4" w:space="0" w:color="auto"/>
            </w:tcBorders>
            <w:shd w:val="clear" w:color="auto" w:fill="auto"/>
            <w:noWrap/>
            <w:hideMark/>
          </w:tcPr>
          <w:p w14:paraId="05FFAEB0"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Therapist self-efficacy (Self-Efficacy Inventory; SEI; </w:t>
            </w:r>
            <w:r w:rsidRPr="00EA0DC7">
              <w:rPr>
                <w:rFonts w:eastAsia="Times New Roman" w:cs="Arial"/>
                <w:noProof/>
                <w:sz w:val="16"/>
                <w:szCs w:val="16"/>
              </w:rPr>
              <w:t>Friedland-er &amp; Snyder, 1983)</w:t>
            </w:r>
          </w:p>
        </w:tc>
        <w:tc>
          <w:tcPr>
            <w:tcW w:w="709" w:type="dxa"/>
            <w:tcBorders>
              <w:top w:val="single" w:sz="4" w:space="0" w:color="auto"/>
            </w:tcBorders>
          </w:tcPr>
          <w:p w14:paraId="3CDD4EF5" w14:textId="77777777" w:rsidR="00144D1E" w:rsidRPr="00EA0DC7" w:rsidRDefault="00144D1E" w:rsidP="00F744CC">
            <w:pPr>
              <w:spacing w:line="240" w:lineRule="auto"/>
              <w:jc w:val="center"/>
              <w:rPr>
                <w:rFonts w:eastAsia="Times New Roman" w:cs="Arial"/>
                <w:sz w:val="16"/>
                <w:szCs w:val="16"/>
              </w:rPr>
            </w:pPr>
            <w:r w:rsidRPr="00EA0DC7">
              <w:rPr>
                <w:rFonts w:eastAsia="Times New Roman" w:cs="Arial"/>
                <w:sz w:val="16"/>
                <w:szCs w:val="16"/>
              </w:rPr>
              <w:t>15</w:t>
            </w:r>
          </w:p>
        </w:tc>
      </w:tr>
      <w:tr w:rsidR="00144D1E" w:rsidRPr="00EA0DC7" w14:paraId="3363C9D9" w14:textId="77777777" w:rsidTr="00F744CC">
        <w:trPr>
          <w:trHeight w:val="1200"/>
        </w:trPr>
        <w:tc>
          <w:tcPr>
            <w:tcW w:w="993" w:type="dxa"/>
            <w:tcBorders>
              <w:bottom w:val="single" w:sz="4" w:space="0" w:color="auto"/>
            </w:tcBorders>
            <w:shd w:val="clear" w:color="auto" w:fill="auto"/>
            <w:noWrap/>
            <w:hideMark/>
          </w:tcPr>
          <w:p w14:paraId="37370F03" w14:textId="77777777" w:rsidR="00144D1E" w:rsidRPr="00EA0DC7" w:rsidRDefault="00144D1E" w:rsidP="00F744CC">
            <w:pPr>
              <w:spacing w:line="240" w:lineRule="auto"/>
              <w:jc w:val="left"/>
              <w:rPr>
                <w:rFonts w:eastAsia="Times New Roman" w:cs="Arial"/>
                <w:i/>
                <w:sz w:val="16"/>
                <w:szCs w:val="16"/>
              </w:rPr>
            </w:pPr>
            <w:r w:rsidRPr="00EA0DC7">
              <w:rPr>
                <w:rFonts w:eastAsia="Times New Roman" w:cs="Arial"/>
                <w:i/>
                <w:noProof/>
                <w:sz w:val="16"/>
                <w:szCs w:val="16"/>
              </w:rPr>
              <w:t>Reese et al., (2009)</w:t>
            </w:r>
          </w:p>
        </w:tc>
        <w:tc>
          <w:tcPr>
            <w:tcW w:w="1134" w:type="dxa"/>
            <w:tcBorders>
              <w:bottom w:val="single" w:sz="4" w:space="0" w:color="auto"/>
            </w:tcBorders>
            <w:shd w:val="clear" w:color="auto" w:fill="auto"/>
            <w:noWrap/>
            <w:hideMark/>
          </w:tcPr>
          <w:p w14:paraId="5647A9A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Full-time or adjunct faculty staff </w:t>
            </w:r>
            <w:r w:rsidRPr="00EA0DC7">
              <w:rPr>
                <w:rFonts w:eastAsia="Times New Roman" w:cs="Arial"/>
                <w:i/>
                <w:sz w:val="16"/>
                <w:szCs w:val="16"/>
              </w:rPr>
              <w:t xml:space="preserve">n = </w:t>
            </w:r>
            <w:r w:rsidRPr="00EA0DC7">
              <w:rPr>
                <w:rFonts w:eastAsia="Times New Roman" w:cs="Arial"/>
                <w:sz w:val="16"/>
                <w:szCs w:val="16"/>
              </w:rPr>
              <w:t>9</w:t>
            </w:r>
          </w:p>
        </w:tc>
        <w:tc>
          <w:tcPr>
            <w:tcW w:w="1134" w:type="dxa"/>
            <w:tcBorders>
              <w:bottom w:val="single" w:sz="4" w:space="0" w:color="auto"/>
            </w:tcBorders>
            <w:shd w:val="clear" w:color="auto" w:fill="auto"/>
            <w:noWrap/>
            <w:hideMark/>
          </w:tcPr>
          <w:p w14:paraId="1645258C" w14:textId="77777777" w:rsidR="00144D1E" w:rsidRPr="00EA0DC7" w:rsidRDefault="00144D1E" w:rsidP="00F744CC">
            <w:pPr>
              <w:widowControl w:val="0"/>
              <w:spacing w:line="240" w:lineRule="auto"/>
              <w:jc w:val="left"/>
              <w:rPr>
                <w:rFonts w:eastAsia="Times New Roman" w:cs="Arial"/>
                <w:sz w:val="16"/>
                <w:szCs w:val="16"/>
              </w:rPr>
            </w:pPr>
            <w:r w:rsidRPr="00EA0DC7">
              <w:rPr>
                <w:rFonts w:eastAsia="Times New Roman" w:cs="Arial"/>
                <w:sz w:val="16"/>
                <w:szCs w:val="16"/>
              </w:rPr>
              <w:t>Trainee (2</w:t>
            </w:r>
            <w:r w:rsidRPr="00EA0DC7">
              <w:rPr>
                <w:rFonts w:eastAsia="Times New Roman" w:cs="Arial"/>
                <w:sz w:val="16"/>
                <w:szCs w:val="16"/>
                <w:vertAlign w:val="superscript"/>
              </w:rPr>
              <w:t>nd</w:t>
            </w:r>
            <w:r w:rsidRPr="00EA0DC7">
              <w:rPr>
                <w:rFonts w:eastAsia="Times New Roman" w:cs="Arial"/>
                <w:sz w:val="16"/>
                <w:szCs w:val="16"/>
              </w:rPr>
              <w:t xml:space="preserve"> year of a master's-level marriage and family or clinical-counselling psychology program, </w:t>
            </w:r>
            <w:r w:rsidRPr="00EA0DC7">
              <w:rPr>
                <w:rFonts w:eastAsia="Times New Roman" w:cs="Arial"/>
                <w:i/>
                <w:sz w:val="16"/>
                <w:szCs w:val="16"/>
              </w:rPr>
              <w:t xml:space="preserve">n = </w:t>
            </w:r>
            <w:r w:rsidRPr="00EA0DC7">
              <w:rPr>
                <w:rFonts w:eastAsia="Times New Roman" w:cs="Arial"/>
                <w:sz w:val="16"/>
                <w:szCs w:val="16"/>
              </w:rPr>
              <w:t>28)</w:t>
            </w:r>
          </w:p>
        </w:tc>
        <w:tc>
          <w:tcPr>
            <w:tcW w:w="1139" w:type="dxa"/>
            <w:tcBorders>
              <w:bottom w:val="single" w:sz="4" w:space="0" w:color="auto"/>
            </w:tcBorders>
            <w:shd w:val="clear" w:color="auto" w:fill="auto"/>
            <w:noWrap/>
            <w:hideMark/>
          </w:tcPr>
          <w:p w14:paraId="75BE1B36" w14:textId="77777777" w:rsidR="00144D1E" w:rsidRPr="00EA0DC7" w:rsidRDefault="00144D1E" w:rsidP="00F744CC">
            <w:pPr>
              <w:widowControl w:val="0"/>
              <w:spacing w:line="240" w:lineRule="auto"/>
              <w:jc w:val="left"/>
              <w:rPr>
                <w:rFonts w:eastAsia="Times New Roman" w:cs="Arial"/>
                <w:sz w:val="16"/>
                <w:szCs w:val="16"/>
              </w:rPr>
            </w:pPr>
            <w:r w:rsidRPr="00EA0DC7">
              <w:rPr>
                <w:rFonts w:eastAsia="Times New Roman" w:cs="Arial"/>
                <w:sz w:val="16"/>
                <w:szCs w:val="16"/>
              </w:rPr>
              <w:t xml:space="preserve">Clinical (typical of those attending community mental health or university counselling centres, </w:t>
            </w:r>
            <w:r w:rsidRPr="00EA0DC7">
              <w:rPr>
                <w:rFonts w:eastAsia="Times New Roman" w:cs="Arial"/>
                <w:i/>
                <w:sz w:val="16"/>
                <w:szCs w:val="16"/>
              </w:rPr>
              <w:t xml:space="preserve">n = </w:t>
            </w:r>
            <w:r w:rsidRPr="00EA0DC7">
              <w:rPr>
                <w:rFonts w:eastAsia="Times New Roman" w:cs="Arial"/>
                <w:sz w:val="16"/>
                <w:szCs w:val="16"/>
              </w:rPr>
              <w:t>95)</w:t>
            </w:r>
          </w:p>
        </w:tc>
        <w:tc>
          <w:tcPr>
            <w:tcW w:w="992" w:type="dxa"/>
            <w:tcBorders>
              <w:bottom w:val="single" w:sz="4" w:space="0" w:color="auto"/>
            </w:tcBorders>
          </w:tcPr>
          <w:p w14:paraId="1926DF0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tc>
        <w:tc>
          <w:tcPr>
            <w:tcW w:w="1134" w:type="dxa"/>
            <w:tcBorders>
              <w:bottom w:val="single" w:sz="4" w:space="0" w:color="auto"/>
            </w:tcBorders>
            <w:shd w:val="clear" w:color="auto" w:fill="auto"/>
            <w:noWrap/>
            <w:hideMark/>
          </w:tcPr>
          <w:p w14:paraId="0346E57D"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Various</w:t>
            </w:r>
          </w:p>
        </w:tc>
        <w:tc>
          <w:tcPr>
            <w:tcW w:w="1134" w:type="dxa"/>
            <w:tcBorders>
              <w:bottom w:val="single" w:sz="4" w:space="0" w:color="auto"/>
            </w:tcBorders>
            <w:shd w:val="clear" w:color="auto" w:fill="auto"/>
            <w:hideMark/>
          </w:tcPr>
          <w:p w14:paraId="51DEACFF" w14:textId="77777777" w:rsidR="00144D1E" w:rsidRPr="00EA0DC7" w:rsidRDefault="00144D1E" w:rsidP="00F744CC">
            <w:pPr>
              <w:widowControl w:val="0"/>
              <w:spacing w:line="240" w:lineRule="auto"/>
              <w:jc w:val="left"/>
              <w:rPr>
                <w:rFonts w:eastAsia="Times New Roman" w:cs="Arial"/>
                <w:sz w:val="16"/>
                <w:szCs w:val="16"/>
              </w:rPr>
            </w:pPr>
            <w:r w:rsidRPr="00EA0DC7">
              <w:rPr>
                <w:rFonts w:eastAsia="Times New Roman" w:cs="Arial"/>
                <w:sz w:val="16"/>
                <w:szCs w:val="16"/>
              </w:rPr>
              <w:t>Supervision using patient feedback (including outcome data)</w:t>
            </w:r>
            <w:r w:rsidRPr="00EA0DC7">
              <w:rPr>
                <w:rFonts w:eastAsia="Times New Roman" w:cs="Arial"/>
                <w:sz w:val="16"/>
                <w:szCs w:val="16"/>
              </w:rPr>
              <w:br/>
            </w:r>
            <w:r w:rsidRPr="00EA0DC7">
              <w:rPr>
                <w:rFonts w:eastAsia="Times New Roman" w:cs="Arial"/>
                <w:sz w:val="16"/>
                <w:szCs w:val="16"/>
              </w:rPr>
              <w:br/>
              <w:t>Supervision without patient feedback</w:t>
            </w:r>
          </w:p>
        </w:tc>
        <w:tc>
          <w:tcPr>
            <w:tcW w:w="1134" w:type="dxa"/>
            <w:tcBorders>
              <w:bottom w:val="single" w:sz="4" w:space="0" w:color="auto"/>
            </w:tcBorders>
            <w:shd w:val="clear" w:color="auto" w:fill="auto"/>
          </w:tcPr>
          <w:p w14:paraId="669FA281"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Twice weekly</w:t>
            </w:r>
          </w:p>
        </w:tc>
        <w:tc>
          <w:tcPr>
            <w:tcW w:w="992" w:type="dxa"/>
            <w:tcBorders>
              <w:bottom w:val="single" w:sz="4" w:space="0" w:color="auto"/>
            </w:tcBorders>
          </w:tcPr>
          <w:p w14:paraId="152A26FA"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bottom w:val="single" w:sz="4" w:space="0" w:color="auto"/>
            </w:tcBorders>
          </w:tcPr>
          <w:p w14:paraId="0D25FED1"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52</w:t>
            </w:r>
          </w:p>
        </w:tc>
        <w:tc>
          <w:tcPr>
            <w:tcW w:w="1560" w:type="dxa"/>
            <w:tcBorders>
              <w:bottom w:val="single" w:sz="4" w:space="0" w:color="auto"/>
            </w:tcBorders>
            <w:shd w:val="clear" w:color="auto" w:fill="auto"/>
            <w:hideMark/>
          </w:tcPr>
          <w:p w14:paraId="05AD6209"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Therapist self-efficacy improved in both conditions, but there was no difference in self-efficacy improvement between conditions.</w:t>
            </w:r>
          </w:p>
        </w:tc>
        <w:tc>
          <w:tcPr>
            <w:tcW w:w="992" w:type="dxa"/>
            <w:tcBorders>
              <w:bottom w:val="single" w:sz="4" w:space="0" w:color="auto"/>
            </w:tcBorders>
            <w:shd w:val="clear" w:color="auto" w:fill="auto"/>
            <w:hideMark/>
          </w:tcPr>
          <w:p w14:paraId="6796990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Therapist self-efficacy (Counsell-ing Self-Estimate Inventory; COSE; </w:t>
            </w:r>
            <w:r w:rsidRPr="00EA0DC7">
              <w:rPr>
                <w:rFonts w:eastAsia="Times New Roman" w:cs="Arial"/>
                <w:noProof/>
                <w:sz w:val="16"/>
                <w:szCs w:val="16"/>
              </w:rPr>
              <w:t>Larson et al., 1992)</w:t>
            </w:r>
          </w:p>
        </w:tc>
        <w:tc>
          <w:tcPr>
            <w:tcW w:w="709" w:type="dxa"/>
            <w:tcBorders>
              <w:bottom w:val="single" w:sz="4" w:space="0" w:color="auto"/>
            </w:tcBorders>
          </w:tcPr>
          <w:p w14:paraId="1779B6BA" w14:textId="77777777" w:rsidR="00144D1E" w:rsidRPr="00EA0DC7" w:rsidRDefault="00144D1E" w:rsidP="00F744CC">
            <w:pPr>
              <w:spacing w:line="240" w:lineRule="auto"/>
              <w:jc w:val="center"/>
              <w:rPr>
                <w:rFonts w:eastAsia="Times New Roman" w:cs="Arial"/>
                <w:sz w:val="16"/>
                <w:szCs w:val="16"/>
              </w:rPr>
            </w:pPr>
            <w:r w:rsidRPr="00EA0DC7">
              <w:rPr>
                <w:rFonts w:eastAsia="Times New Roman" w:cs="Arial"/>
                <w:sz w:val="16"/>
                <w:szCs w:val="16"/>
              </w:rPr>
              <w:t>14</w:t>
            </w:r>
          </w:p>
        </w:tc>
      </w:tr>
    </w:tbl>
    <w:p w14:paraId="1643603A" w14:textId="77777777" w:rsidR="00144D1E" w:rsidRPr="00EA0DC7" w:rsidRDefault="00144D1E" w:rsidP="00144D1E">
      <w:pPr>
        <w:spacing w:before="240" w:line="240" w:lineRule="auto"/>
        <w:jc w:val="center"/>
        <w:rPr>
          <w:rFonts w:eastAsia="Times New Roman" w:cs="Arial"/>
          <w:b/>
          <w:bCs/>
          <w:sz w:val="16"/>
          <w:szCs w:val="16"/>
        </w:rPr>
        <w:sectPr w:rsidR="00144D1E" w:rsidRPr="00EA0DC7" w:rsidSect="00F744CC">
          <w:pgSz w:w="16838" w:h="11906" w:orient="landscape"/>
          <w:pgMar w:top="1440" w:right="1440" w:bottom="2268" w:left="1440" w:header="709" w:footer="709" w:gutter="0"/>
          <w:cols w:space="708"/>
          <w:docGrid w:linePitch="360"/>
        </w:sectPr>
      </w:pPr>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7F040906" w14:textId="77777777" w:rsidTr="00F744CC">
        <w:trPr>
          <w:trHeight w:val="568"/>
        </w:trPr>
        <w:tc>
          <w:tcPr>
            <w:tcW w:w="993" w:type="dxa"/>
            <w:tcBorders>
              <w:top w:val="single" w:sz="4" w:space="0" w:color="auto"/>
              <w:bottom w:val="single" w:sz="4" w:space="0" w:color="auto"/>
            </w:tcBorders>
            <w:shd w:val="clear" w:color="auto" w:fill="auto"/>
            <w:noWrap/>
          </w:tcPr>
          <w:p w14:paraId="31CF551B" w14:textId="77777777" w:rsidR="00144D1E" w:rsidRPr="00EA0DC7" w:rsidRDefault="00144D1E" w:rsidP="00F744CC">
            <w:pPr>
              <w:spacing w:before="240" w:line="240" w:lineRule="auto"/>
              <w:jc w:val="center"/>
              <w:rPr>
                <w:rFonts w:eastAsia="Times New Roman" w:cs="Arial"/>
                <w:i/>
                <w:noProof/>
                <w:sz w:val="16"/>
                <w:szCs w:val="16"/>
              </w:rPr>
            </w:pPr>
            <w:r w:rsidRPr="00EA0DC7">
              <w:rPr>
                <w:rFonts w:eastAsia="Times New Roman" w:cs="Arial"/>
                <w:b/>
                <w:bCs/>
                <w:sz w:val="16"/>
                <w:szCs w:val="16"/>
              </w:rPr>
              <w:lastRenderedPageBreak/>
              <w:t>Study</w:t>
            </w:r>
          </w:p>
        </w:tc>
        <w:tc>
          <w:tcPr>
            <w:tcW w:w="1134" w:type="dxa"/>
            <w:tcBorders>
              <w:top w:val="single" w:sz="4" w:space="0" w:color="auto"/>
              <w:bottom w:val="single" w:sz="4" w:space="0" w:color="auto"/>
            </w:tcBorders>
            <w:shd w:val="clear" w:color="auto" w:fill="auto"/>
            <w:noWrap/>
          </w:tcPr>
          <w:p w14:paraId="7A00C3F2" w14:textId="77777777" w:rsidR="00144D1E" w:rsidRPr="00EA0DC7" w:rsidRDefault="00144D1E" w:rsidP="00F744CC">
            <w:pPr>
              <w:spacing w:before="240" w:line="240" w:lineRule="auto"/>
              <w:jc w:val="center"/>
              <w:rPr>
                <w:rFonts w:eastAsia="Times New Roman" w:cs="Arial"/>
                <w:i/>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tcPr>
          <w:p w14:paraId="0A6A24A3"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tcPr>
          <w:p w14:paraId="250C2F4C"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5F7F454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tcPr>
          <w:p w14:paraId="3091D0B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tcPr>
          <w:p w14:paraId="6500FC75"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shd w:val="clear" w:color="auto" w:fill="auto"/>
          </w:tcPr>
          <w:p w14:paraId="71E1F7A2"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04E5E79C"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02F2F290"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tcPr>
          <w:p w14:paraId="3D503C3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tcPr>
          <w:p w14:paraId="4A227215"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267F5C4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QI score</w:t>
            </w:r>
          </w:p>
        </w:tc>
      </w:tr>
      <w:tr w:rsidR="00144D1E" w:rsidRPr="00EA0DC7" w14:paraId="48D61AAA" w14:textId="77777777" w:rsidTr="00F744CC">
        <w:trPr>
          <w:trHeight w:val="1200"/>
        </w:trPr>
        <w:tc>
          <w:tcPr>
            <w:tcW w:w="993" w:type="dxa"/>
            <w:tcBorders>
              <w:top w:val="single" w:sz="4" w:space="0" w:color="auto"/>
            </w:tcBorders>
            <w:shd w:val="clear" w:color="auto" w:fill="auto"/>
            <w:noWrap/>
          </w:tcPr>
          <w:p w14:paraId="58DB2756" w14:textId="77777777" w:rsidR="00144D1E" w:rsidRPr="00EA0DC7" w:rsidRDefault="00144D1E" w:rsidP="00F744CC">
            <w:pPr>
              <w:spacing w:before="240" w:line="240" w:lineRule="auto"/>
              <w:jc w:val="left"/>
              <w:rPr>
                <w:rFonts w:eastAsia="Times New Roman" w:cs="Arial"/>
                <w:i/>
                <w:noProof/>
                <w:sz w:val="16"/>
                <w:szCs w:val="16"/>
              </w:rPr>
            </w:pPr>
            <w:r w:rsidRPr="00EA0DC7">
              <w:rPr>
                <w:rFonts w:eastAsia="Times New Roman" w:cs="Arial"/>
                <w:i/>
                <w:noProof/>
                <w:sz w:val="16"/>
                <w:szCs w:val="16"/>
              </w:rPr>
              <w:t>Sholoms-kas et al. (2005)</w:t>
            </w:r>
          </w:p>
        </w:tc>
        <w:tc>
          <w:tcPr>
            <w:tcW w:w="1134" w:type="dxa"/>
            <w:tcBorders>
              <w:top w:val="single" w:sz="4" w:space="0" w:color="auto"/>
            </w:tcBorders>
            <w:shd w:val="clear" w:color="auto" w:fill="auto"/>
            <w:noWrap/>
          </w:tcPr>
          <w:p w14:paraId="6A80E75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i/>
                <w:sz w:val="16"/>
                <w:szCs w:val="16"/>
              </w:rPr>
              <w:t xml:space="preserve">n = </w:t>
            </w:r>
            <w:r w:rsidRPr="00EA0DC7">
              <w:rPr>
                <w:rFonts w:eastAsia="Times New Roman" w:cs="Arial"/>
                <w:sz w:val="16"/>
                <w:szCs w:val="16"/>
              </w:rPr>
              <w:t>3</w:t>
            </w:r>
          </w:p>
        </w:tc>
        <w:tc>
          <w:tcPr>
            <w:tcW w:w="1134" w:type="dxa"/>
            <w:tcBorders>
              <w:top w:val="single" w:sz="4" w:space="0" w:color="auto"/>
            </w:tcBorders>
            <w:shd w:val="clear" w:color="auto" w:fill="auto"/>
            <w:noWrap/>
          </w:tcPr>
          <w:p w14:paraId="6E378097" w14:textId="77777777" w:rsidR="00144D1E" w:rsidRPr="00EA0DC7" w:rsidRDefault="00144D1E" w:rsidP="00F744CC">
            <w:pPr>
              <w:spacing w:before="240" w:line="240" w:lineRule="auto"/>
              <w:jc w:val="left"/>
              <w:rPr>
                <w:rFonts w:eastAsia="Times New Roman" w:cs="Arial"/>
                <w:sz w:val="16"/>
                <w:szCs w:val="16"/>
              </w:rPr>
            </w:pPr>
            <w:r>
              <w:rPr>
                <w:rFonts w:eastAsia="Times New Roman" w:cs="Arial"/>
                <w:sz w:val="16"/>
                <w:szCs w:val="16"/>
              </w:rPr>
              <w:t>Qualified</w:t>
            </w:r>
            <w:r w:rsidRPr="00EA0DC7">
              <w:rPr>
                <w:rFonts w:eastAsia="Times New Roman" w:cs="Arial"/>
                <w:sz w:val="16"/>
                <w:szCs w:val="16"/>
              </w:rPr>
              <w:t xml:space="preserve"> (clinicians predominat-ely treating a substance using population, </w:t>
            </w:r>
            <w:r w:rsidRPr="00EA0DC7">
              <w:rPr>
                <w:rFonts w:eastAsia="Times New Roman" w:cs="Arial"/>
                <w:i/>
                <w:sz w:val="16"/>
                <w:szCs w:val="16"/>
              </w:rPr>
              <w:t xml:space="preserve">n = </w:t>
            </w:r>
            <w:r w:rsidRPr="00EA0DC7">
              <w:rPr>
                <w:rFonts w:eastAsia="Times New Roman" w:cs="Arial"/>
                <w:sz w:val="16"/>
                <w:szCs w:val="16"/>
              </w:rPr>
              <w:t>42)</w:t>
            </w:r>
          </w:p>
        </w:tc>
        <w:tc>
          <w:tcPr>
            <w:tcW w:w="1139" w:type="dxa"/>
            <w:tcBorders>
              <w:top w:val="single" w:sz="4" w:space="0" w:color="auto"/>
            </w:tcBorders>
            <w:shd w:val="clear" w:color="auto" w:fill="auto"/>
            <w:noWrap/>
          </w:tcPr>
          <w:p w14:paraId="624D237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Clinical (substance using population , </w:t>
            </w:r>
            <w:r w:rsidRPr="00EA0DC7">
              <w:rPr>
                <w:rFonts w:eastAsia="Times New Roman" w:cs="Arial"/>
                <w:i/>
                <w:sz w:val="16"/>
                <w:szCs w:val="16"/>
              </w:rPr>
              <w:t xml:space="preserve">n = </w:t>
            </w:r>
            <w:r w:rsidRPr="00EA0DC7">
              <w:rPr>
                <w:rFonts w:eastAsia="Times New Roman" w:cs="Arial"/>
                <w:sz w:val="16"/>
                <w:szCs w:val="16"/>
              </w:rPr>
              <w:t>ns)</w:t>
            </w:r>
          </w:p>
        </w:tc>
        <w:tc>
          <w:tcPr>
            <w:tcW w:w="992" w:type="dxa"/>
            <w:tcBorders>
              <w:top w:val="single" w:sz="4" w:space="0" w:color="auto"/>
            </w:tcBorders>
          </w:tcPr>
          <w:p w14:paraId="44560A0F"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US</w:t>
            </w:r>
          </w:p>
        </w:tc>
        <w:tc>
          <w:tcPr>
            <w:tcW w:w="1134" w:type="dxa"/>
            <w:tcBorders>
              <w:top w:val="single" w:sz="4" w:space="0" w:color="auto"/>
            </w:tcBorders>
            <w:shd w:val="clear" w:color="auto" w:fill="auto"/>
            <w:noWrap/>
          </w:tcPr>
          <w:p w14:paraId="33CCB106"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Cognitive Behavioural Therapy</w:t>
            </w:r>
          </w:p>
        </w:tc>
        <w:tc>
          <w:tcPr>
            <w:tcW w:w="1134" w:type="dxa"/>
            <w:tcBorders>
              <w:top w:val="single" w:sz="4" w:space="0" w:color="auto"/>
            </w:tcBorders>
            <w:shd w:val="clear" w:color="auto" w:fill="auto"/>
          </w:tcPr>
          <w:p w14:paraId="4EB00946"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134" w:type="dxa"/>
            <w:tcBorders>
              <w:top w:val="single" w:sz="4" w:space="0" w:color="auto"/>
            </w:tcBorders>
            <w:shd w:val="clear" w:color="auto" w:fill="auto"/>
          </w:tcPr>
          <w:p w14:paraId="526090F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Once every 4-12 weeks</w:t>
            </w:r>
          </w:p>
        </w:tc>
        <w:tc>
          <w:tcPr>
            <w:tcW w:w="992" w:type="dxa"/>
            <w:tcBorders>
              <w:top w:val="single" w:sz="4" w:space="0" w:color="auto"/>
            </w:tcBorders>
          </w:tcPr>
          <w:p w14:paraId="5DA5C84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Control (manual only)</w:t>
            </w:r>
          </w:p>
        </w:tc>
        <w:tc>
          <w:tcPr>
            <w:tcW w:w="850" w:type="dxa"/>
            <w:tcBorders>
              <w:top w:val="single" w:sz="4" w:space="0" w:color="auto"/>
            </w:tcBorders>
          </w:tcPr>
          <w:p w14:paraId="3C00BA8F"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12</w:t>
            </w:r>
          </w:p>
        </w:tc>
        <w:tc>
          <w:tcPr>
            <w:tcW w:w="1560" w:type="dxa"/>
            <w:tcBorders>
              <w:top w:val="single" w:sz="4" w:space="0" w:color="auto"/>
            </w:tcBorders>
            <w:shd w:val="clear" w:color="auto" w:fill="auto"/>
          </w:tcPr>
          <w:p w14:paraId="0301E256"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There was a greater increase in adherence and skill of therapists in the manual + seminar + supervision condition compared to the manual only condition. Performance of therapists in the manual + web condition fell in between the other two conditions</w:t>
            </w:r>
          </w:p>
        </w:tc>
        <w:tc>
          <w:tcPr>
            <w:tcW w:w="992" w:type="dxa"/>
            <w:tcBorders>
              <w:top w:val="single" w:sz="4" w:space="0" w:color="auto"/>
            </w:tcBorders>
            <w:shd w:val="clear" w:color="auto" w:fill="auto"/>
          </w:tcPr>
          <w:p w14:paraId="7A549D4F"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Therapist adherence and skill (Yale Adherence Compete-nce Scale; YACS; </w:t>
            </w:r>
            <w:r w:rsidRPr="00EA0DC7">
              <w:rPr>
                <w:rFonts w:eastAsia="Times New Roman" w:cs="Arial"/>
                <w:noProof/>
                <w:sz w:val="16"/>
                <w:szCs w:val="16"/>
              </w:rPr>
              <w:t>Carroll et al., 2000)</w:t>
            </w:r>
          </w:p>
        </w:tc>
        <w:tc>
          <w:tcPr>
            <w:tcW w:w="709" w:type="dxa"/>
            <w:tcBorders>
              <w:top w:val="single" w:sz="4" w:space="0" w:color="auto"/>
            </w:tcBorders>
          </w:tcPr>
          <w:p w14:paraId="1B23D60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sz w:val="16"/>
                <w:szCs w:val="16"/>
              </w:rPr>
              <w:t>18</w:t>
            </w:r>
          </w:p>
        </w:tc>
      </w:tr>
      <w:tr w:rsidR="00144D1E" w:rsidRPr="00EA0DC7" w14:paraId="26A625D4" w14:textId="77777777" w:rsidTr="00F744CC">
        <w:trPr>
          <w:trHeight w:val="519"/>
        </w:trPr>
        <w:tc>
          <w:tcPr>
            <w:tcW w:w="993" w:type="dxa"/>
            <w:tcBorders>
              <w:bottom w:val="single" w:sz="4" w:space="0" w:color="auto"/>
            </w:tcBorders>
            <w:shd w:val="clear" w:color="auto" w:fill="auto"/>
            <w:noWrap/>
            <w:hideMark/>
          </w:tcPr>
          <w:p w14:paraId="58C9C2F9" w14:textId="77777777" w:rsidR="00144D1E" w:rsidRPr="00EA0DC7" w:rsidRDefault="00144D1E" w:rsidP="00F744CC">
            <w:pPr>
              <w:spacing w:line="240" w:lineRule="auto"/>
              <w:jc w:val="left"/>
              <w:rPr>
                <w:rFonts w:eastAsia="Times New Roman" w:cs="Arial"/>
                <w:i/>
                <w:sz w:val="16"/>
                <w:szCs w:val="16"/>
              </w:rPr>
            </w:pPr>
            <w:r w:rsidRPr="00EA0DC7">
              <w:rPr>
                <w:rFonts w:eastAsia="Times New Roman" w:cs="Arial"/>
                <w:i/>
                <w:noProof/>
                <w:sz w:val="16"/>
                <w:szCs w:val="16"/>
              </w:rPr>
              <w:t>Singo (1991)</w:t>
            </w:r>
          </w:p>
        </w:tc>
        <w:tc>
          <w:tcPr>
            <w:tcW w:w="1134" w:type="dxa"/>
            <w:tcBorders>
              <w:bottom w:val="single" w:sz="4" w:space="0" w:color="auto"/>
            </w:tcBorders>
            <w:shd w:val="clear" w:color="auto" w:fill="auto"/>
            <w:noWrap/>
            <w:hideMark/>
          </w:tcPr>
          <w:p w14:paraId="4F49B4C8"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Doctoral students, </w:t>
            </w:r>
            <w:r w:rsidRPr="00EA0DC7">
              <w:rPr>
                <w:rFonts w:eastAsia="Times New Roman" w:cs="Arial"/>
                <w:i/>
                <w:sz w:val="16"/>
                <w:szCs w:val="16"/>
              </w:rPr>
              <w:t xml:space="preserve">n = </w:t>
            </w:r>
            <w:r w:rsidRPr="00EA0DC7">
              <w:rPr>
                <w:rFonts w:eastAsia="Times New Roman" w:cs="Arial"/>
                <w:sz w:val="16"/>
                <w:szCs w:val="16"/>
              </w:rPr>
              <w:t>7</w:t>
            </w:r>
          </w:p>
        </w:tc>
        <w:tc>
          <w:tcPr>
            <w:tcW w:w="1134" w:type="dxa"/>
            <w:tcBorders>
              <w:bottom w:val="single" w:sz="4" w:space="0" w:color="auto"/>
            </w:tcBorders>
            <w:shd w:val="clear" w:color="auto" w:fill="auto"/>
            <w:noWrap/>
            <w:hideMark/>
          </w:tcPr>
          <w:p w14:paraId="59A92CD4"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Trainee (counsellors from a master's program in counsellor education and rehabilitation, </w:t>
            </w:r>
            <w:r w:rsidRPr="00EA0DC7">
              <w:rPr>
                <w:rFonts w:eastAsia="Times New Roman" w:cs="Arial"/>
                <w:i/>
                <w:sz w:val="16"/>
                <w:szCs w:val="16"/>
              </w:rPr>
              <w:t xml:space="preserve">n = </w:t>
            </w:r>
            <w:r w:rsidRPr="00EA0DC7">
              <w:rPr>
                <w:rFonts w:eastAsia="Times New Roman" w:cs="Arial"/>
                <w:sz w:val="16"/>
                <w:szCs w:val="16"/>
              </w:rPr>
              <w:t>19)</w:t>
            </w:r>
          </w:p>
        </w:tc>
        <w:tc>
          <w:tcPr>
            <w:tcW w:w="1139" w:type="dxa"/>
            <w:tcBorders>
              <w:bottom w:val="single" w:sz="4" w:space="0" w:color="auto"/>
            </w:tcBorders>
            <w:shd w:val="clear" w:color="auto" w:fill="auto"/>
            <w:noWrap/>
            <w:hideMark/>
          </w:tcPr>
          <w:p w14:paraId="4A29A87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992" w:type="dxa"/>
            <w:tcBorders>
              <w:bottom w:val="single" w:sz="4" w:space="0" w:color="auto"/>
            </w:tcBorders>
          </w:tcPr>
          <w:p w14:paraId="3B31BDB2"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US</w:t>
            </w:r>
          </w:p>
        </w:tc>
        <w:tc>
          <w:tcPr>
            <w:tcW w:w="1134" w:type="dxa"/>
            <w:tcBorders>
              <w:bottom w:val="single" w:sz="4" w:space="0" w:color="auto"/>
            </w:tcBorders>
            <w:shd w:val="clear" w:color="auto" w:fill="auto"/>
            <w:noWrap/>
            <w:hideMark/>
          </w:tcPr>
          <w:p w14:paraId="7E4719EC"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ns</w:t>
            </w:r>
          </w:p>
        </w:tc>
        <w:tc>
          <w:tcPr>
            <w:tcW w:w="1134" w:type="dxa"/>
            <w:tcBorders>
              <w:bottom w:val="single" w:sz="4" w:space="0" w:color="auto"/>
            </w:tcBorders>
            <w:shd w:val="clear" w:color="auto" w:fill="auto"/>
            <w:hideMark/>
          </w:tcPr>
          <w:p w14:paraId="08BA5EC9"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Individual supervision</w:t>
            </w:r>
            <w:r w:rsidRPr="00EA0DC7">
              <w:rPr>
                <w:rFonts w:eastAsia="Times New Roman" w:cs="Arial"/>
                <w:sz w:val="16"/>
                <w:szCs w:val="16"/>
              </w:rPr>
              <w:br/>
            </w:r>
            <w:r w:rsidRPr="00EA0DC7">
              <w:rPr>
                <w:rFonts w:eastAsia="Times New Roman" w:cs="Arial"/>
                <w:sz w:val="16"/>
                <w:szCs w:val="16"/>
              </w:rPr>
              <w:br/>
              <w:t>Peer supervision</w:t>
            </w:r>
          </w:p>
        </w:tc>
        <w:tc>
          <w:tcPr>
            <w:tcW w:w="1134" w:type="dxa"/>
            <w:tcBorders>
              <w:bottom w:val="single" w:sz="4" w:space="0" w:color="auto"/>
            </w:tcBorders>
            <w:shd w:val="clear" w:color="auto" w:fill="auto"/>
          </w:tcPr>
          <w:p w14:paraId="70D2F5CC"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Weekly</w:t>
            </w:r>
          </w:p>
        </w:tc>
        <w:tc>
          <w:tcPr>
            <w:tcW w:w="992" w:type="dxa"/>
            <w:tcBorders>
              <w:bottom w:val="single" w:sz="4" w:space="0" w:color="auto"/>
            </w:tcBorders>
          </w:tcPr>
          <w:p w14:paraId="682C767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bottom w:val="single" w:sz="4" w:space="0" w:color="auto"/>
            </w:tcBorders>
          </w:tcPr>
          <w:p w14:paraId="0CC987AE"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5</w:t>
            </w:r>
          </w:p>
        </w:tc>
        <w:tc>
          <w:tcPr>
            <w:tcW w:w="1560" w:type="dxa"/>
            <w:tcBorders>
              <w:bottom w:val="single" w:sz="4" w:space="0" w:color="auto"/>
            </w:tcBorders>
            <w:shd w:val="clear" w:color="auto" w:fill="auto"/>
            <w:hideMark/>
          </w:tcPr>
          <w:p w14:paraId="2A66C686"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Therapists increased in competence in both supervision conditions. There was no significant difference between the two conditions in competency, anxiety, or self-efficacy change.</w:t>
            </w:r>
          </w:p>
        </w:tc>
        <w:tc>
          <w:tcPr>
            <w:tcW w:w="992" w:type="dxa"/>
            <w:tcBorders>
              <w:bottom w:val="single" w:sz="4" w:space="0" w:color="auto"/>
            </w:tcBorders>
            <w:shd w:val="clear" w:color="auto" w:fill="auto"/>
            <w:noWrap/>
            <w:hideMark/>
          </w:tcPr>
          <w:p w14:paraId="43DAD1E1" w14:textId="77777777" w:rsidR="00144D1E" w:rsidRPr="00EA0DC7" w:rsidRDefault="00144D1E" w:rsidP="00F744CC">
            <w:pPr>
              <w:spacing w:line="240" w:lineRule="auto"/>
              <w:jc w:val="left"/>
              <w:rPr>
                <w:rFonts w:eastAsia="Times New Roman" w:cs="Arial"/>
                <w:sz w:val="16"/>
                <w:szCs w:val="16"/>
              </w:rPr>
            </w:pPr>
            <w:r w:rsidRPr="00EA0DC7">
              <w:rPr>
                <w:rFonts w:eastAsia="Times New Roman" w:cs="Arial"/>
                <w:sz w:val="16"/>
                <w:szCs w:val="16"/>
              </w:rPr>
              <w:t xml:space="preserve">Therapist basic skill compete-ncy (Basic Skill Observati-on; </w:t>
            </w:r>
            <w:r w:rsidRPr="00EA0DC7">
              <w:rPr>
                <w:rFonts w:eastAsia="Times New Roman" w:cs="Arial"/>
                <w:noProof/>
                <w:sz w:val="16"/>
                <w:szCs w:val="16"/>
              </w:rPr>
              <w:t>Ellington, unpublish-ed)</w:t>
            </w:r>
          </w:p>
        </w:tc>
        <w:tc>
          <w:tcPr>
            <w:tcW w:w="709" w:type="dxa"/>
            <w:tcBorders>
              <w:bottom w:val="single" w:sz="4" w:space="0" w:color="auto"/>
            </w:tcBorders>
          </w:tcPr>
          <w:p w14:paraId="3CB27E5A" w14:textId="77777777" w:rsidR="00144D1E" w:rsidRPr="00EA0DC7" w:rsidRDefault="00144D1E" w:rsidP="00F744CC">
            <w:pPr>
              <w:spacing w:line="240" w:lineRule="auto"/>
              <w:jc w:val="center"/>
              <w:rPr>
                <w:rFonts w:eastAsia="Times New Roman" w:cs="Arial"/>
                <w:sz w:val="16"/>
                <w:szCs w:val="16"/>
              </w:rPr>
            </w:pPr>
            <w:r w:rsidRPr="00EA0DC7">
              <w:rPr>
                <w:rFonts w:eastAsia="Times New Roman" w:cs="Arial"/>
                <w:sz w:val="16"/>
                <w:szCs w:val="16"/>
              </w:rPr>
              <w:t>22</w:t>
            </w:r>
          </w:p>
        </w:tc>
      </w:tr>
    </w:tbl>
    <w:p w14:paraId="4F05F568" w14:textId="77777777" w:rsidR="00144D1E" w:rsidRPr="00EA0DC7" w:rsidRDefault="00144D1E" w:rsidP="00144D1E">
      <w:pPr>
        <w:sectPr w:rsidR="00144D1E" w:rsidRPr="00EA0DC7" w:rsidSect="00F744CC">
          <w:pgSz w:w="16838" w:h="11906" w:orient="landscape"/>
          <w:pgMar w:top="2268" w:right="1440" w:bottom="1440" w:left="1440" w:header="709" w:footer="709" w:gutter="0"/>
          <w:cols w:space="708"/>
          <w:docGrid w:linePitch="360"/>
        </w:sectPr>
      </w:pPr>
    </w:p>
    <w:tbl>
      <w:tblPr>
        <w:tblW w:w="13897" w:type="dxa"/>
        <w:tblInd w:w="-5" w:type="dxa"/>
        <w:tblLayout w:type="fixed"/>
        <w:tblLook w:val="04A0" w:firstRow="1" w:lastRow="0" w:firstColumn="1" w:lastColumn="0" w:noHBand="0" w:noVBand="1"/>
      </w:tblPr>
      <w:tblGrid>
        <w:gridCol w:w="993"/>
        <w:gridCol w:w="1134"/>
        <w:gridCol w:w="1134"/>
        <w:gridCol w:w="1139"/>
        <w:gridCol w:w="992"/>
        <w:gridCol w:w="1134"/>
        <w:gridCol w:w="1134"/>
        <w:gridCol w:w="1134"/>
        <w:gridCol w:w="992"/>
        <w:gridCol w:w="850"/>
        <w:gridCol w:w="1560"/>
        <w:gridCol w:w="992"/>
        <w:gridCol w:w="709"/>
      </w:tblGrid>
      <w:tr w:rsidR="00144D1E" w:rsidRPr="00EA0DC7" w14:paraId="51844728" w14:textId="77777777" w:rsidTr="00F744CC">
        <w:trPr>
          <w:trHeight w:val="568"/>
        </w:trPr>
        <w:tc>
          <w:tcPr>
            <w:tcW w:w="993" w:type="dxa"/>
            <w:tcBorders>
              <w:top w:val="single" w:sz="4" w:space="0" w:color="auto"/>
              <w:bottom w:val="single" w:sz="4" w:space="0" w:color="auto"/>
            </w:tcBorders>
            <w:shd w:val="clear" w:color="auto" w:fill="auto"/>
            <w:noWrap/>
          </w:tcPr>
          <w:p w14:paraId="32A463E2" w14:textId="77777777" w:rsidR="00144D1E" w:rsidRPr="00EA0DC7" w:rsidRDefault="00144D1E" w:rsidP="00F744CC">
            <w:pPr>
              <w:spacing w:before="240" w:line="240" w:lineRule="auto"/>
              <w:jc w:val="center"/>
              <w:rPr>
                <w:rFonts w:eastAsia="Times New Roman" w:cs="Arial"/>
                <w:i/>
                <w:noProof/>
                <w:sz w:val="16"/>
                <w:szCs w:val="16"/>
              </w:rPr>
            </w:pPr>
            <w:r w:rsidRPr="00EA0DC7">
              <w:rPr>
                <w:rFonts w:eastAsia="Times New Roman" w:cs="Arial"/>
                <w:b/>
                <w:bCs/>
                <w:sz w:val="16"/>
                <w:szCs w:val="16"/>
              </w:rPr>
              <w:lastRenderedPageBreak/>
              <w:t>Study</w:t>
            </w:r>
          </w:p>
        </w:tc>
        <w:tc>
          <w:tcPr>
            <w:tcW w:w="1134" w:type="dxa"/>
            <w:tcBorders>
              <w:top w:val="single" w:sz="4" w:space="0" w:color="auto"/>
              <w:bottom w:val="single" w:sz="4" w:space="0" w:color="auto"/>
            </w:tcBorders>
            <w:shd w:val="clear" w:color="auto" w:fill="auto"/>
            <w:noWrap/>
          </w:tcPr>
          <w:p w14:paraId="6798AB6B"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Supervisor population</w:t>
            </w:r>
          </w:p>
        </w:tc>
        <w:tc>
          <w:tcPr>
            <w:tcW w:w="1134" w:type="dxa"/>
            <w:tcBorders>
              <w:top w:val="single" w:sz="4" w:space="0" w:color="auto"/>
              <w:bottom w:val="single" w:sz="4" w:space="0" w:color="auto"/>
            </w:tcBorders>
            <w:shd w:val="clear" w:color="auto" w:fill="auto"/>
            <w:noWrap/>
          </w:tcPr>
          <w:p w14:paraId="66F50B4D"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Supervisee population</w:t>
            </w:r>
          </w:p>
        </w:tc>
        <w:tc>
          <w:tcPr>
            <w:tcW w:w="1139" w:type="dxa"/>
            <w:tcBorders>
              <w:top w:val="single" w:sz="4" w:space="0" w:color="auto"/>
              <w:bottom w:val="single" w:sz="4" w:space="0" w:color="auto"/>
            </w:tcBorders>
            <w:shd w:val="clear" w:color="auto" w:fill="auto"/>
            <w:noWrap/>
          </w:tcPr>
          <w:p w14:paraId="61BF643C"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Patient population</w:t>
            </w:r>
          </w:p>
        </w:tc>
        <w:tc>
          <w:tcPr>
            <w:tcW w:w="992" w:type="dxa"/>
            <w:tcBorders>
              <w:top w:val="single" w:sz="4" w:space="0" w:color="auto"/>
              <w:bottom w:val="single" w:sz="4" w:space="0" w:color="auto"/>
            </w:tcBorders>
          </w:tcPr>
          <w:p w14:paraId="067534C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Location of study</w:t>
            </w:r>
          </w:p>
        </w:tc>
        <w:tc>
          <w:tcPr>
            <w:tcW w:w="1134" w:type="dxa"/>
            <w:tcBorders>
              <w:top w:val="single" w:sz="4" w:space="0" w:color="auto"/>
              <w:bottom w:val="single" w:sz="4" w:space="0" w:color="auto"/>
            </w:tcBorders>
            <w:shd w:val="clear" w:color="auto" w:fill="auto"/>
            <w:noWrap/>
          </w:tcPr>
          <w:p w14:paraId="59768E1C"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Clinical intervention</w:t>
            </w:r>
          </w:p>
        </w:tc>
        <w:tc>
          <w:tcPr>
            <w:tcW w:w="1134" w:type="dxa"/>
            <w:tcBorders>
              <w:top w:val="single" w:sz="4" w:space="0" w:color="auto"/>
              <w:bottom w:val="single" w:sz="4" w:space="0" w:color="auto"/>
            </w:tcBorders>
            <w:shd w:val="clear" w:color="auto" w:fill="auto"/>
          </w:tcPr>
          <w:p w14:paraId="34369D8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Type(s) of supervision</w:t>
            </w:r>
          </w:p>
        </w:tc>
        <w:tc>
          <w:tcPr>
            <w:tcW w:w="1134" w:type="dxa"/>
            <w:tcBorders>
              <w:top w:val="single" w:sz="4" w:space="0" w:color="auto"/>
              <w:bottom w:val="single" w:sz="4" w:space="0" w:color="auto"/>
            </w:tcBorders>
            <w:shd w:val="clear" w:color="auto" w:fill="auto"/>
          </w:tcPr>
          <w:p w14:paraId="2E45A686"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Supervision frequency</w:t>
            </w:r>
          </w:p>
        </w:tc>
        <w:tc>
          <w:tcPr>
            <w:tcW w:w="992" w:type="dxa"/>
            <w:tcBorders>
              <w:top w:val="single" w:sz="4" w:space="0" w:color="auto"/>
              <w:bottom w:val="single" w:sz="4" w:space="0" w:color="auto"/>
            </w:tcBorders>
          </w:tcPr>
          <w:p w14:paraId="411226CA"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design</w:t>
            </w:r>
          </w:p>
        </w:tc>
        <w:tc>
          <w:tcPr>
            <w:tcW w:w="850" w:type="dxa"/>
            <w:tcBorders>
              <w:top w:val="single" w:sz="4" w:space="0" w:color="auto"/>
              <w:bottom w:val="single" w:sz="4" w:space="0" w:color="auto"/>
            </w:tcBorders>
          </w:tcPr>
          <w:p w14:paraId="7066F17D"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Study length (weeks)</w:t>
            </w:r>
          </w:p>
        </w:tc>
        <w:tc>
          <w:tcPr>
            <w:tcW w:w="1560" w:type="dxa"/>
            <w:tcBorders>
              <w:top w:val="single" w:sz="4" w:space="0" w:color="auto"/>
              <w:bottom w:val="single" w:sz="4" w:space="0" w:color="auto"/>
            </w:tcBorders>
            <w:shd w:val="clear" w:color="auto" w:fill="auto"/>
          </w:tcPr>
          <w:p w14:paraId="384B4E02"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Main findings</w:t>
            </w:r>
          </w:p>
        </w:tc>
        <w:tc>
          <w:tcPr>
            <w:tcW w:w="992" w:type="dxa"/>
            <w:tcBorders>
              <w:top w:val="single" w:sz="4" w:space="0" w:color="auto"/>
              <w:bottom w:val="single" w:sz="4" w:space="0" w:color="auto"/>
            </w:tcBorders>
            <w:shd w:val="clear" w:color="auto" w:fill="auto"/>
            <w:noWrap/>
          </w:tcPr>
          <w:p w14:paraId="3BFC7779"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Primary outcome variable</w:t>
            </w:r>
          </w:p>
        </w:tc>
        <w:tc>
          <w:tcPr>
            <w:tcW w:w="709" w:type="dxa"/>
            <w:tcBorders>
              <w:top w:val="single" w:sz="4" w:space="0" w:color="auto"/>
              <w:bottom w:val="single" w:sz="4" w:space="0" w:color="auto"/>
            </w:tcBorders>
          </w:tcPr>
          <w:p w14:paraId="5F802124"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b/>
                <w:bCs/>
                <w:sz w:val="16"/>
                <w:szCs w:val="16"/>
              </w:rPr>
              <w:t>QI score</w:t>
            </w:r>
          </w:p>
        </w:tc>
      </w:tr>
      <w:tr w:rsidR="00144D1E" w:rsidRPr="00EA0DC7" w14:paraId="5F99DDA4" w14:textId="77777777" w:rsidTr="00F744CC">
        <w:trPr>
          <w:trHeight w:val="1200"/>
        </w:trPr>
        <w:tc>
          <w:tcPr>
            <w:tcW w:w="993" w:type="dxa"/>
            <w:tcBorders>
              <w:bottom w:val="single" w:sz="4" w:space="0" w:color="auto"/>
            </w:tcBorders>
            <w:shd w:val="clear" w:color="auto" w:fill="auto"/>
            <w:noWrap/>
            <w:hideMark/>
          </w:tcPr>
          <w:p w14:paraId="5AAAA4A5" w14:textId="77777777" w:rsidR="00144D1E" w:rsidRPr="00EA0DC7" w:rsidRDefault="00144D1E" w:rsidP="00F744CC">
            <w:pPr>
              <w:spacing w:before="240" w:line="240" w:lineRule="auto"/>
              <w:jc w:val="left"/>
              <w:rPr>
                <w:rFonts w:eastAsia="Times New Roman" w:cs="Arial"/>
                <w:i/>
                <w:sz w:val="16"/>
                <w:szCs w:val="16"/>
              </w:rPr>
            </w:pPr>
            <w:r w:rsidRPr="00EA0DC7">
              <w:rPr>
                <w:rFonts w:eastAsia="Times New Roman" w:cs="Arial"/>
                <w:i/>
                <w:noProof/>
                <w:sz w:val="16"/>
                <w:szCs w:val="16"/>
              </w:rPr>
              <w:t>Weck et al. (2016)</w:t>
            </w:r>
          </w:p>
        </w:tc>
        <w:tc>
          <w:tcPr>
            <w:tcW w:w="1134" w:type="dxa"/>
            <w:tcBorders>
              <w:bottom w:val="single" w:sz="4" w:space="0" w:color="auto"/>
            </w:tcBorders>
            <w:shd w:val="clear" w:color="auto" w:fill="auto"/>
            <w:noWrap/>
            <w:hideMark/>
          </w:tcPr>
          <w:p w14:paraId="5F7B22FC"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Licenced clinical psychologis-ts and supervisors, </w:t>
            </w:r>
            <w:r w:rsidRPr="00EA0DC7">
              <w:rPr>
                <w:rFonts w:eastAsia="Times New Roman" w:cs="Arial"/>
                <w:i/>
                <w:sz w:val="16"/>
                <w:szCs w:val="16"/>
              </w:rPr>
              <w:t xml:space="preserve">n = </w:t>
            </w:r>
            <w:r w:rsidRPr="00EA0DC7">
              <w:rPr>
                <w:rFonts w:eastAsia="Times New Roman" w:cs="Arial"/>
                <w:sz w:val="16"/>
                <w:szCs w:val="16"/>
              </w:rPr>
              <w:t>9</w:t>
            </w:r>
          </w:p>
        </w:tc>
        <w:tc>
          <w:tcPr>
            <w:tcW w:w="1134" w:type="dxa"/>
            <w:tcBorders>
              <w:bottom w:val="single" w:sz="4" w:space="0" w:color="auto"/>
            </w:tcBorders>
            <w:shd w:val="clear" w:color="auto" w:fill="auto"/>
            <w:noWrap/>
            <w:hideMark/>
          </w:tcPr>
          <w:p w14:paraId="11F9FD9C" w14:textId="77777777" w:rsidR="00144D1E" w:rsidRPr="00EA0DC7" w:rsidRDefault="00144D1E" w:rsidP="00F744CC">
            <w:pPr>
              <w:spacing w:before="240" w:line="240" w:lineRule="auto"/>
              <w:jc w:val="left"/>
              <w:rPr>
                <w:rFonts w:eastAsia="Times New Roman" w:cs="Arial"/>
                <w:sz w:val="16"/>
                <w:szCs w:val="16"/>
              </w:rPr>
            </w:pPr>
            <w:r>
              <w:rPr>
                <w:rFonts w:eastAsia="Times New Roman" w:cs="Arial"/>
                <w:sz w:val="16"/>
                <w:szCs w:val="16"/>
              </w:rPr>
              <w:t>Qualified</w:t>
            </w:r>
            <w:r w:rsidRPr="00EA0DC7">
              <w:rPr>
                <w:rFonts w:eastAsia="Times New Roman" w:cs="Arial"/>
                <w:sz w:val="16"/>
                <w:szCs w:val="16"/>
              </w:rPr>
              <w:t xml:space="preserve">(therapists with a master's degree in clinical psychology, </w:t>
            </w:r>
            <w:r w:rsidRPr="00EA0DC7">
              <w:rPr>
                <w:rFonts w:eastAsia="Times New Roman" w:cs="Arial"/>
                <w:i/>
                <w:sz w:val="16"/>
                <w:szCs w:val="16"/>
              </w:rPr>
              <w:t xml:space="preserve">n = </w:t>
            </w:r>
            <w:r w:rsidRPr="00EA0DC7">
              <w:rPr>
                <w:rFonts w:eastAsia="Times New Roman" w:cs="Arial"/>
                <w:sz w:val="16"/>
                <w:szCs w:val="16"/>
              </w:rPr>
              <w:t>23)</w:t>
            </w:r>
          </w:p>
        </w:tc>
        <w:tc>
          <w:tcPr>
            <w:tcW w:w="1139" w:type="dxa"/>
            <w:tcBorders>
              <w:bottom w:val="single" w:sz="4" w:space="0" w:color="auto"/>
            </w:tcBorders>
            <w:shd w:val="clear" w:color="auto" w:fill="auto"/>
            <w:noWrap/>
            <w:hideMark/>
          </w:tcPr>
          <w:p w14:paraId="3E82F7E7"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Clinical (outpatients from the Department of Clinical Psychology and Psychother-apy at the University of Frankfurt, </w:t>
            </w:r>
            <w:r w:rsidRPr="00EA0DC7">
              <w:rPr>
                <w:i/>
                <w:sz w:val="16"/>
                <w:szCs w:val="16"/>
              </w:rPr>
              <w:t xml:space="preserve">n = </w:t>
            </w:r>
            <w:r w:rsidRPr="00EA0DC7">
              <w:rPr>
                <w:rFonts w:eastAsia="Times New Roman" w:cs="Arial"/>
                <w:sz w:val="16"/>
                <w:szCs w:val="16"/>
              </w:rPr>
              <w:t>42)</w:t>
            </w:r>
          </w:p>
        </w:tc>
        <w:tc>
          <w:tcPr>
            <w:tcW w:w="992" w:type="dxa"/>
            <w:tcBorders>
              <w:bottom w:val="single" w:sz="4" w:space="0" w:color="auto"/>
            </w:tcBorders>
          </w:tcPr>
          <w:p w14:paraId="416D3588"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Germany</w:t>
            </w:r>
          </w:p>
        </w:tc>
        <w:tc>
          <w:tcPr>
            <w:tcW w:w="1134" w:type="dxa"/>
            <w:tcBorders>
              <w:bottom w:val="single" w:sz="4" w:space="0" w:color="auto"/>
            </w:tcBorders>
            <w:shd w:val="clear" w:color="auto" w:fill="auto"/>
            <w:noWrap/>
            <w:hideMark/>
          </w:tcPr>
          <w:p w14:paraId="15AB695E"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Cognitive Behavioural Therapy</w:t>
            </w:r>
          </w:p>
        </w:tc>
        <w:tc>
          <w:tcPr>
            <w:tcW w:w="1134" w:type="dxa"/>
            <w:tcBorders>
              <w:bottom w:val="single" w:sz="4" w:space="0" w:color="auto"/>
            </w:tcBorders>
            <w:shd w:val="clear" w:color="auto" w:fill="auto"/>
            <w:hideMark/>
          </w:tcPr>
          <w:p w14:paraId="6BF5EF25"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Bug in the eye supervision (BITE)</w:t>
            </w:r>
            <w:r w:rsidRPr="00EA0DC7">
              <w:rPr>
                <w:rFonts w:eastAsia="Times New Roman" w:cs="Arial"/>
                <w:sz w:val="16"/>
                <w:szCs w:val="16"/>
              </w:rPr>
              <w:br/>
            </w:r>
            <w:r w:rsidRPr="00EA0DC7">
              <w:rPr>
                <w:rFonts w:eastAsia="Times New Roman" w:cs="Arial"/>
                <w:sz w:val="16"/>
                <w:szCs w:val="16"/>
              </w:rPr>
              <w:br/>
              <w:t>Delayed video based supervision (DVB)</w:t>
            </w:r>
          </w:p>
        </w:tc>
        <w:tc>
          <w:tcPr>
            <w:tcW w:w="1134" w:type="dxa"/>
            <w:tcBorders>
              <w:bottom w:val="single" w:sz="4" w:space="0" w:color="auto"/>
            </w:tcBorders>
            <w:shd w:val="clear" w:color="auto" w:fill="auto"/>
          </w:tcPr>
          <w:p w14:paraId="54E460E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992" w:type="dxa"/>
            <w:tcBorders>
              <w:bottom w:val="single" w:sz="4" w:space="0" w:color="auto"/>
            </w:tcBorders>
          </w:tcPr>
          <w:p w14:paraId="5865EDCF"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No control</w:t>
            </w:r>
          </w:p>
        </w:tc>
        <w:tc>
          <w:tcPr>
            <w:tcW w:w="850" w:type="dxa"/>
            <w:tcBorders>
              <w:bottom w:val="single" w:sz="4" w:space="0" w:color="auto"/>
            </w:tcBorders>
          </w:tcPr>
          <w:p w14:paraId="5960F604"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ns</w:t>
            </w:r>
          </w:p>
        </w:tc>
        <w:tc>
          <w:tcPr>
            <w:tcW w:w="1560" w:type="dxa"/>
            <w:tcBorders>
              <w:bottom w:val="single" w:sz="4" w:space="0" w:color="auto"/>
            </w:tcBorders>
            <w:shd w:val="clear" w:color="auto" w:fill="auto"/>
            <w:hideMark/>
          </w:tcPr>
          <w:p w14:paraId="77CACCCB"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When controlling for therapeutic alliance and competence at the beginning of the study, no differences were found between BITE and DVB supervision in either of these measures. For both supervision conditions, the therapeutic alliance had positive growth from session 1 to 21, whereas therapist competence had a negative growth pattern.</w:t>
            </w:r>
          </w:p>
        </w:tc>
        <w:tc>
          <w:tcPr>
            <w:tcW w:w="992" w:type="dxa"/>
            <w:tcBorders>
              <w:bottom w:val="single" w:sz="4" w:space="0" w:color="auto"/>
            </w:tcBorders>
            <w:shd w:val="clear" w:color="auto" w:fill="auto"/>
            <w:noWrap/>
            <w:hideMark/>
          </w:tcPr>
          <w:p w14:paraId="3A1F83AE" w14:textId="77777777" w:rsidR="00144D1E" w:rsidRPr="00EA0DC7" w:rsidRDefault="00144D1E" w:rsidP="00F744CC">
            <w:pPr>
              <w:spacing w:before="240" w:line="240" w:lineRule="auto"/>
              <w:jc w:val="left"/>
              <w:rPr>
                <w:rFonts w:eastAsia="Times New Roman" w:cs="Arial"/>
                <w:sz w:val="16"/>
                <w:szCs w:val="16"/>
              </w:rPr>
            </w:pPr>
            <w:r w:rsidRPr="00EA0DC7">
              <w:rPr>
                <w:rFonts w:eastAsia="Times New Roman" w:cs="Arial"/>
                <w:sz w:val="16"/>
                <w:szCs w:val="16"/>
              </w:rPr>
              <w:t xml:space="preserve">Therapist compete-ncy (Cognitive Therapy Scale; CTS - German version; </w:t>
            </w:r>
            <w:r w:rsidRPr="00EA0DC7">
              <w:rPr>
                <w:rFonts w:eastAsia="Times New Roman" w:cs="Arial"/>
                <w:noProof/>
                <w:sz w:val="16"/>
                <w:szCs w:val="16"/>
              </w:rPr>
              <w:t>Weck, Hautzinger, Heidenr-eich, &amp; Stangier, 2010)</w:t>
            </w:r>
          </w:p>
        </w:tc>
        <w:tc>
          <w:tcPr>
            <w:tcW w:w="709" w:type="dxa"/>
            <w:tcBorders>
              <w:bottom w:val="single" w:sz="4" w:space="0" w:color="auto"/>
            </w:tcBorders>
          </w:tcPr>
          <w:p w14:paraId="660B6E78" w14:textId="77777777" w:rsidR="00144D1E" w:rsidRPr="00EA0DC7" w:rsidRDefault="00144D1E" w:rsidP="00F744CC">
            <w:pPr>
              <w:spacing w:before="240" w:line="240" w:lineRule="auto"/>
              <w:jc w:val="center"/>
              <w:rPr>
                <w:rFonts w:eastAsia="Times New Roman" w:cs="Arial"/>
                <w:sz w:val="16"/>
                <w:szCs w:val="16"/>
              </w:rPr>
            </w:pPr>
            <w:r w:rsidRPr="00EA0DC7">
              <w:rPr>
                <w:rFonts w:eastAsia="Times New Roman" w:cs="Arial"/>
                <w:sz w:val="16"/>
                <w:szCs w:val="16"/>
              </w:rPr>
              <w:t>22</w:t>
            </w:r>
          </w:p>
        </w:tc>
      </w:tr>
      <w:tr w:rsidR="00144D1E" w:rsidRPr="00EA0DC7" w14:paraId="106DBD76" w14:textId="77777777" w:rsidTr="00F744CC">
        <w:trPr>
          <w:trHeight w:val="323"/>
        </w:trPr>
        <w:tc>
          <w:tcPr>
            <w:tcW w:w="13897" w:type="dxa"/>
            <w:gridSpan w:val="13"/>
            <w:tcBorders>
              <w:top w:val="single" w:sz="4" w:space="0" w:color="auto"/>
              <w:bottom w:val="single" w:sz="4" w:space="0" w:color="auto"/>
            </w:tcBorders>
            <w:shd w:val="clear" w:color="auto" w:fill="auto"/>
            <w:noWrap/>
          </w:tcPr>
          <w:p w14:paraId="2CD8B392" w14:textId="77777777" w:rsidR="00144D1E" w:rsidRPr="00EA0DC7" w:rsidRDefault="00144D1E" w:rsidP="00F744CC">
            <w:pPr>
              <w:spacing w:after="0" w:line="240" w:lineRule="auto"/>
              <w:jc w:val="left"/>
              <w:rPr>
                <w:rFonts w:eastAsia="Times New Roman" w:cs="Arial"/>
                <w:sz w:val="16"/>
                <w:szCs w:val="16"/>
              </w:rPr>
            </w:pPr>
            <w:r w:rsidRPr="00EA0DC7">
              <w:rPr>
                <w:rFonts w:eastAsia="Times New Roman" w:cs="Arial"/>
                <w:sz w:val="16"/>
                <w:szCs w:val="16"/>
              </w:rPr>
              <w:t>ns = not specified, na = not applicable</w:t>
            </w:r>
          </w:p>
        </w:tc>
      </w:tr>
    </w:tbl>
    <w:p w14:paraId="5D0A0E0A" w14:textId="77777777" w:rsidR="00144D1E" w:rsidRPr="00EA0DC7" w:rsidRDefault="00144D1E" w:rsidP="00144D1E">
      <w:pPr>
        <w:rPr>
          <w:rFonts w:ascii="Calibri" w:eastAsia="Calibri" w:hAnsi="Calibri" w:cs="Times New Roman"/>
          <w:sz w:val="22"/>
          <w:lang w:eastAsia="en-US"/>
        </w:rPr>
        <w:sectPr w:rsidR="00144D1E" w:rsidRPr="00EA0DC7" w:rsidSect="00F744CC">
          <w:pgSz w:w="16838" w:h="11906" w:orient="landscape"/>
          <w:pgMar w:top="1440" w:right="1440" w:bottom="2268" w:left="1440" w:header="709" w:footer="709" w:gutter="0"/>
          <w:cols w:space="708"/>
          <w:docGrid w:linePitch="360"/>
        </w:sectPr>
      </w:pPr>
    </w:p>
    <w:p w14:paraId="65C97BFC" w14:textId="77777777" w:rsidR="00144D1E" w:rsidRPr="00EA0DC7" w:rsidRDefault="00144D1E" w:rsidP="00144D1E">
      <w:pPr>
        <w:pStyle w:val="Heading3"/>
        <w:numPr>
          <w:ilvl w:val="0"/>
          <w:numId w:val="0"/>
        </w:numPr>
        <w:rPr>
          <w:lang w:eastAsia="en-US"/>
        </w:rPr>
      </w:pPr>
      <w:r w:rsidRPr="00EA0DC7">
        <w:rPr>
          <w:lang w:eastAsia="en-US"/>
        </w:rPr>
        <w:lastRenderedPageBreak/>
        <w:t>3.3.2 Quality analysis</w:t>
      </w:r>
    </w:p>
    <w:p w14:paraId="7DA65107" w14:textId="1BAC660A" w:rsidR="00144D1E" w:rsidRDefault="00144D1E" w:rsidP="00144D1E">
      <w:pPr>
        <w:spacing w:after="160"/>
        <w:rPr>
          <w:rFonts w:eastAsia="Calibri" w:cs="Arial"/>
          <w:szCs w:val="24"/>
          <w:lang w:eastAsia="en-US"/>
        </w:rPr>
      </w:pPr>
      <w:r w:rsidRPr="00EA0DC7">
        <w:rPr>
          <w:rFonts w:eastAsia="Calibri" w:cs="Arial"/>
          <w:szCs w:val="24"/>
          <w:lang w:eastAsia="en-US"/>
        </w:rPr>
        <w:tab/>
        <w:t>Overall scores in the quality analysis ranged from 11 – 22 out of 28 (</w:t>
      </w:r>
      <w:r w:rsidRPr="00EA0DC7">
        <w:rPr>
          <w:rFonts w:eastAsia="Calibri" w:cs="Arial"/>
          <w:i/>
          <w:szCs w:val="24"/>
          <w:lang w:eastAsia="en-US"/>
        </w:rPr>
        <w:t>M</w:t>
      </w:r>
      <w:r w:rsidRPr="00EA0DC7">
        <w:rPr>
          <w:rFonts w:eastAsia="Calibri" w:cs="Arial"/>
          <w:szCs w:val="24"/>
          <w:lang w:eastAsia="en-US"/>
        </w:rPr>
        <w:t xml:space="preserve"> = 15.32, </w:t>
      </w:r>
      <w:r w:rsidRPr="00EA0DC7">
        <w:rPr>
          <w:rFonts w:eastAsia="Calibri" w:cs="Arial"/>
          <w:i/>
          <w:szCs w:val="24"/>
          <w:lang w:eastAsia="en-US"/>
        </w:rPr>
        <w:t>SD</w:t>
      </w:r>
      <w:r w:rsidRPr="00EA0DC7">
        <w:rPr>
          <w:rFonts w:eastAsia="Calibri" w:cs="Arial"/>
          <w:szCs w:val="24"/>
          <w:lang w:eastAsia="en-US"/>
        </w:rPr>
        <w:t xml:space="preserve"> = 3.33). Detailed scores for each study are in Appendix 3</w:t>
      </w:r>
      <w:r>
        <w:rPr>
          <w:rFonts w:eastAsia="Calibri" w:cs="Arial"/>
          <w:szCs w:val="24"/>
          <w:lang w:eastAsia="en-US"/>
        </w:rPr>
        <w:t>B</w:t>
      </w:r>
      <w:r w:rsidRPr="00EA0DC7">
        <w:rPr>
          <w:rFonts w:eastAsia="Calibri" w:cs="Arial"/>
          <w:szCs w:val="24"/>
          <w:lang w:eastAsia="en-US"/>
        </w:rPr>
        <w:t xml:space="preserve">. Scores on the subscales were as follows: </w:t>
      </w:r>
      <w:r w:rsidRPr="00EA0DC7">
        <w:rPr>
          <w:rFonts w:eastAsia="Calibri" w:cs="Arial"/>
          <w:i/>
          <w:szCs w:val="24"/>
          <w:lang w:eastAsia="en-US"/>
        </w:rPr>
        <w:t>Reporting</w:t>
      </w:r>
      <w:r w:rsidRPr="00EA0DC7">
        <w:rPr>
          <w:rFonts w:eastAsia="Calibri" w:cs="Arial"/>
          <w:szCs w:val="24"/>
          <w:lang w:eastAsia="en-US"/>
        </w:rPr>
        <w:t xml:space="preserve"> 5 – 10 (</w:t>
      </w:r>
      <w:r w:rsidRPr="00EA0DC7">
        <w:rPr>
          <w:rFonts w:eastAsia="Calibri" w:cs="Arial"/>
          <w:i/>
          <w:szCs w:val="24"/>
          <w:lang w:eastAsia="en-US"/>
        </w:rPr>
        <w:t>M</w:t>
      </w:r>
      <w:r w:rsidRPr="00EA0DC7">
        <w:rPr>
          <w:rFonts w:eastAsia="Calibri" w:cs="Arial"/>
          <w:szCs w:val="24"/>
          <w:lang w:eastAsia="en-US"/>
        </w:rPr>
        <w:t xml:space="preserve"> = 7.79, </w:t>
      </w:r>
      <w:r w:rsidRPr="00EA0DC7">
        <w:rPr>
          <w:rFonts w:eastAsia="Calibri" w:cs="Arial"/>
          <w:i/>
          <w:szCs w:val="24"/>
          <w:lang w:eastAsia="en-US"/>
        </w:rPr>
        <w:t>SD</w:t>
      </w:r>
      <w:r w:rsidRPr="00EA0DC7">
        <w:rPr>
          <w:rFonts w:eastAsia="Calibri" w:cs="Arial"/>
          <w:szCs w:val="24"/>
          <w:lang w:eastAsia="en-US"/>
        </w:rPr>
        <w:t xml:space="preserve"> = 1.58), </w:t>
      </w:r>
      <w:r w:rsidRPr="00EA0DC7">
        <w:rPr>
          <w:rFonts w:eastAsia="Calibri" w:cs="Arial"/>
          <w:i/>
          <w:szCs w:val="24"/>
          <w:lang w:eastAsia="en-US"/>
        </w:rPr>
        <w:t xml:space="preserve">External Validity </w:t>
      </w:r>
      <w:r w:rsidRPr="00EA0DC7">
        <w:rPr>
          <w:rFonts w:eastAsia="Calibri" w:cs="Arial"/>
          <w:szCs w:val="24"/>
          <w:lang w:eastAsia="en-US"/>
        </w:rPr>
        <w:t>0 – 3 (</w:t>
      </w:r>
      <w:r w:rsidRPr="00EA0DC7">
        <w:rPr>
          <w:rFonts w:eastAsia="Calibri" w:cs="Arial"/>
          <w:i/>
          <w:szCs w:val="24"/>
          <w:lang w:eastAsia="en-US"/>
        </w:rPr>
        <w:t>M</w:t>
      </w:r>
      <w:r w:rsidRPr="00EA0DC7">
        <w:rPr>
          <w:rFonts w:eastAsia="Calibri" w:cs="Arial"/>
          <w:szCs w:val="24"/>
          <w:lang w:eastAsia="en-US"/>
        </w:rPr>
        <w:t xml:space="preserve"> = 0.95, </w:t>
      </w:r>
      <w:r w:rsidRPr="00EA0DC7">
        <w:rPr>
          <w:rFonts w:eastAsia="Calibri" w:cs="Arial"/>
          <w:i/>
          <w:szCs w:val="24"/>
          <w:lang w:eastAsia="en-US"/>
        </w:rPr>
        <w:t>SD</w:t>
      </w:r>
      <w:r w:rsidRPr="00EA0DC7">
        <w:rPr>
          <w:rFonts w:eastAsia="Calibri" w:cs="Arial"/>
          <w:szCs w:val="24"/>
          <w:lang w:eastAsia="en-US"/>
        </w:rPr>
        <w:t xml:space="preserve"> = 0.78), </w:t>
      </w:r>
      <w:r w:rsidRPr="00EA0DC7">
        <w:rPr>
          <w:rFonts w:eastAsia="Calibri" w:cs="Arial"/>
          <w:i/>
          <w:szCs w:val="24"/>
          <w:lang w:eastAsia="en-US"/>
        </w:rPr>
        <w:t>Internal Validity – Bias</w:t>
      </w:r>
      <w:r w:rsidRPr="00EA0DC7">
        <w:rPr>
          <w:rFonts w:eastAsia="Calibri" w:cs="Arial"/>
          <w:szCs w:val="24"/>
          <w:lang w:eastAsia="en-US"/>
        </w:rPr>
        <w:t xml:space="preserve"> 3 – 7 (</w:t>
      </w:r>
      <w:r w:rsidRPr="00EA0DC7">
        <w:rPr>
          <w:rFonts w:eastAsia="Calibri" w:cs="Arial"/>
          <w:i/>
          <w:szCs w:val="24"/>
          <w:lang w:eastAsia="en-US"/>
        </w:rPr>
        <w:t>M</w:t>
      </w:r>
      <w:r w:rsidRPr="00EA0DC7">
        <w:rPr>
          <w:rFonts w:eastAsia="Calibri" w:cs="Arial"/>
          <w:szCs w:val="24"/>
          <w:lang w:eastAsia="en-US"/>
        </w:rPr>
        <w:t xml:space="preserve"> = 4.37, </w:t>
      </w:r>
      <w:r w:rsidRPr="00EA0DC7">
        <w:rPr>
          <w:rFonts w:eastAsia="Calibri" w:cs="Arial"/>
          <w:i/>
          <w:szCs w:val="24"/>
          <w:lang w:eastAsia="en-US"/>
        </w:rPr>
        <w:t>SD</w:t>
      </w:r>
      <w:r w:rsidRPr="00EA0DC7">
        <w:rPr>
          <w:rFonts w:eastAsia="Calibri" w:cs="Arial"/>
          <w:szCs w:val="24"/>
          <w:lang w:eastAsia="en-US"/>
        </w:rPr>
        <w:t xml:space="preserve"> = 1.16), and </w:t>
      </w:r>
      <w:r w:rsidRPr="00EA0DC7">
        <w:rPr>
          <w:rFonts w:eastAsia="Calibri" w:cs="Arial"/>
          <w:i/>
          <w:szCs w:val="24"/>
          <w:lang w:eastAsia="en-US"/>
        </w:rPr>
        <w:t>Internal Validity – Confounding</w:t>
      </w:r>
      <w:r w:rsidRPr="00EA0DC7">
        <w:rPr>
          <w:rFonts w:eastAsia="Calibri" w:cs="Arial"/>
          <w:szCs w:val="24"/>
          <w:lang w:eastAsia="en-US"/>
        </w:rPr>
        <w:t xml:space="preserve"> 0 – 5 (</w:t>
      </w:r>
      <w:r w:rsidRPr="00EA0DC7">
        <w:rPr>
          <w:rFonts w:eastAsia="Calibri" w:cs="Arial"/>
          <w:i/>
          <w:szCs w:val="24"/>
          <w:lang w:eastAsia="en-US"/>
        </w:rPr>
        <w:t>M</w:t>
      </w:r>
      <w:r w:rsidRPr="00EA0DC7">
        <w:rPr>
          <w:rFonts w:eastAsia="Calibri" w:cs="Arial"/>
          <w:szCs w:val="24"/>
          <w:lang w:eastAsia="en-US"/>
        </w:rPr>
        <w:t xml:space="preserve"> = 2.21, </w:t>
      </w:r>
      <w:r w:rsidRPr="00EA0DC7">
        <w:rPr>
          <w:rFonts w:eastAsia="Calibri" w:cs="Arial"/>
          <w:i/>
          <w:szCs w:val="24"/>
          <w:lang w:eastAsia="en-US"/>
        </w:rPr>
        <w:t>SD</w:t>
      </w:r>
      <w:r w:rsidRPr="00EA0DC7">
        <w:rPr>
          <w:rFonts w:eastAsia="Calibri" w:cs="Arial"/>
          <w:szCs w:val="24"/>
          <w:lang w:eastAsia="en-US"/>
        </w:rPr>
        <w:t xml:space="preserve"> = 1.62). All studies scored 0 on the </w:t>
      </w:r>
      <w:r w:rsidRPr="00EA0DC7">
        <w:rPr>
          <w:rFonts w:eastAsia="Calibri" w:cs="Arial"/>
          <w:i/>
          <w:szCs w:val="24"/>
          <w:lang w:eastAsia="en-US"/>
        </w:rPr>
        <w:t xml:space="preserve">Power </w:t>
      </w:r>
      <w:r w:rsidRPr="00EA0DC7">
        <w:rPr>
          <w:rFonts w:eastAsia="Calibri" w:cs="Arial"/>
          <w:szCs w:val="24"/>
          <w:lang w:eastAsia="en-US"/>
        </w:rPr>
        <w:t xml:space="preserve">item. </w:t>
      </w:r>
    </w:p>
    <w:p w14:paraId="3FD35976" w14:textId="37701BA8" w:rsidR="008E208F" w:rsidRPr="00EA0DC7" w:rsidRDefault="00E75EB5" w:rsidP="00144D1E">
      <w:pPr>
        <w:spacing w:after="160"/>
        <w:rPr>
          <w:rFonts w:eastAsia="Calibri" w:cs="Arial"/>
          <w:szCs w:val="24"/>
          <w:lang w:eastAsia="en-US"/>
        </w:rPr>
      </w:pPr>
      <w:r>
        <w:rPr>
          <w:rFonts w:eastAsia="Calibri" w:cs="Arial"/>
          <w:szCs w:val="24"/>
          <w:lang w:eastAsia="en-US"/>
        </w:rPr>
        <w:tab/>
      </w:r>
      <w:r w:rsidR="00656509">
        <w:rPr>
          <w:rFonts w:eastAsia="Calibri" w:cs="Arial"/>
          <w:szCs w:val="24"/>
          <w:lang w:eastAsia="en-US"/>
        </w:rPr>
        <w:t>Studies investigating supervision impact on both therapist and patients were</w:t>
      </w:r>
      <w:r w:rsidR="006B6E30">
        <w:rPr>
          <w:rFonts w:eastAsia="Calibri" w:cs="Arial"/>
          <w:szCs w:val="24"/>
          <w:lang w:eastAsia="en-US"/>
        </w:rPr>
        <w:t xml:space="preserve"> treated as two separate samples</w:t>
      </w:r>
      <w:r w:rsidR="00656509">
        <w:rPr>
          <w:rFonts w:eastAsia="Calibri" w:cs="Arial"/>
          <w:szCs w:val="24"/>
          <w:lang w:eastAsia="en-US"/>
        </w:rPr>
        <w:t xml:space="preserve">. Therefore, 19 QI scores were calculated for a total of 15 studies. </w:t>
      </w:r>
      <w:r>
        <w:rPr>
          <w:rFonts w:eastAsia="Calibri" w:cs="Arial"/>
          <w:szCs w:val="24"/>
          <w:lang w:eastAsia="en-US"/>
        </w:rPr>
        <w:t xml:space="preserve"> </w:t>
      </w:r>
    </w:p>
    <w:p w14:paraId="707F7B9E" w14:textId="6EDA616D" w:rsidR="00144D1E" w:rsidRPr="00EA0DC7" w:rsidRDefault="00144D1E" w:rsidP="00144D1E">
      <w:pPr>
        <w:pStyle w:val="Heading4"/>
        <w:numPr>
          <w:ilvl w:val="3"/>
          <w:numId w:val="45"/>
        </w:numPr>
        <w:rPr>
          <w:rStyle w:val="Heading4Char"/>
          <w:bCs/>
          <w:i/>
          <w:iCs/>
        </w:rPr>
      </w:pPr>
      <w:commentRangeStart w:id="115"/>
      <w:r w:rsidRPr="00EA0DC7">
        <w:rPr>
          <w:rStyle w:val="Heading4Char"/>
          <w:i/>
          <w:iCs/>
        </w:rPr>
        <w:t>3.3.2.1 Strengths of the s</w:t>
      </w:r>
      <w:r w:rsidR="00656509">
        <w:rPr>
          <w:rStyle w:val="Heading4Char"/>
          <w:i/>
          <w:iCs/>
        </w:rPr>
        <w:t>amples</w:t>
      </w:r>
    </w:p>
    <w:p w14:paraId="65B642D3" w14:textId="6C985A4B" w:rsidR="00144D1E" w:rsidRPr="00EA0DC7" w:rsidRDefault="00144D1E" w:rsidP="00144D1E">
      <w:pPr>
        <w:spacing w:after="160"/>
        <w:ind w:firstLine="720"/>
        <w:rPr>
          <w:rFonts w:eastAsiaTheme="majorEastAsia" w:cstheme="majorBidi"/>
          <w:bCs/>
          <w:i/>
          <w:iCs/>
        </w:rPr>
      </w:pPr>
      <w:r w:rsidRPr="00EA0DC7">
        <w:rPr>
          <w:rFonts w:eastAsia="Calibri" w:cs="Arial"/>
          <w:szCs w:val="24"/>
          <w:lang w:eastAsia="en-US"/>
        </w:rPr>
        <w:t>T</w:t>
      </w:r>
      <w:r w:rsidR="008E208F">
        <w:rPr>
          <w:rFonts w:eastAsia="Calibri" w:cs="Arial"/>
          <w:szCs w:val="24"/>
          <w:lang w:eastAsia="en-US"/>
        </w:rPr>
        <w:t>he majority of samples</w:t>
      </w:r>
      <w:r w:rsidRPr="00EA0DC7">
        <w:rPr>
          <w:rFonts w:eastAsia="Calibri" w:cs="Arial"/>
          <w:szCs w:val="24"/>
          <w:lang w:eastAsia="en-US"/>
        </w:rPr>
        <w:t xml:space="preserve"> provided clear descriptions of their hypotheses, aims, and objectives (</w:t>
      </w:r>
      <w:r w:rsidR="0003637E" w:rsidRPr="00174C7D">
        <w:rPr>
          <w:rFonts w:eastAsia="Calibri" w:cs="Arial"/>
          <w:i/>
          <w:szCs w:val="24"/>
          <w:lang w:eastAsia="en-US"/>
        </w:rPr>
        <w:t>N</w:t>
      </w:r>
      <w:r w:rsidR="0003637E">
        <w:rPr>
          <w:rFonts w:eastAsia="Calibri" w:cs="Arial"/>
          <w:szCs w:val="24"/>
          <w:lang w:eastAsia="en-US"/>
        </w:rPr>
        <w:t xml:space="preserve"> = 18</w:t>
      </w:r>
      <w:r w:rsidR="00174C7D">
        <w:rPr>
          <w:rFonts w:eastAsia="Calibri" w:cs="Arial"/>
          <w:szCs w:val="24"/>
          <w:lang w:eastAsia="en-US"/>
        </w:rPr>
        <w:t>,</w:t>
      </w:r>
      <w:r w:rsidR="00AF4EF7">
        <w:rPr>
          <w:rFonts w:eastAsia="Calibri" w:cs="Arial"/>
          <w:szCs w:val="24"/>
          <w:lang w:eastAsia="en-US"/>
        </w:rPr>
        <w:t xml:space="preserve"> </w:t>
      </w:r>
      <w:r w:rsidRPr="00EA0DC7">
        <w:rPr>
          <w:rFonts w:eastAsia="Calibri" w:cs="Arial"/>
          <w:szCs w:val="24"/>
          <w:lang w:eastAsia="en-US"/>
        </w:rPr>
        <w:t>94.74%), the main outcomes to be measured (</w:t>
      </w:r>
      <w:r w:rsidR="00F46459" w:rsidRPr="00174C7D">
        <w:rPr>
          <w:rFonts w:eastAsia="Calibri" w:cs="Arial"/>
          <w:i/>
          <w:szCs w:val="24"/>
          <w:lang w:eastAsia="en-US"/>
        </w:rPr>
        <w:t>N</w:t>
      </w:r>
      <w:r w:rsidR="00F46459">
        <w:rPr>
          <w:rFonts w:eastAsia="Calibri" w:cs="Arial"/>
          <w:szCs w:val="24"/>
          <w:lang w:eastAsia="en-US"/>
        </w:rPr>
        <w:t xml:space="preserve"> = 19, </w:t>
      </w:r>
      <w:r w:rsidRPr="00EA0DC7">
        <w:rPr>
          <w:rFonts w:eastAsia="Calibri" w:cs="Arial"/>
          <w:szCs w:val="24"/>
          <w:lang w:eastAsia="en-US"/>
        </w:rPr>
        <w:t>100%), and the interventions (</w:t>
      </w:r>
      <w:r w:rsidR="0003637E" w:rsidRPr="00174C7D">
        <w:rPr>
          <w:rFonts w:eastAsia="Calibri" w:cs="Arial"/>
          <w:i/>
          <w:szCs w:val="24"/>
          <w:lang w:eastAsia="en-US"/>
        </w:rPr>
        <w:t>N</w:t>
      </w:r>
      <w:r w:rsidR="0003637E">
        <w:rPr>
          <w:rFonts w:eastAsia="Calibri" w:cs="Arial"/>
          <w:szCs w:val="24"/>
          <w:lang w:eastAsia="en-US"/>
        </w:rPr>
        <w:t xml:space="preserve"> = </w:t>
      </w:r>
      <w:r w:rsidR="00AF4EF7" w:rsidRPr="0003637E">
        <w:rPr>
          <w:rFonts w:eastAsia="Calibri" w:cs="Arial"/>
          <w:szCs w:val="24"/>
          <w:lang w:eastAsia="en-US"/>
        </w:rPr>
        <w:t>17,</w:t>
      </w:r>
      <w:r w:rsidR="00AF4EF7">
        <w:rPr>
          <w:rFonts w:eastAsia="Calibri" w:cs="Arial"/>
          <w:szCs w:val="24"/>
          <w:lang w:eastAsia="en-US"/>
        </w:rPr>
        <w:t xml:space="preserve"> </w:t>
      </w:r>
      <w:r w:rsidRPr="00EA0DC7">
        <w:rPr>
          <w:rFonts w:eastAsia="Calibri" w:cs="Arial"/>
          <w:szCs w:val="24"/>
          <w:lang w:eastAsia="en-US"/>
        </w:rPr>
        <w:t>89.47%). S</w:t>
      </w:r>
      <w:r w:rsidR="00656509">
        <w:rPr>
          <w:rFonts w:eastAsia="Calibri" w:cs="Arial"/>
          <w:szCs w:val="24"/>
          <w:lang w:eastAsia="en-US"/>
        </w:rPr>
        <w:t>amples</w:t>
      </w:r>
      <w:r w:rsidRPr="00EA0DC7">
        <w:rPr>
          <w:rFonts w:eastAsia="Calibri" w:cs="Arial"/>
          <w:szCs w:val="24"/>
          <w:lang w:eastAsia="en-US"/>
        </w:rPr>
        <w:t xml:space="preserve"> used appropriate statistical tests (</w:t>
      </w:r>
      <w:r w:rsidR="00F46459" w:rsidRPr="00174C7D">
        <w:rPr>
          <w:rFonts w:eastAsia="Calibri" w:cs="Arial"/>
          <w:i/>
          <w:szCs w:val="24"/>
          <w:lang w:eastAsia="en-US"/>
        </w:rPr>
        <w:t xml:space="preserve">N </w:t>
      </w:r>
      <w:r w:rsidR="00F46459">
        <w:rPr>
          <w:rFonts w:eastAsia="Calibri" w:cs="Arial"/>
          <w:szCs w:val="24"/>
          <w:lang w:eastAsia="en-US"/>
        </w:rPr>
        <w:t xml:space="preserve">= 19, </w:t>
      </w:r>
      <w:r w:rsidRPr="00EA0DC7">
        <w:rPr>
          <w:rFonts w:eastAsia="Calibri" w:cs="Arial"/>
          <w:szCs w:val="24"/>
          <w:lang w:eastAsia="en-US"/>
        </w:rPr>
        <w:t>100%), accurate outcome measures (</w:t>
      </w:r>
      <w:r w:rsidR="00F46459" w:rsidRPr="00174C7D">
        <w:rPr>
          <w:rFonts w:eastAsia="Calibri" w:cs="Arial"/>
          <w:i/>
          <w:szCs w:val="24"/>
          <w:lang w:eastAsia="en-US"/>
        </w:rPr>
        <w:t>N</w:t>
      </w:r>
      <w:r w:rsidR="00F46459">
        <w:rPr>
          <w:rFonts w:eastAsia="Calibri" w:cs="Arial"/>
          <w:szCs w:val="24"/>
          <w:lang w:eastAsia="en-US"/>
        </w:rPr>
        <w:t xml:space="preserve"> = 19, </w:t>
      </w:r>
      <w:r w:rsidRPr="00EA0DC7">
        <w:rPr>
          <w:rFonts w:eastAsia="Calibri" w:cs="Arial"/>
          <w:szCs w:val="24"/>
          <w:lang w:eastAsia="en-US"/>
        </w:rPr>
        <w:t>100%), clearly described the main findings (</w:t>
      </w:r>
      <w:r w:rsidR="00F46459" w:rsidRPr="00174C7D">
        <w:rPr>
          <w:rFonts w:eastAsia="Calibri" w:cs="Arial"/>
          <w:i/>
          <w:szCs w:val="24"/>
          <w:lang w:eastAsia="en-US"/>
        </w:rPr>
        <w:t>N</w:t>
      </w:r>
      <w:r w:rsidR="00F46459">
        <w:rPr>
          <w:rFonts w:eastAsia="Calibri" w:cs="Arial"/>
          <w:szCs w:val="24"/>
          <w:lang w:eastAsia="en-US"/>
        </w:rPr>
        <w:t xml:space="preserve"> = 19, </w:t>
      </w:r>
      <w:r w:rsidRPr="00EA0DC7">
        <w:rPr>
          <w:rFonts w:eastAsia="Calibri" w:cs="Arial"/>
          <w:szCs w:val="24"/>
          <w:lang w:eastAsia="en-US"/>
        </w:rPr>
        <w:t>100%), and did not base results on “data dredging” (</w:t>
      </w:r>
      <w:r w:rsidR="0003637E" w:rsidRPr="00174C7D">
        <w:rPr>
          <w:rFonts w:eastAsia="Calibri" w:cs="Arial"/>
          <w:i/>
          <w:szCs w:val="24"/>
          <w:lang w:eastAsia="en-US"/>
        </w:rPr>
        <w:t>N</w:t>
      </w:r>
      <w:r w:rsidR="0003637E">
        <w:rPr>
          <w:rFonts w:eastAsia="Calibri" w:cs="Arial"/>
          <w:szCs w:val="24"/>
          <w:lang w:eastAsia="en-US"/>
        </w:rPr>
        <w:t xml:space="preserve"> = 18, </w:t>
      </w:r>
      <w:r w:rsidRPr="00EA0DC7">
        <w:rPr>
          <w:rFonts w:eastAsia="Calibri" w:cs="Arial"/>
          <w:szCs w:val="24"/>
          <w:lang w:eastAsia="en-US"/>
        </w:rPr>
        <w:t xml:space="preserve">94.74%). </w:t>
      </w:r>
    </w:p>
    <w:p w14:paraId="1C2E7E2F" w14:textId="5093A528" w:rsidR="00144D1E" w:rsidRPr="00EA0DC7" w:rsidRDefault="00144D1E" w:rsidP="00144D1E">
      <w:pPr>
        <w:pStyle w:val="Heading4"/>
        <w:numPr>
          <w:ilvl w:val="3"/>
          <w:numId w:val="45"/>
        </w:numPr>
        <w:rPr>
          <w:lang w:eastAsia="en-US"/>
        </w:rPr>
      </w:pPr>
      <w:r w:rsidRPr="00EA0DC7">
        <w:rPr>
          <w:lang w:eastAsia="en-US"/>
        </w:rPr>
        <w:t xml:space="preserve">3.3.2.2 Weaknesses </w:t>
      </w:r>
      <w:r w:rsidR="00656509">
        <w:rPr>
          <w:lang w:eastAsia="en-US"/>
        </w:rPr>
        <w:t>of the samples</w:t>
      </w:r>
    </w:p>
    <w:p w14:paraId="3EAB8945" w14:textId="2BCA72AE" w:rsidR="00144D1E" w:rsidRPr="00EA0DC7" w:rsidRDefault="00656509" w:rsidP="00144D1E">
      <w:pPr>
        <w:spacing w:after="160"/>
        <w:ind w:firstLine="720"/>
        <w:rPr>
          <w:rFonts w:eastAsia="Calibri" w:cs="Arial"/>
          <w:szCs w:val="24"/>
          <w:lang w:eastAsia="en-US"/>
        </w:rPr>
      </w:pPr>
      <w:r>
        <w:rPr>
          <w:rFonts w:eastAsia="Calibri" w:cs="Arial"/>
          <w:szCs w:val="24"/>
          <w:lang w:eastAsia="en-US"/>
        </w:rPr>
        <w:t>None of the samples</w:t>
      </w:r>
      <w:r w:rsidR="00144D1E" w:rsidRPr="00EA0DC7">
        <w:rPr>
          <w:rFonts w:eastAsia="Calibri" w:cs="Arial"/>
          <w:szCs w:val="24"/>
          <w:lang w:eastAsia="en-US"/>
        </w:rPr>
        <w:t xml:space="preserve"> reported having conducted a power analysis prior to conducting the study. Only</w:t>
      </w:r>
      <w:r>
        <w:rPr>
          <w:rFonts w:eastAsia="Calibri" w:cs="Arial"/>
          <w:szCs w:val="24"/>
          <w:lang w:eastAsia="en-US"/>
        </w:rPr>
        <w:t xml:space="preserve"> eight of the samples</w:t>
      </w:r>
      <w:r w:rsidR="0003637E">
        <w:rPr>
          <w:rFonts w:eastAsia="Calibri" w:cs="Arial"/>
          <w:szCs w:val="24"/>
          <w:lang w:eastAsia="en-US"/>
        </w:rPr>
        <w:t xml:space="preserve"> (42.12%)</w:t>
      </w:r>
      <w:r w:rsidR="00144D1E" w:rsidRPr="00EA0DC7">
        <w:rPr>
          <w:rFonts w:eastAsia="Calibri" w:cs="Arial"/>
          <w:szCs w:val="24"/>
          <w:lang w:eastAsia="en-US"/>
        </w:rPr>
        <w:t xml:space="preserve"> clearly described distributions of confounders in each group of participants. Only </w:t>
      </w:r>
      <w:r>
        <w:rPr>
          <w:rFonts w:eastAsia="Calibri" w:cs="Arial"/>
          <w:szCs w:val="24"/>
          <w:lang w:eastAsia="en-US"/>
        </w:rPr>
        <w:t xml:space="preserve">four samples </w:t>
      </w:r>
      <w:r w:rsidR="0003637E">
        <w:rPr>
          <w:rFonts w:eastAsia="Calibri" w:cs="Arial"/>
          <w:szCs w:val="24"/>
          <w:lang w:eastAsia="en-US"/>
        </w:rPr>
        <w:t>(</w:t>
      </w:r>
      <w:r w:rsidR="00144D1E" w:rsidRPr="00EA0DC7">
        <w:rPr>
          <w:rFonts w:eastAsia="Calibri" w:cs="Arial"/>
          <w:szCs w:val="24"/>
          <w:lang w:eastAsia="en-US"/>
        </w:rPr>
        <w:t>21.05%</w:t>
      </w:r>
      <w:r w:rsidR="0003637E">
        <w:rPr>
          <w:rFonts w:eastAsia="Calibri" w:cs="Arial"/>
          <w:szCs w:val="24"/>
          <w:lang w:eastAsia="en-US"/>
        </w:rPr>
        <w:t>)</w:t>
      </w:r>
      <w:r w:rsidR="00144D1E" w:rsidRPr="00EA0DC7">
        <w:rPr>
          <w:rFonts w:eastAsia="Calibri" w:cs="Arial"/>
          <w:szCs w:val="24"/>
          <w:lang w:eastAsia="en-US"/>
        </w:rPr>
        <w:t xml:space="preserve"> made clear that their participants were representative of the entire population from which they were recruited, and only </w:t>
      </w:r>
      <w:r>
        <w:rPr>
          <w:rFonts w:eastAsia="Calibri" w:cs="Arial"/>
          <w:szCs w:val="24"/>
          <w:lang w:eastAsia="en-US"/>
        </w:rPr>
        <w:t>two samples</w:t>
      </w:r>
      <w:r w:rsidR="0003637E">
        <w:rPr>
          <w:rFonts w:eastAsia="Calibri" w:cs="Arial"/>
          <w:szCs w:val="24"/>
          <w:lang w:eastAsia="en-US"/>
        </w:rPr>
        <w:t xml:space="preserve"> (</w:t>
      </w:r>
      <w:r w:rsidR="00144D1E" w:rsidRPr="00EA0DC7">
        <w:rPr>
          <w:rFonts w:eastAsia="Calibri" w:cs="Arial"/>
          <w:szCs w:val="24"/>
          <w:lang w:eastAsia="en-US"/>
        </w:rPr>
        <w:t>10.53%</w:t>
      </w:r>
      <w:r w:rsidR="0003637E">
        <w:rPr>
          <w:rFonts w:eastAsia="Calibri" w:cs="Arial"/>
          <w:szCs w:val="24"/>
          <w:lang w:eastAsia="en-US"/>
        </w:rPr>
        <w:t>)</w:t>
      </w:r>
      <w:r w:rsidR="00144D1E" w:rsidRPr="00EA0DC7">
        <w:rPr>
          <w:rFonts w:eastAsia="Calibri" w:cs="Arial"/>
          <w:szCs w:val="24"/>
          <w:lang w:eastAsia="en-US"/>
        </w:rPr>
        <w:t xml:space="preserve"> showed that those prepared to participate </w:t>
      </w:r>
      <w:r>
        <w:rPr>
          <w:rFonts w:eastAsia="Calibri" w:cs="Arial"/>
          <w:szCs w:val="24"/>
          <w:lang w:eastAsia="en-US"/>
        </w:rPr>
        <w:t>were representative. Few samples</w:t>
      </w:r>
      <w:r w:rsidR="00144D1E" w:rsidRPr="00EA0DC7">
        <w:rPr>
          <w:rFonts w:eastAsia="Calibri" w:cs="Arial"/>
          <w:szCs w:val="24"/>
          <w:lang w:eastAsia="en-US"/>
        </w:rPr>
        <w:t xml:space="preserve"> </w:t>
      </w:r>
      <w:r w:rsidR="00144D1E" w:rsidRPr="00EA0DC7">
        <w:rPr>
          <w:rFonts w:eastAsia="Calibri" w:cs="Arial"/>
          <w:szCs w:val="24"/>
          <w:lang w:eastAsia="en-US"/>
        </w:rPr>
        <w:lastRenderedPageBreak/>
        <w:t>checked compliance with the interventions (</w:t>
      </w:r>
      <w:r w:rsidR="0003637E" w:rsidRPr="00174C7D">
        <w:rPr>
          <w:rFonts w:eastAsia="Calibri" w:cs="Arial"/>
          <w:i/>
          <w:szCs w:val="24"/>
          <w:lang w:eastAsia="en-US"/>
        </w:rPr>
        <w:t xml:space="preserve">N </w:t>
      </w:r>
      <w:r w:rsidR="0003637E">
        <w:rPr>
          <w:rFonts w:eastAsia="Calibri" w:cs="Arial"/>
          <w:szCs w:val="24"/>
          <w:lang w:eastAsia="en-US"/>
        </w:rPr>
        <w:t xml:space="preserve">= 6, </w:t>
      </w:r>
      <w:r>
        <w:rPr>
          <w:rFonts w:eastAsia="Calibri" w:cs="Arial"/>
          <w:szCs w:val="24"/>
          <w:lang w:eastAsia="en-US"/>
        </w:rPr>
        <w:t>31.58%), and none of the samples</w:t>
      </w:r>
      <w:r w:rsidR="00144D1E" w:rsidRPr="00EA0DC7">
        <w:rPr>
          <w:rFonts w:eastAsia="Calibri" w:cs="Arial"/>
          <w:szCs w:val="24"/>
          <w:lang w:eastAsia="en-US"/>
        </w:rPr>
        <w:t xml:space="preserve"> reported potential adverse consequences o</w:t>
      </w:r>
      <w:r>
        <w:rPr>
          <w:rFonts w:eastAsia="Calibri" w:cs="Arial"/>
          <w:szCs w:val="24"/>
          <w:lang w:eastAsia="en-US"/>
        </w:rPr>
        <w:t>f the interventions. Two samples</w:t>
      </w:r>
      <w:r w:rsidR="00144D1E" w:rsidRPr="00EA0DC7">
        <w:rPr>
          <w:rFonts w:eastAsia="Calibri" w:cs="Arial"/>
          <w:szCs w:val="24"/>
          <w:lang w:eastAsia="en-US"/>
        </w:rPr>
        <w:t xml:space="preserve"> randomised subjects to intervention groups (10.53%), and there was no concealment of randomisation until recru</w:t>
      </w:r>
      <w:r>
        <w:rPr>
          <w:rFonts w:eastAsia="Calibri" w:cs="Arial"/>
          <w:szCs w:val="24"/>
          <w:lang w:eastAsia="en-US"/>
        </w:rPr>
        <w:t>itment was complete in any sample</w:t>
      </w:r>
      <w:r w:rsidR="00144D1E" w:rsidRPr="00EA0DC7">
        <w:rPr>
          <w:rFonts w:eastAsia="Calibri" w:cs="Arial"/>
          <w:szCs w:val="24"/>
          <w:lang w:eastAsia="en-US"/>
        </w:rPr>
        <w:t xml:space="preserve">. Participants were blind to the intervention they received in </w:t>
      </w:r>
      <w:r>
        <w:rPr>
          <w:rFonts w:eastAsia="Calibri" w:cs="Arial"/>
          <w:szCs w:val="24"/>
          <w:lang w:eastAsia="en-US"/>
        </w:rPr>
        <w:t>four of the samples</w:t>
      </w:r>
      <w:r w:rsidR="0003637E">
        <w:rPr>
          <w:rFonts w:eastAsia="Calibri" w:cs="Arial"/>
          <w:szCs w:val="24"/>
          <w:lang w:eastAsia="en-US"/>
        </w:rPr>
        <w:t xml:space="preserve"> (</w:t>
      </w:r>
      <w:r w:rsidR="00144D1E" w:rsidRPr="00EA0DC7">
        <w:rPr>
          <w:rFonts w:eastAsia="Calibri" w:cs="Arial"/>
          <w:szCs w:val="24"/>
          <w:lang w:eastAsia="en-US"/>
        </w:rPr>
        <w:t>21.05%</w:t>
      </w:r>
      <w:r w:rsidR="0003637E">
        <w:rPr>
          <w:rFonts w:eastAsia="Calibri" w:cs="Arial"/>
          <w:szCs w:val="24"/>
          <w:lang w:eastAsia="en-US"/>
        </w:rPr>
        <w:t>)</w:t>
      </w:r>
      <w:r w:rsidR="00144D1E" w:rsidRPr="00EA0DC7">
        <w:rPr>
          <w:rFonts w:eastAsia="Calibri" w:cs="Arial"/>
          <w:szCs w:val="24"/>
          <w:lang w:eastAsia="en-US"/>
        </w:rPr>
        <w:t xml:space="preserve">, and researchers measuring the main outcomes were blind in </w:t>
      </w:r>
      <w:r>
        <w:rPr>
          <w:rFonts w:eastAsia="Calibri" w:cs="Arial"/>
          <w:szCs w:val="24"/>
          <w:lang w:eastAsia="en-US"/>
        </w:rPr>
        <w:t>five of the samples</w:t>
      </w:r>
      <w:r w:rsidR="0003637E">
        <w:rPr>
          <w:rFonts w:eastAsia="Calibri" w:cs="Arial"/>
          <w:szCs w:val="24"/>
          <w:lang w:eastAsia="en-US"/>
        </w:rPr>
        <w:t xml:space="preserve"> (</w:t>
      </w:r>
      <w:r w:rsidR="00144D1E" w:rsidRPr="00EA0DC7">
        <w:rPr>
          <w:rFonts w:eastAsia="Calibri" w:cs="Arial"/>
          <w:szCs w:val="24"/>
          <w:lang w:eastAsia="en-US"/>
        </w:rPr>
        <w:t>26.32%</w:t>
      </w:r>
      <w:r w:rsidR="0003637E">
        <w:rPr>
          <w:rFonts w:eastAsia="Calibri" w:cs="Arial"/>
          <w:szCs w:val="24"/>
          <w:lang w:eastAsia="en-US"/>
        </w:rPr>
        <w:t>)</w:t>
      </w:r>
      <w:r w:rsidR="00144D1E" w:rsidRPr="00EA0DC7">
        <w:rPr>
          <w:rFonts w:eastAsia="Calibri" w:cs="Arial"/>
          <w:szCs w:val="24"/>
          <w:lang w:eastAsia="en-US"/>
        </w:rPr>
        <w:t>.</w:t>
      </w:r>
      <w:commentRangeEnd w:id="115"/>
      <w:r w:rsidR="004C5CC7">
        <w:rPr>
          <w:rStyle w:val="CommentReference"/>
          <w:rFonts w:eastAsiaTheme="minorHAnsi"/>
          <w:lang w:eastAsia="en-US"/>
        </w:rPr>
        <w:commentReference w:id="115"/>
      </w:r>
    </w:p>
    <w:p w14:paraId="55BDFEBF" w14:textId="77777777" w:rsidR="00144D1E" w:rsidRPr="00EA0DC7" w:rsidRDefault="00144D1E" w:rsidP="00144D1E">
      <w:pPr>
        <w:pStyle w:val="Heading4"/>
        <w:numPr>
          <w:ilvl w:val="3"/>
          <w:numId w:val="45"/>
        </w:numPr>
      </w:pPr>
      <w:r w:rsidRPr="00EA0DC7">
        <w:rPr>
          <w:rStyle w:val="Heading4Char"/>
          <w:i/>
          <w:iCs/>
        </w:rPr>
        <w:t>3.3.2.3 Differences between patient outcome and supervisee outcome studies.</w:t>
      </w:r>
      <w:r w:rsidRPr="00EA0DC7">
        <w:t xml:space="preserve"> </w:t>
      </w:r>
    </w:p>
    <w:p w14:paraId="74E2C7B1" w14:textId="77777777" w:rsidR="00144D1E" w:rsidRPr="00EA0DC7" w:rsidRDefault="00144D1E" w:rsidP="00144D1E">
      <w:pPr>
        <w:spacing w:after="160"/>
        <w:ind w:firstLine="720"/>
      </w:pPr>
      <w:r w:rsidRPr="00EA0DC7">
        <w:rPr>
          <w:rFonts w:eastAsia="Calibri" w:cs="Arial"/>
          <w:szCs w:val="24"/>
          <w:lang w:eastAsia="en-US"/>
        </w:rPr>
        <w:t>There was no difference between the overall QI scores for patient outcome studies (</w:t>
      </w:r>
      <w:r w:rsidRPr="00EA0DC7">
        <w:rPr>
          <w:rFonts w:eastAsia="Calibri" w:cs="Arial"/>
          <w:i/>
          <w:szCs w:val="24"/>
          <w:lang w:eastAsia="en-US"/>
        </w:rPr>
        <w:t>M</w:t>
      </w:r>
      <w:r w:rsidRPr="00EA0DC7">
        <w:rPr>
          <w:rFonts w:eastAsia="Calibri" w:cs="Arial"/>
          <w:szCs w:val="24"/>
          <w:lang w:eastAsia="en-US"/>
        </w:rPr>
        <w:t xml:space="preserve"> = 14.0, </w:t>
      </w:r>
      <w:r w:rsidRPr="00EA0DC7">
        <w:rPr>
          <w:rFonts w:eastAsia="Calibri" w:cs="Arial"/>
          <w:i/>
          <w:szCs w:val="24"/>
          <w:lang w:eastAsia="en-US"/>
        </w:rPr>
        <w:t>SD</w:t>
      </w:r>
      <w:r w:rsidRPr="00EA0DC7">
        <w:rPr>
          <w:rFonts w:eastAsia="Calibri" w:cs="Arial"/>
          <w:szCs w:val="24"/>
          <w:lang w:eastAsia="en-US"/>
        </w:rPr>
        <w:t xml:space="preserve"> = 2.98) and for supervisee outcome studies (</w:t>
      </w:r>
      <w:r w:rsidRPr="00EA0DC7">
        <w:rPr>
          <w:rFonts w:eastAsia="Calibri" w:cs="Arial"/>
          <w:i/>
          <w:szCs w:val="24"/>
          <w:lang w:eastAsia="en-US"/>
        </w:rPr>
        <w:t xml:space="preserve">M </w:t>
      </w:r>
      <w:r w:rsidRPr="00EA0DC7">
        <w:rPr>
          <w:rFonts w:eastAsia="Calibri" w:cs="Arial"/>
          <w:szCs w:val="24"/>
          <w:lang w:eastAsia="en-US"/>
        </w:rPr>
        <w:t xml:space="preserve">= 16.27, </w:t>
      </w:r>
      <w:r w:rsidRPr="00EA0DC7">
        <w:rPr>
          <w:rFonts w:eastAsia="Calibri" w:cs="Arial"/>
          <w:i/>
          <w:szCs w:val="24"/>
          <w:lang w:eastAsia="en-US"/>
        </w:rPr>
        <w:t xml:space="preserve">SD </w:t>
      </w:r>
      <w:r w:rsidRPr="00EA0DC7">
        <w:rPr>
          <w:rFonts w:eastAsia="Calibri" w:cs="Arial"/>
          <w:szCs w:val="24"/>
          <w:lang w:eastAsia="en-US"/>
        </w:rPr>
        <w:t xml:space="preserve">= 3.38; </w:t>
      </w:r>
      <w:r w:rsidRPr="00EA0DC7">
        <w:rPr>
          <w:rFonts w:eastAsia="Calibri" w:cs="Arial"/>
          <w:i/>
          <w:szCs w:val="24"/>
          <w:lang w:eastAsia="en-US"/>
        </w:rPr>
        <w:t>t</w:t>
      </w:r>
      <w:r w:rsidRPr="00EA0DC7">
        <w:rPr>
          <w:rFonts w:eastAsia="Calibri" w:cs="Arial"/>
          <w:szCs w:val="24"/>
          <w:lang w:eastAsia="en-US"/>
        </w:rPr>
        <w:t xml:space="preserve">(17) = 1.52, </w:t>
      </w:r>
      <w:r w:rsidRPr="00EA0DC7">
        <w:rPr>
          <w:rFonts w:eastAsia="Calibri" w:cs="Arial"/>
          <w:i/>
          <w:szCs w:val="24"/>
          <w:lang w:eastAsia="en-US"/>
        </w:rPr>
        <w:t>p</w:t>
      </w:r>
      <w:r w:rsidRPr="00EA0DC7">
        <w:rPr>
          <w:rFonts w:eastAsia="Calibri" w:cs="Arial"/>
          <w:szCs w:val="24"/>
          <w:lang w:eastAsia="en-US"/>
        </w:rPr>
        <w:t xml:space="preserve"> = .147). Nor were there differences between the two sets of studies in any of the QI subscale scores (all </w:t>
      </w:r>
      <w:r w:rsidRPr="00EA0DC7">
        <w:rPr>
          <w:rFonts w:eastAsia="Calibri" w:cs="Arial"/>
          <w:i/>
          <w:szCs w:val="24"/>
          <w:lang w:eastAsia="en-US"/>
        </w:rPr>
        <w:t>p</w:t>
      </w:r>
      <w:r w:rsidRPr="00EA0DC7">
        <w:rPr>
          <w:rFonts w:eastAsia="Calibri" w:cs="Arial"/>
          <w:szCs w:val="24"/>
          <w:lang w:eastAsia="en-US"/>
        </w:rPr>
        <w:t xml:space="preserve"> &gt; .05). </w:t>
      </w:r>
    </w:p>
    <w:p w14:paraId="3B13B721" w14:textId="77777777" w:rsidR="00144D1E" w:rsidRPr="00EA0DC7" w:rsidRDefault="00144D1E" w:rsidP="00144D1E">
      <w:pPr>
        <w:pStyle w:val="Heading3"/>
        <w:numPr>
          <w:ilvl w:val="2"/>
          <w:numId w:val="45"/>
        </w:numPr>
      </w:pPr>
      <w:commentRangeStart w:id="116"/>
      <w:r w:rsidRPr="00EA0DC7">
        <w:t>3.3.3 Impact of supervision on patient outcomes</w:t>
      </w:r>
    </w:p>
    <w:p w14:paraId="7E654121" w14:textId="0727BE1E" w:rsidR="00144D1E" w:rsidRPr="00EA0DC7" w:rsidRDefault="00144D1E" w:rsidP="00144D1E">
      <w:pPr>
        <w:ind w:firstLine="720"/>
        <w:rPr>
          <w:rFonts w:cs="Arial"/>
          <w:szCs w:val="24"/>
        </w:rPr>
      </w:pPr>
      <w:r w:rsidRPr="00EA0DC7">
        <w:rPr>
          <w:rFonts w:cs="Arial"/>
          <w:szCs w:val="24"/>
        </w:rPr>
        <w:t xml:space="preserve">The random effects model meta-analysis (Figure 3.2) indicated that the </w:t>
      </w:r>
      <w:r w:rsidR="0030093C">
        <w:rPr>
          <w:rFonts w:cs="Arial"/>
          <w:szCs w:val="24"/>
        </w:rPr>
        <w:t xml:space="preserve">overall </w:t>
      </w:r>
      <w:r w:rsidRPr="00EA0DC7">
        <w:rPr>
          <w:rFonts w:cs="Arial"/>
          <w:szCs w:val="24"/>
        </w:rPr>
        <w:t xml:space="preserve">effect of clinical supervision on patient outcomes (symptom and working alliance improvement) was small and non-significant; Hedges’ </w:t>
      </w:r>
      <w:r w:rsidRPr="00EA0DC7">
        <w:rPr>
          <w:rFonts w:cs="Arial"/>
          <w:i/>
          <w:szCs w:val="24"/>
        </w:rPr>
        <w:t>g</w:t>
      </w:r>
      <w:r w:rsidRPr="00EA0DC7">
        <w:rPr>
          <w:rFonts w:cs="Arial"/>
          <w:szCs w:val="24"/>
        </w:rPr>
        <w:t xml:space="preserve"> = 0.22 (95% CI [-0.</w:t>
      </w:r>
      <w:r>
        <w:rPr>
          <w:rFonts w:cs="Arial"/>
          <w:szCs w:val="24"/>
        </w:rPr>
        <w:t>11</w:t>
      </w:r>
      <w:r w:rsidRPr="00EA0DC7">
        <w:rPr>
          <w:rFonts w:cs="Arial"/>
          <w:szCs w:val="24"/>
        </w:rPr>
        <w:t>, 0.</w:t>
      </w:r>
      <w:r>
        <w:rPr>
          <w:rFonts w:cs="Arial"/>
          <w:szCs w:val="24"/>
        </w:rPr>
        <w:t>55</w:t>
      </w:r>
      <w:r w:rsidRPr="00EA0DC7">
        <w:rPr>
          <w:rFonts w:cs="Arial"/>
          <w:szCs w:val="24"/>
        </w:rPr>
        <w:t xml:space="preserve">], </w:t>
      </w:r>
      <w:r w:rsidRPr="00EA0DC7">
        <w:rPr>
          <w:rFonts w:cs="Arial"/>
          <w:i/>
          <w:szCs w:val="24"/>
        </w:rPr>
        <w:t>z</w:t>
      </w:r>
      <w:r w:rsidRPr="00EA0DC7">
        <w:rPr>
          <w:rFonts w:cs="Arial"/>
          <w:szCs w:val="24"/>
        </w:rPr>
        <w:t xml:space="preserve"> = 1.</w:t>
      </w:r>
      <w:r>
        <w:rPr>
          <w:rFonts w:cs="Arial"/>
          <w:szCs w:val="24"/>
        </w:rPr>
        <w:t>60</w:t>
      </w:r>
      <w:r w:rsidRPr="00EA0DC7">
        <w:rPr>
          <w:rFonts w:cs="Arial"/>
          <w:szCs w:val="24"/>
        </w:rPr>
        <w:t xml:space="preserve">, </w:t>
      </w:r>
      <w:r w:rsidRPr="00EA0DC7">
        <w:rPr>
          <w:rFonts w:cs="Arial"/>
          <w:i/>
          <w:szCs w:val="24"/>
        </w:rPr>
        <w:t>p</w:t>
      </w:r>
      <w:r w:rsidRPr="00EA0DC7">
        <w:rPr>
          <w:rFonts w:cs="Arial"/>
          <w:szCs w:val="24"/>
        </w:rPr>
        <w:t xml:space="preserve"> = .1</w:t>
      </w:r>
      <w:r>
        <w:rPr>
          <w:rFonts w:cs="Arial"/>
          <w:szCs w:val="24"/>
        </w:rPr>
        <w:t>10</w:t>
      </w:r>
      <w:r w:rsidRPr="00EA0DC7">
        <w:rPr>
          <w:rFonts w:cs="Arial"/>
          <w:szCs w:val="24"/>
        </w:rPr>
        <w:t>). Tests of heterogeneity indicated a high level of between-study variability (</w:t>
      </w:r>
      <w:r w:rsidRPr="00EA0DC7">
        <w:rPr>
          <w:rFonts w:cs="Arial"/>
          <w:i/>
          <w:szCs w:val="24"/>
        </w:rPr>
        <w:t>I</w:t>
      </w:r>
      <w:r w:rsidRPr="00EA0DC7">
        <w:rPr>
          <w:rFonts w:cs="Arial"/>
          <w:szCs w:val="24"/>
          <w:vertAlign w:val="superscript"/>
        </w:rPr>
        <w:t xml:space="preserve">2 </w:t>
      </w:r>
      <w:r w:rsidRPr="00EA0DC7">
        <w:rPr>
          <w:rFonts w:cs="Arial"/>
          <w:szCs w:val="24"/>
        </w:rPr>
        <w:t>= 8</w:t>
      </w:r>
      <w:r>
        <w:rPr>
          <w:rFonts w:cs="Arial"/>
          <w:szCs w:val="24"/>
        </w:rPr>
        <w:t>5.82</w:t>
      </w:r>
      <w:r w:rsidRPr="00EA0DC7">
        <w:rPr>
          <w:rFonts w:cs="Arial"/>
          <w:szCs w:val="24"/>
        </w:rPr>
        <w:t xml:space="preserve">%, </w:t>
      </w:r>
      <w:r w:rsidRPr="00EA0DC7">
        <w:rPr>
          <w:rFonts w:cs="Arial"/>
          <w:i/>
          <w:szCs w:val="24"/>
        </w:rPr>
        <w:t>Q</w:t>
      </w:r>
      <w:r w:rsidRPr="00EA0DC7">
        <w:rPr>
          <w:rFonts w:cs="Arial"/>
          <w:szCs w:val="24"/>
        </w:rPr>
        <w:t xml:space="preserve"> = </w:t>
      </w:r>
      <w:r>
        <w:rPr>
          <w:rFonts w:cs="Arial"/>
          <w:szCs w:val="24"/>
        </w:rPr>
        <w:t>49.36</w:t>
      </w:r>
      <w:r w:rsidRPr="00EA0DC7">
        <w:rPr>
          <w:rFonts w:cs="Arial"/>
          <w:szCs w:val="24"/>
        </w:rPr>
        <w:t>,</w:t>
      </w:r>
      <w:r w:rsidRPr="00EA0DC7">
        <w:rPr>
          <w:rFonts w:cs="Arial"/>
          <w:i/>
          <w:szCs w:val="24"/>
        </w:rPr>
        <w:t xml:space="preserve"> p</w:t>
      </w:r>
      <w:r w:rsidRPr="00EA0DC7">
        <w:rPr>
          <w:rFonts w:cs="Arial"/>
          <w:szCs w:val="24"/>
        </w:rPr>
        <w:t xml:space="preserve"> &lt; .01). Therefore, subgroup and moderator analyses were conducted. </w:t>
      </w:r>
    </w:p>
    <w:p w14:paraId="0D808E85" w14:textId="77777777" w:rsidR="00144D1E" w:rsidRPr="00EA0DC7" w:rsidRDefault="00144D1E" w:rsidP="00144D1E">
      <w:pPr>
        <w:spacing w:after="0" w:line="240" w:lineRule="auto"/>
        <w:jc w:val="center"/>
        <w:rPr>
          <w:rFonts w:cs="Arial"/>
          <w:szCs w:val="24"/>
        </w:rPr>
      </w:pPr>
    </w:p>
    <w:p w14:paraId="17E83DCA" w14:textId="77777777" w:rsidR="00144D1E" w:rsidRDefault="00144D1E" w:rsidP="00144D1E">
      <w:pPr>
        <w:pStyle w:val="Captions"/>
        <w:spacing w:before="240"/>
        <w:jc w:val="center"/>
      </w:pPr>
      <w:r>
        <w:rPr>
          <w:noProof/>
        </w:rPr>
        <w:lastRenderedPageBreak/>
        <w:drawing>
          <wp:inline distT="0" distB="0" distL="0" distR="0" wp14:anchorId="3EDCA620" wp14:editId="661A5EEE">
            <wp:extent cx="4993419" cy="5628640"/>
            <wp:effectExtent l="0" t="0" r="17145" b="10160"/>
            <wp:docPr id="265" name="Chart 26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972E12" w14:textId="792D66A3" w:rsidR="00144D1E" w:rsidRPr="00EA0DC7" w:rsidRDefault="00144D1E" w:rsidP="00144D1E">
      <w:pPr>
        <w:pStyle w:val="Captions"/>
        <w:spacing w:before="240"/>
        <w:jc w:val="center"/>
      </w:pPr>
      <w:bookmarkStart w:id="117" w:name="_Toc47039910"/>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2</w:t>
      </w:r>
      <w:r w:rsidR="004F2FDB">
        <w:rPr>
          <w:noProof/>
        </w:rPr>
        <w:fldChar w:fldCharType="end"/>
      </w:r>
      <w:r w:rsidRPr="00EA0DC7">
        <w:t>. Forest plot for patient effect sizes.</w:t>
      </w:r>
      <w:bookmarkEnd w:id="117"/>
    </w:p>
    <w:p w14:paraId="19CF5184" w14:textId="77777777" w:rsidR="00144D1E" w:rsidRPr="00EA0DC7" w:rsidRDefault="00144D1E" w:rsidP="00144D1E">
      <w:pPr>
        <w:pStyle w:val="Captions"/>
      </w:pPr>
    </w:p>
    <w:p w14:paraId="4176FAC9" w14:textId="77777777" w:rsidR="00144D1E" w:rsidRPr="00EA0DC7" w:rsidRDefault="00144D1E" w:rsidP="00144D1E">
      <w:pPr>
        <w:pStyle w:val="Heading4"/>
        <w:numPr>
          <w:ilvl w:val="3"/>
          <w:numId w:val="45"/>
        </w:numPr>
      </w:pPr>
      <w:r w:rsidRPr="00EA0DC7">
        <w:t>3.3.3.1 Subgroup and moderator analyses</w:t>
      </w:r>
    </w:p>
    <w:p w14:paraId="0C7FD5F4" w14:textId="77777777" w:rsidR="00144D1E" w:rsidRPr="00EA0DC7" w:rsidRDefault="00144D1E" w:rsidP="00144D1E">
      <w:pPr>
        <w:ind w:firstLine="720"/>
        <w:rPr>
          <w:rFonts w:cs="Arial"/>
          <w:szCs w:val="24"/>
        </w:rPr>
      </w:pPr>
      <w:r w:rsidRPr="00EA0DC7">
        <w:rPr>
          <w:rFonts w:cs="Arial"/>
          <w:szCs w:val="24"/>
        </w:rPr>
        <w:t xml:space="preserve"> A number of subgroup analyses were carried out (see Table 3.3). Effect sizes were moderated by Quality Index (QI) score (</w:t>
      </w:r>
      <w:r w:rsidRPr="00EA0DC7">
        <w:rPr>
          <w:rFonts w:cs="Arial"/>
          <w:i/>
          <w:szCs w:val="24"/>
        </w:rPr>
        <w:t>B</w:t>
      </w:r>
      <w:r w:rsidRPr="00EA0DC7">
        <w:rPr>
          <w:rFonts w:cs="Arial"/>
          <w:szCs w:val="24"/>
        </w:rPr>
        <w:t xml:space="preserve"> = 0.</w:t>
      </w:r>
      <w:r>
        <w:rPr>
          <w:rFonts w:cs="Arial"/>
          <w:szCs w:val="24"/>
        </w:rPr>
        <w:t>07</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1.99</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047</w:t>
      </w:r>
      <w:r w:rsidRPr="00EA0DC7">
        <w:rPr>
          <w:rFonts w:cs="Arial"/>
          <w:szCs w:val="24"/>
        </w:rPr>
        <w:t xml:space="preserve">), such that studies with greater effect sizes had a higher quality rating (see Figure 3.3a). Six of the eight studies provided information regarding the frequency of supervision and these were used in a moderator analysis. The number of supervision sessions per week was found to moderate effect sizes </w:t>
      </w:r>
      <w:r w:rsidRPr="00EA0DC7">
        <w:rPr>
          <w:rFonts w:cs="Arial"/>
          <w:szCs w:val="24"/>
        </w:rPr>
        <w:lastRenderedPageBreak/>
        <w:t>(</w:t>
      </w:r>
      <w:r w:rsidRPr="00EA0DC7">
        <w:rPr>
          <w:rFonts w:cs="Arial"/>
          <w:i/>
          <w:szCs w:val="24"/>
        </w:rPr>
        <w:t>B</w:t>
      </w:r>
      <w:r w:rsidRPr="00EA0DC7">
        <w:rPr>
          <w:rFonts w:cs="Arial"/>
          <w:szCs w:val="24"/>
        </w:rPr>
        <w:t xml:space="preserve"> = -0.</w:t>
      </w:r>
      <w:r>
        <w:rPr>
          <w:rFonts w:cs="Arial"/>
          <w:szCs w:val="24"/>
        </w:rPr>
        <w:t>42</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3.12</w:t>
      </w:r>
      <w:r w:rsidRPr="00EA0DC7">
        <w:rPr>
          <w:rFonts w:cs="Arial"/>
          <w:szCs w:val="24"/>
        </w:rPr>
        <w:t xml:space="preserve">, </w:t>
      </w:r>
      <w:r w:rsidRPr="00EA0DC7">
        <w:rPr>
          <w:rFonts w:cs="Arial"/>
          <w:i/>
          <w:szCs w:val="24"/>
        </w:rPr>
        <w:t>p</w:t>
      </w:r>
      <w:r w:rsidRPr="00EA0DC7">
        <w:rPr>
          <w:rFonts w:cs="Arial"/>
          <w:szCs w:val="24"/>
        </w:rPr>
        <w:t xml:space="preserve"> = .0</w:t>
      </w:r>
      <w:r>
        <w:rPr>
          <w:rFonts w:cs="Arial"/>
          <w:szCs w:val="24"/>
        </w:rPr>
        <w:t>02</w:t>
      </w:r>
      <w:r w:rsidRPr="00EA0DC7">
        <w:rPr>
          <w:rFonts w:cs="Arial"/>
          <w:szCs w:val="24"/>
        </w:rPr>
        <w:t>). Smaller effect sizes were found in studies with a higher number of supervision sessions per week (see Figure 3.3b). Effect sizes were not moderated by publication year (</w:t>
      </w:r>
      <w:r w:rsidRPr="00EA0DC7">
        <w:rPr>
          <w:rFonts w:cs="Arial"/>
          <w:i/>
          <w:szCs w:val="24"/>
        </w:rPr>
        <w:t>B</w:t>
      </w:r>
      <w:r w:rsidRPr="00EA0DC7">
        <w:rPr>
          <w:rFonts w:cs="Arial"/>
          <w:szCs w:val="24"/>
        </w:rPr>
        <w:t xml:space="preserve"> = </w:t>
      </w:r>
      <w:r>
        <w:rPr>
          <w:rFonts w:cs="Arial"/>
          <w:szCs w:val="24"/>
        </w:rPr>
        <w:t>0.00</w:t>
      </w:r>
      <w:r w:rsidRPr="00EA0DC7">
        <w:rPr>
          <w:rFonts w:cs="Arial"/>
          <w:szCs w:val="24"/>
        </w:rPr>
        <w:t xml:space="preserve">, </w:t>
      </w:r>
      <w:r w:rsidRPr="00EA0DC7">
        <w:rPr>
          <w:rFonts w:cs="Arial"/>
          <w:i/>
          <w:szCs w:val="24"/>
        </w:rPr>
        <w:t>z</w:t>
      </w:r>
      <w:r w:rsidRPr="00EA0DC7">
        <w:rPr>
          <w:rFonts w:cs="Arial"/>
          <w:szCs w:val="24"/>
        </w:rPr>
        <w:t xml:space="preserve"> = -0.</w:t>
      </w:r>
      <w:r>
        <w:rPr>
          <w:rFonts w:cs="Arial"/>
          <w:szCs w:val="24"/>
        </w:rPr>
        <w:t>23</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817</w:t>
      </w:r>
      <w:r w:rsidRPr="00EA0DC7">
        <w:rPr>
          <w:rFonts w:cs="Arial"/>
          <w:szCs w:val="24"/>
        </w:rPr>
        <w:t>). Both the subgroup and moderator analyses should be interpreted with caution, due to the small number of studies.</w:t>
      </w:r>
    </w:p>
    <w:p w14:paraId="1F3F9875" w14:textId="77777777" w:rsidR="00144D1E" w:rsidRPr="00EA0DC7" w:rsidRDefault="00144D1E" w:rsidP="00144D1E">
      <w:pPr>
        <w:spacing w:line="240" w:lineRule="auto"/>
        <w:rPr>
          <w:rFonts w:cs="Arial"/>
          <w:szCs w:val="24"/>
        </w:rPr>
      </w:pPr>
    </w:p>
    <w:p w14:paraId="4032DC6D" w14:textId="77777777" w:rsidR="00144D1E" w:rsidRDefault="00144D1E" w:rsidP="00144D1E">
      <w:pPr>
        <w:spacing w:line="240" w:lineRule="auto"/>
      </w:pPr>
      <w:r w:rsidRPr="00EA0DC7">
        <w:rPr>
          <w:noProof/>
        </w:rPr>
        <mc:AlternateContent>
          <mc:Choice Requires="wps">
            <w:drawing>
              <wp:anchor distT="0" distB="0" distL="114300" distR="114300" simplePos="0" relativeHeight="251685888" behindDoc="0" locked="0" layoutInCell="1" allowOverlap="1" wp14:anchorId="2BE3019E" wp14:editId="6E47AD70">
                <wp:simplePos x="0" y="0"/>
                <wp:positionH relativeFrom="column">
                  <wp:posOffset>2729850</wp:posOffset>
                </wp:positionH>
                <wp:positionV relativeFrom="paragraph">
                  <wp:posOffset>331000</wp:posOffset>
                </wp:positionV>
                <wp:extent cx="476250" cy="314325"/>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476250" cy="314325"/>
                        </a:xfrm>
                        <a:prstGeom prst="rect">
                          <a:avLst/>
                        </a:prstGeom>
                        <a:noFill/>
                        <a:ln w="6350">
                          <a:noFill/>
                        </a:ln>
                      </wps:spPr>
                      <wps:txbx>
                        <w:txbxContent>
                          <w:p w14:paraId="3584694D" w14:textId="77777777" w:rsidR="006407EE" w:rsidRPr="00B94513" w:rsidRDefault="006407EE" w:rsidP="00144D1E">
                            <w:pPr>
                              <w:rPr>
                                <w:b/>
                              </w:rPr>
                            </w:pPr>
                            <w:r w:rsidRPr="00B94513">
                              <w:rPr>
                                <w:b/>
                              </w:rPr>
                              <w:t>(</w:t>
                            </w:r>
                            <w:r>
                              <w:rPr>
                                <w:b/>
                              </w:rPr>
                              <w:t>b</w:t>
                            </w:r>
                            <w:r w:rsidRPr="00B94513">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019E" id="Text Box 252" o:spid="_x0000_s1062" type="#_x0000_t202" style="position:absolute;left:0;text-align:left;margin-left:214.95pt;margin-top:26.05pt;width:3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" filled="f" stroked="f" strokeweight=".5pt">
                <v:textbox>
                  <w:txbxContent>
                    <w:p w14:paraId="3584694D" w14:textId="77777777" w:rsidR="006407EE" w:rsidRPr="00B94513" w:rsidRDefault="006407EE" w:rsidP="00144D1E">
                      <w:pPr>
                        <w:rPr>
                          <w:b/>
                        </w:rPr>
                      </w:pPr>
                      <w:r w:rsidRPr="00B94513">
                        <w:rPr>
                          <w:b/>
                        </w:rPr>
                        <w:t>(</w:t>
                      </w:r>
                      <w:r>
                        <w:rPr>
                          <w:b/>
                        </w:rPr>
                        <w:t>b</w:t>
                      </w:r>
                      <w:r w:rsidRPr="00B94513">
                        <w:rPr>
                          <w:b/>
                        </w:rPr>
                        <w:t>)</w:t>
                      </w:r>
                    </w:p>
                  </w:txbxContent>
                </v:textbox>
              </v:shape>
            </w:pict>
          </mc:Fallback>
        </mc:AlternateContent>
      </w:r>
      <w:r>
        <w:rPr>
          <w:noProof/>
        </w:rPr>
        <mc:AlternateContent>
          <mc:Choice Requires="wpg">
            <w:drawing>
              <wp:anchor distT="0" distB="0" distL="114300" distR="114300" simplePos="0" relativeHeight="251684864" behindDoc="0" locked="0" layoutInCell="1" allowOverlap="1" wp14:anchorId="2E1EB830" wp14:editId="5BB193CB">
                <wp:simplePos x="0" y="0"/>
                <wp:positionH relativeFrom="column">
                  <wp:posOffset>0</wp:posOffset>
                </wp:positionH>
                <wp:positionV relativeFrom="paragraph">
                  <wp:posOffset>332105</wp:posOffset>
                </wp:positionV>
                <wp:extent cx="5485292" cy="3019425"/>
                <wp:effectExtent l="0" t="0" r="1270" b="9525"/>
                <wp:wrapTight wrapText="bothSides">
                  <wp:wrapPolygon edited="0">
                    <wp:start x="0" y="0"/>
                    <wp:lineTo x="0" y="21532"/>
                    <wp:lineTo x="21530" y="21532"/>
                    <wp:lineTo x="21530" y="0"/>
                    <wp:lineTo x="0" y="0"/>
                  </wp:wrapPolygon>
                </wp:wrapTight>
                <wp:docPr id="253" name="Group 253"/>
                <wp:cNvGraphicFramePr/>
                <a:graphic xmlns:a="http://schemas.openxmlformats.org/drawingml/2006/main">
                  <a:graphicData uri="http://schemas.microsoft.com/office/word/2010/wordprocessingGroup">
                    <wpg:wgp>
                      <wpg:cNvGrpSpPr/>
                      <wpg:grpSpPr>
                        <a:xfrm>
                          <a:off x="0" y="0"/>
                          <a:ext cx="5485292" cy="3019425"/>
                          <a:chOff x="0" y="0"/>
                          <a:chExt cx="5485292" cy="3019425"/>
                        </a:xfrm>
                      </wpg:grpSpPr>
                      <wpg:graphicFrame>
                        <wpg:cNvPr id="254" name="Chart 254">
                          <a:extLst>
                            <a:ext uri="{FF2B5EF4-FFF2-40B4-BE49-F238E27FC236}">
                              <a16:creationId xmlns:a16="http://schemas.microsoft.com/office/drawing/2014/main" id="{00000000-0008-0000-0300-000002000000}"/>
                            </a:ext>
                          </a:extLst>
                        </wpg:cNvPr>
                        <wpg:cNvFrPr/>
                        <wpg:xfrm>
                          <a:off x="2732567" y="0"/>
                          <a:ext cx="2752725" cy="301942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255" name="Chart 255">
                          <a:extLst>
                            <a:ext uri="{FF2B5EF4-FFF2-40B4-BE49-F238E27FC236}">
                              <a16:creationId xmlns:a16="http://schemas.microsoft.com/office/drawing/2014/main" id="{00000000-0008-0000-0300-000002000000}"/>
                            </a:ext>
                          </a:extLst>
                        </wpg:cNvPr>
                        <wpg:cNvFrPr/>
                        <wpg:xfrm>
                          <a:off x="0" y="0"/>
                          <a:ext cx="2732405" cy="3019425"/>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anchor>
            </w:drawing>
          </mc:Choice>
          <mc:Fallback>
            <w:pict>
              <v:group w14:anchorId="33E8A3C4" id="Group 253" o:spid="_x0000_s1026" style="position:absolute;margin-left:0;margin-top:26.15pt;width:431.9pt;height:237.75pt;z-index:251684864" coordsize="54852,30194" o:gfxdata="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54" o:spid="_x0000_s1027" type="#_x0000_t75" style="position:absolute;left:27249;top:-60;width:27675;height:30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">
                  <v:imagedata r:id="rId21" o:title=""/>
                  <o:lock v:ext="edit" aspectratio="f"/>
                </v:shape>
                <v:shape id="Chart 255" o:spid="_x0000_s1028" type="#_x0000_t75" style="position:absolute;left:-60;top:-60;width:27431;height:30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">
                  <v:imagedata r:id="rId22" o:title=""/>
                  <o:lock v:ext="edit" aspectratio="f"/>
                </v:shape>
                <w10:wrap type="tight"/>
              </v:group>
            </w:pict>
          </mc:Fallback>
        </mc:AlternateContent>
      </w:r>
    </w:p>
    <w:p w14:paraId="7A3F0CE6" w14:textId="59F33955" w:rsidR="00144D1E" w:rsidRDefault="00144D1E" w:rsidP="00144D1E">
      <w:pPr>
        <w:pStyle w:val="Captions"/>
        <w:spacing w:before="240"/>
        <w:jc w:val="center"/>
        <w:rPr>
          <w:rStyle w:val="CaptionsChar"/>
        </w:rPr>
      </w:pPr>
      <w:bookmarkStart w:id="118" w:name="_Toc47039911"/>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3</w:t>
      </w:r>
      <w:r w:rsidR="004F2FDB">
        <w:rPr>
          <w:noProof/>
        </w:rPr>
        <w:fldChar w:fldCharType="end"/>
      </w:r>
      <w:r w:rsidRPr="00EA0DC7">
        <w:t xml:space="preserve">. </w:t>
      </w:r>
      <w:r w:rsidRPr="00EA0DC7">
        <w:rPr>
          <w:rStyle w:val="CaptionsChar"/>
        </w:rPr>
        <w:t>Study effect sizes moderated by (a) Quality Index score and (b) the number of supervision sessions per week.</w:t>
      </w:r>
      <w:bookmarkEnd w:id="118"/>
    </w:p>
    <w:p w14:paraId="258C0C79" w14:textId="77777777" w:rsidR="00216A42" w:rsidRDefault="00216A42" w:rsidP="00216A42">
      <w:pPr>
        <w:pStyle w:val="Captions"/>
      </w:pPr>
      <w:bookmarkStart w:id="119" w:name="_Toc47039925"/>
    </w:p>
    <w:p w14:paraId="332E9736" w14:textId="77777777" w:rsidR="00216A42" w:rsidRDefault="00216A42" w:rsidP="00216A42">
      <w:pPr>
        <w:pStyle w:val="Captions"/>
      </w:pPr>
    </w:p>
    <w:p w14:paraId="4875A74F" w14:textId="77777777" w:rsidR="00216A42" w:rsidRDefault="00216A42" w:rsidP="00216A42">
      <w:pPr>
        <w:pStyle w:val="Captions"/>
      </w:pPr>
    </w:p>
    <w:p w14:paraId="03E766BE" w14:textId="77777777" w:rsidR="00216A42" w:rsidRDefault="00216A42" w:rsidP="00216A42">
      <w:pPr>
        <w:pStyle w:val="Captions"/>
      </w:pPr>
    </w:p>
    <w:p w14:paraId="182E581A" w14:textId="77777777" w:rsidR="00216A42" w:rsidRDefault="00216A42" w:rsidP="00216A42">
      <w:pPr>
        <w:pStyle w:val="Captions"/>
      </w:pPr>
    </w:p>
    <w:p w14:paraId="584BEE2D" w14:textId="77777777" w:rsidR="00216A42" w:rsidRDefault="00216A42" w:rsidP="00216A42">
      <w:pPr>
        <w:pStyle w:val="Captions"/>
      </w:pPr>
    </w:p>
    <w:p w14:paraId="3065660E" w14:textId="77777777" w:rsidR="00216A42" w:rsidRDefault="00216A42" w:rsidP="00216A42">
      <w:pPr>
        <w:pStyle w:val="Captions"/>
      </w:pPr>
    </w:p>
    <w:p w14:paraId="0AFE10B4" w14:textId="77777777" w:rsidR="00216A42" w:rsidRDefault="00216A42" w:rsidP="00216A42">
      <w:pPr>
        <w:pStyle w:val="Captions"/>
      </w:pPr>
    </w:p>
    <w:p w14:paraId="67817893" w14:textId="77777777" w:rsidR="00216A42" w:rsidRDefault="00216A42" w:rsidP="00216A42">
      <w:pPr>
        <w:pStyle w:val="Captions"/>
      </w:pPr>
    </w:p>
    <w:p w14:paraId="2D760055" w14:textId="4686BC3D" w:rsidR="00216A42" w:rsidRPr="00EA0DC7" w:rsidRDefault="00216A42" w:rsidP="00216A42">
      <w:pPr>
        <w:pStyle w:val="Captions"/>
        <w:rPr>
          <w:rFonts w:cs="Arial"/>
          <w:szCs w:val="24"/>
        </w:rPr>
      </w:pPr>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3</w:t>
      </w:r>
      <w:r w:rsidR="004F2FDB">
        <w:rPr>
          <w:noProof/>
        </w:rPr>
        <w:fldChar w:fldCharType="end"/>
      </w:r>
      <w:r w:rsidRPr="00EA0DC7">
        <w:t>. Subgroup analyses for studies investigating patient effects.</w:t>
      </w:r>
      <w:bookmarkEnd w:id="119"/>
    </w:p>
    <w:tbl>
      <w:tblPr>
        <w:tblStyle w:val="PlainTable21"/>
        <w:tblW w:w="8359" w:type="dxa"/>
        <w:tblLayout w:type="fixed"/>
        <w:tblLook w:val="04A0" w:firstRow="1" w:lastRow="0" w:firstColumn="1" w:lastColumn="0" w:noHBand="0" w:noVBand="1"/>
      </w:tblPr>
      <w:tblGrid>
        <w:gridCol w:w="2127"/>
        <w:gridCol w:w="302"/>
        <w:gridCol w:w="2107"/>
        <w:gridCol w:w="1159"/>
        <w:gridCol w:w="1033"/>
        <w:gridCol w:w="1631"/>
      </w:tblGrid>
      <w:tr w:rsidR="00216A42" w:rsidRPr="00EA0DC7" w14:paraId="2DA31006" w14:textId="77777777" w:rsidTr="004C5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2F78EED" w14:textId="77777777" w:rsidR="00216A42" w:rsidRPr="00EA0DC7" w:rsidRDefault="00216A42" w:rsidP="004C54F0">
            <w:pPr>
              <w:spacing w:before="240"/>
              <w:jc w:val="center"/>
              <w:rPr>
                <w:rFonts w:cs="Arial"/>
                <w:szCs w:val="24"/>
              </w:rPr>
            </w:pPr>
            <w:r w:rsidRPr="00EA0DC7">
              <w:rPr>
                <w:rFonts w:cs="Arial"/>
                <w:szCs w:val="24"/>
              </w:rPr>
              <w:t>Subgroup</w:t>
            </w:r>
          </w:p>
        </w:tc>
        <w:tc>
          <w:tcPr>
            <w:tcW w:w="302" w:type="dxa"/>
          </w:tcPr>
          <w:p w14:paraId="0E32EFF8" w14:textId="77777777" w:rsidR="00216A42" w:rsidRPr="00EA0DC7" w:rsidRDefault="00216A42" w:rsidP="004C54F0">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rPr>
            </w:pPr>
            <w:r w:rsidRPr="00EA0DC7">
              <w:rPr>
                <w:rFonts w:cs="Arial"/>
                <w:i/>
                <w:szCs w:val="24"/>
              </w:rPr>
              <w:t>n</w:t>
            </w:r>
          </w:p>
        </w:tc>
        <w:tc>
          <w:tcPr>
            <w:tcW w:w="2107" w:type="dxa"/>
          </w:tcPr>
          <w:p w14:paraId="532CB6B6" w14:textId="77777777" w:rsidR="00216A42" w:rsidRPr="00EA0DC7" w:rsidRDefault="00216A42" w:rsidP="004C54F0">
            <w:pPr>
              <w:spacing w:before="24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A0DC7">
              <w:rPr>
                <w:rFonts w:cs="Arial"/>
                <w:szCs w:val="24"/>
              </w:rPr>
              <w:t xml:space="preserve">Hedges’ </w:t>
            </w:r>
            <w:r w:rsidRPr="00EA0DC7">
              <w:rPr>
                <w:rFonts w:cs="Arial"/>
                <w:i/>
                <w:szCs w:val="24"/>
              </w:rPr>
              <w:t>g</w:t>
            </w:r>
            <w:r w:rsidRPr="00EA0DC7">
              <w:rPr>
                <w:rFonts w:cs="Arial"/>
                <w:szCs w:val="24"/>
              </w:rPr>
              <w:t xml:space="preserve"> [95% CI]</w:t>
            </w:r>
          </w:p>
        </w:tc>
        <w:tc>
          <w:tcPr>
            <w:tcW w:w="1159" w:type="dxa"/>
          </w:tcPr>
          <w:p w14:paraId="756A581A" w14:textId="77777777" w:rsidR="00216A42" w:rsidRPr="00EA0DC7" w:rsidRDefault="00216A42" w:rsidP="004C54F0">
            <w:pPr>
              <w:spacing w:before="24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A0DC7">
              <w:rPr>
                <w:rFonts w:cs="Arial"/>
                <w:szCs w:val="24"/>
              </w:rPr>
              <w:t>Q</w:t>
            </w:r>
          </w:p>
        </w:tc>
        <w:tc>
          <w:tcPr>
            <w:tcW w:w="1033" w:type="dxa"/>
          </w:tcPr>
          <w:p w14:paraId="0BC2E48B" w14:textId="77777777" w:rsidR="00216A42" w:rsidRPr="00EA0DC7" w:rsidRDefault="00216A42" w:rsidP="004C54F0">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vertAlign w:val="subscript"/>
              </w:rPr>
            </w:pPr>
            <w:r w:rsidRPr="00EA0DC7">
              <w:rPr>
                <w:rFonts w:cs="Arial"/>
                <w:i/>
                <w:szCs w:val="24"/>
              </w:rPr>
              <w:t>P</w:t>
            </w:r>
            <w:r w:rsidRPr="00EA0DC7">
              <w:rPr>
                <w:rFonts w:cs="Arial"/>
                <w:i/>
                <w:szCs w:val="24"/>
                <w:vertAlign w:val="subscript"/>
              </w:rPr>
              <w:t>Q</w:t>
            </w:r>
          </w:p>
        </w:tc>
        <w:tc>
          <w:tcPr>
            <w:tcW w:w="1631" w:type="dxa"/>
          </w:tcPr>
          <w:p w14:paraId="4EC66F27" w14:textId="77777777" w:rsidR="00216A42" w:rsidRPr="00EA0DC7" w:rsidRDefault="00216A42" w:rsidP="004C54F0">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vertAlign w:val="superscript"/>
              </w:rPr>
            </w:pPr>
            <w:r w:rsidRPr="00EA0DC7">
              <w:rPr>
                <w:rFonts w:cs="Arial"/>
                <w:i/>
                <w:szCs w:val="24"/>
              </w:rPr>
              <w:t>I</w:t>
            </w:r>
            <w:r w:rsidRPr="00EA0DC7">
              <w:rPr>
                <w:rFonts w:cs="Arial"/>
                <w:i/>
                <w:szCs w:val="24"/>
                <w:vertAlign w:val="superscript"/>
              </w:rPr>
              <w:t>2</w:t>
            </w:r>
          </w:p>
        </w:tc>
      </w:tr>
      <w:tr w:rsidR="00216A42" w:rsidRPr="00EA0DC7" w14:paraId="53DB8044" w14:textId="77777777" w:rsidTr="004C54F0">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63AA7C63" w14:textId="77777777" w:rsidR="00216A42" w:rsidRPr="00EA0DC7" w:rsidRDefault="00216A42" w:rsidP="004C54F0">
            <w:pPr>
              <w:jc w:val="left"/>
              <w:rPr>
                <w:rFonts w:cs="Arial"/>
                <w:b w:val="0"/>
                <w:i/>
                <w:szCs w:val="24"/>
              </w:rPr>
            </w:pPr>
            <w:r w:rsidRPr="00EA0DC7">
              <w:rPr>
                <w:rFonts w:cs="Arial"/>
                <w:b w:val="0"/>
                <w:i/>
                <w:szCs w:val="24"/>
              </w:rPr>
              <w:t>Study design</w:t>
            </w:r>
          </w:p>
        </w:tc>
        <w:tc>
          <w:tcPr>
            <w:tcW w:w="302" w:type="dxa"/>
            <w:tcBorders>
              <w:bottom w:val="nil"/>
            </w:tcBorders>
          </w:tcPr>
          <w:p w14:paraId="1E72C360" w14:textId="77777777" w:rsidR="00216A42" w:rsidRPr="00EA0DC7" w:rsidRDefault="00216A42" w:rsidP="004C54F0">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2107" w:type="dxa"/>
            <w:tcBorders>
              <w:bottom w:val="nil"/>
            </w:tcBorders>
          </w:tcPr>
          <w:p w14:paraId="33BDF272" w14:textId="77777777" w:rsidR="00216A42" w:rsidRPr="00EA0DC7" w:rsidRDefault="00216A42" w:rsidP="004C54F0">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1159" w:type="dxa"/>
            <w:tcBorders>
              <w:bottom w:val="nil"/>
            </w:tcBorders>
          </w:tcPr>
          <w:p w14:paraId="190ADE93" w14:textId="77777777" w:rsidR="00216A42" w:rsidRPr="00EA0DC7" w:rsidRDefault="00216A42" w:rsidP="004C54F0">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1033" w:type="dxa"/>
            <w:tcBorders>
              <w:bottom w:val="nil"/>
            </w:tcBorders>
          </w:tcPr>
          <w:p w14:paraId="51097B1A" w14:textId="77777777" w:rsidR="00216A42" w:rsidRPr="00EA0DC7" w:rsidRDefault="00216A42" w:rsidP="004C54F0">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1631" w:type="dxa"/>
            <w:tcBorders>
              <w:bottom w:val="nil"/>
            </w:tcBorders>
          </w:tcPr>
          <w:p w14:paraId="73C47C25" w14:textId="77777777" w:rsidR="00216A42" w:rsidRPr="00EA0DC7" w:rsidRDefault="00216A42" w:rsidP="004C54F0">
            <w:pPr>
              <w:jc w:val="left"/>
              <w:cnfStyle w:val="000000100000" w:firstRow="0" w:lastRow="0" w:firstColumn="0" w:lastColumn="0" w:oddVBand="0" w:evenVBand="0" w:oddHBand="1" w:evenHBand="0" w:firstRowFirstColumn="0" w:firstRowLastColumn="0" w:lastRowFirstColumn="0" w:lastRowLastColumn="0"/>
              <w:rPr>
                <w:rFonts w:cs="Arial"/>
                <w:szCs w:val="24"/>
              </w:rPr>
            </w:pPr>
          </w:p>
        </w:tc>
      </w:tr>
      <w:tr w:rsidR="00216A42" w:rsidRPr="00EA0DC7" w14:paraId="3E398916"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26D48F0A" w14:textId="77777777" w:rsidR="00216A42" w:rsidRPr="00EA0DC7" w:rsidRDefault="00216A42" w:rsidP="004C54F0">
            <w:pPr>
              <w:jc w:val="left"/>
              <w:rPr>
                <w:rFonts w:cs="Arial"/>
                <w:b w:val="0"/>
                <w:szCs w:val="24"/>
              </w:rPr>
            </w:pPr>
            <w:r w:rsidRPr="00EA0DC7">
              <w:rPr>
                <w:rFonts w:cs="Arial"/>
                <w:b w:val="0"/>
                <w:szCs w:val="24"/>
              </w:rPr>
              <w:t xml:space="preserve">   Controlled</w:t>
            </w:r>
          </w:p>
        </w:tc>
        <w:tc>
          <w:tcPr>
            <w:tcW w:w="302" w:type="dxa"/>
            <w:tcBorders>
              <w:top w:val="nil"/>
              <w:bottom w:val="nil"/>
            </w:tcBorders>
          </w:tcPr>
          <w:p w14:paraId="43804069"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5</w:t>
            </w:r>
          </w:p>
        </w:tc>
        <w:tc>
          <w:tcPr>
            <w:tcW w:w="2107" w:type="dxa"/>
            <w:tcBorders>
              <w:top w:val="nil"/>
              <w:bottom w:val="nil"/>
            </w:tcBorders>
          </w:tcPr>
          <w:p w14:paraId="2A33C474"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0.3</w:t>
            </w:r>
            <w:r>
              <w:rPr>
                <w:rFonts w:cs="Arial"/>
                <w:szCs w:val="24"/>
              </w:rPr>
              <w:t>6</w:t>
            </w:r>
            <w:r w:rsidRPr="00EA0DC7">
              <w:rPr>
                <w:rFonts w:cs="Arial"/>
                <w:szCs w:val="24"/>
              </w:rPr>
              <w:t xml:space="preserve"> [-0.</w:t>
            </w:r>
            <w:r>
              <w:rPr>
                <w:rFonts w:cs="Arial"/>
                <w:szCs w:val="24"/>
              </w:rPr>
              <w:t>24</w:t>
            </w:r>
            <w:r w:rsidRPr="00EA0DC7">
              <w:rPr>
                <w:rFonts w:cs="Arial"/>
                <w:szCs w:val="24"/>
              </w:rPr>
              <w:t>, 0.9</w:t>
            </w:r>
            <w:r>
              <w:rPr>
                <w:rFonts w:cs="Arial"/>
                <w:szCs w:val="24"/>
              </w:rPr>
              <w:t>6</w:t>
            </w:r>
            <w:r w:rsidRPr="00EA0DC7">
              <w:rPr>
                <w:rFonts w:cs="Arial"/>
                <w:szCs w:val="24"/>
              </w:rPr>
              <w:t>]</w:t>
            </w:r>
          </w:p>
        </w:tc>
        <w:tc>
          <w:tcPr>
            <w:tcW w:w="1159" w:type="dxa"/>
            <w:tcBorders>
              <w:top w:val="nil"/>
              <w:bottom w:val="nil"/>
            </w:tcBorders>
          </w:tcPr>
          <w:p w14:paraId="1F04547C"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33.39</w:t>
            </w:r>
          </w:p>
        </w:tc>
        <w:tc>
          <w:tcPr>
            <w:tcW w:w="1033" w:type="dxa"/>
            <w:tcBorders>
              <w:top w:val="nil"/>
              <w:bottom w:val="nil"/>
            </w:tcBorders>
          </w:tcPr>
          <w:p w14:paraId="0429D152"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&lt; .001</w:t>
            </w:r>
          </w:p>
        </w:tc>
        <w:tc>
          <w:tcPr>
            <w:tcW w:w="1631" w:type="dxa"/>
            <w:tcBorders>
              <w:top w:val="nil"/>
              <w:bottom w:val="nil"/>
            </w:tcBorders>
          </w:tcPr>
          <w:p w14:paraId="534FFA13"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88.70</w:t>
            </w:r>
            <w:r w:rsidRPr="00EA0DC7">
              <w:rPr>
                <w:rFonts w:cs="Arial"/>
                <w:szCs w:val="24"/>
              </w:rPr>
              <w:t>%</w:t>
            </w:r>
          </w:p>
        </w:tc>
      </w:tr>
      <w:tr w:rsidR="00216A42" w:rsidRPr="00EA0DC7" w14:paraId="032BE089"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404CF732" w14:textId="77777777" w:rsidR="00216A42" w:rsidRPr="003F4E71" w:rsidRDefault="00216A42" w:rsidP="004C54F0">
            <w:pPr>
              <w:jc w:val="left"/>
              <w:rPr>
                <w:rFonts w:cs="Arial"/>
                <w:b w:val="0"/>
                <w:i/>
                <w:szCs w:val="24"/>
              </w:rPr>
            </w:pPr>
            <w:r w:rsidRPr="003F4E71">
              <w:rPr>
                <w:rFonts w:cs="Arial"/>
                <w:b w:val="0"/>
                <w:i/>
                <w:szCs w:val="24"/>
              </w:rPr>
              <w:t xml:space="preserve">    Active control</w:t>
            </w:r>
          </w:p>
        </w:tc>
        <w:tc>
          <w:tcPr>
            <w:tcW w:w="302" w:type="dxa"/>
            <w:tcBorders>
              <w:top w:val="nil"/>
              <w:bottom w:val="nil"/>
            </w:tcBorders>
          </w:tcPr>
          <w:p w14:paraId="63B409B6" w14:textId="77777777" w:rsidR="00216A42" w:rsidRPr="003F4E71"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i/>
                <w:szCs w:val="24"/>
              </w:rPr>
            </w:pPr>
            <w:r w:rsidRPr="003F4E71">
              <w:rPr>
                <w:rFonts w:cs="Arial"/>
                <w:i/>
                <w:szCs w:val="24"/>
              </w:rPr>
              <w:t>2</w:t>
            </w:r>
          </w:p>
        </w:tc>
        <w:tc>
          <w:tcPr>
            <w:tcW w:w="2107" w:type="dxa"/>
            <w:tcBorders>
              <w:top w:val="nil"/>
              <w:bottom w:val="nil"/>
            </w:tcBorders>
          </w:tcPr>
          <w:p w14:paraId="0CE56F13" w14:textId="77777777" w:rsidR="00216A42" w:rsidRPr="003F4E71"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i/>
                <w:szCs w:val="24"/>
              </w:rPr>
            </w:pPr>
            <w:r w:rsidRPr="003F4E71">
              <w:rPr>
                <w:rFonts w:cs="Arial"/>
                <w:i/>
                <w:szCs w:val="24"/>
              </w:rPr>
              <w:t>0.38 [-4.12, 4.89]</w:t>
            </w:r>
          </w:p>
        </w:tc>
        <w:tc>
          <w:tcPr>
            <w:tcW w:w="1159" w:type="dxa"/>
            <w:tcBorders>
              <w:top w:val="nil"/>
              <w:bottom w:val="nil"/>
            </w:tcBorders>
          </w:tcPr>
          <w:p w14:paraId="58E2EB37" w14:textId="77777777" w:rsidR="00216A42" w:rsidRPr="003F4E71"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i/>
                <w:szCs w:val="24"/>
              </w:rPr>
            </w:pPr>
            <w:r w:rsidRPr="003F4E71">
              <w:rPr>
                <w:rFonts w:cs="Arial"/>
                <w:i/>
                <w:szCs w:val="24"/>
              </w:rPr>
              <w:t>5.18</w:t>
            </w:r>
          </w:p>
        </w:tc>
        <w:tc>
          <w:tcPr>
            <w:tcW w:w="1033" w:type="dxa"/>
            <w:tcBorders>
              <w:top w:val="nil"/>
              <w:bottom w:val="nil"/>
            </w:tcBorders>
          </w:tcPr>
          <w:p w14:paraId="1466897B" w14:textId="4AA392F6" w:rsidR="00216A42" w:rsidRPr="003F4E71"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i/>
                <w:szCs w:val="24"/>
              </w:rPr>
            </w:pPr>
            <w:r w:rsidRPr="003F4E71">
              <w:rPr>
                <w:rFonts w:cs="Arial"/>
                <w:i/>
                <w:szCs w:val="24"/>
              </w:rPr>
              <w:t>.023</w:t>
            </w:r>
          </w:p>
        </w:tc>
        <w:tc>
          <w:tcPr>
            <w:tcW w:w="1631" w:type="dxa"/>
            <w:tcBorders>
              <w:top w:val="nil"/>
              <w:bottom w:val="nil"/>
            </w:tcBorders>
          </w:tcPr>
          <w:p w14:paraId="3CB4E7C2" w14:textId="77777777" w:rsidR="00216A42" w:rsidRPr="003F4E71"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i/>
                <w:szCs w:val="24"/>
              </w:rPr>
            </w:pPr>
            <w:r w:rsidRPr="003F4E71">
              <w:rPr>
                <w:rFonts w:cs="Arial"/>
                <w:i/>
                <w:szCs w:val="24"/>
              </w:rPr>
              <w:t>80.68%</w:t>
            </w:r>
          </w:p>
        </w:tc>
      </w:tr>
      <w:tr w:rsidR="00216A42" w:rsidRPr="00EA0DC7" w14:paraId="372B9BC4"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4551A031" w14:textId="77777777" w:rsidR="00216A42" w:rsidRPr="003F4E71" w:rsidRDefault="00216A42" w:rsidP="004C54F0">
            <w:pPr>
              <w:jc w:val="left"/>
              <w:rPr>
                <w:rFonts w:cs="Arial"/>
                <w:b w:val="0"/>
                <w:i/>
                <w:szCs w:val="24"/>
              </w:rPr>
            </w:pPr>
            <w:r w:rsidRPr="003F4E71">
              <w:rPr>
                <w:rFonts w:cs="Arial"/>
                <w:b w:val="0"/>
                <w:i/>
                <w:szCs w:val="24"/>
              </w:rPr>
              <w:t xml:space="preserve">    Passive control</w:t>
            </w:r>
          </w:p>
        </w:tc>
        <w:tc>
          <w:tcPr>
            <w:tcW w:w="302" w:type="dxa"/>
            <w:tcBorders>
              <w:top w:val="nil"/>
              <w:bottom w:val="nil"/>
            </w:tcBorders>
          </w:tcPr>
          <w:p w14:paraId="677B4906" w14:textId="77777777" w:rsidR="00216A42" w:rsidRPr="003F4E71"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3F4E71">
              <w:rPr>
                <w:rFonts w:cs="Arial"/>
                <w:i/>
                <w:szCs w:val="24"/>
              </w:rPr>
              <w:t>3</w:t>
            </w:r>
          </w:p>
        </w:tc>
        <w:tc>
          <w:tcPr>
            <w:tcW w:w="2107" w:type="dxa"/>
            <w:tcBorders>
              <w:top w:val="nil"/>
              <w:bottom w:val="nil"/>
            </w:tcBorders>
          </w:tcPr>
          <w:p w14:paraId="7FAD581F" w14:textId="77777777" w:rsidR="00216A42" w:rsidRPr="003F4E71"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3F4E71">
              <w:rPr>
                <w:rFonts w:cs="Arial"/>
                <w:i/>
                <w:szCs w:val="24"/>
              </w:rPr>
              <w:t>0.34 [-1.09, 1.78]</w:t>
            </w:r>
          </w:p>
        </w:tc>
        <w:tc>
          <w:tcPr>
            <w:tcW w:w="1159" w:type="dxa"/>
            <w:tcBorders>
              <w:top w:val="nil"/>
              <w:bottom w:val="nil"/>
            </w:tcBorders>
          </w:tcPr>
          <w:p w14:paraId="381AA183" w14:textId="77777777" w:rsidR="00216A42" w:rsidRPr="003F4E71"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3F4E71">
              <w:rPr>
                <w:rFonts w:cs="Arial"/>
                <w:i/>
                <w:szCs w:val="24"/>
              </w:rPr>
              <w:t>28.64</w:t>
            </w:r>
          </w:p>
        </w:tc>
        <w:tc>
          <w:tcPr>
            <w:tcW w:w="1033" w:type="dxa"/>
            <w:tcBorders>
              <w:top w:val="nil"/>
              <w:bottom w:val="nil"/>
            </w:tcBorders>
          </w:tcPr>
          <w:p w14:paraId="70B2E8FE" w14:textId="77777777" w:rsidR="00216A42" w:rsidRPr="003F4E71"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3F4E71">
              <w:rPr>
                <w:rFonts w:cs="Arial"/>
                <w:i/>
                <w:szCs w:val="24"/>
              </w:rPr>
              <w:t>&lt; .001</w:t>
            </w:r>
          </w:p>
        </w:tc>
        <w:tc>
          <w:tcPr>
            <w:tcW w:w="1631" w:type="dxa"/>
            <w:tcBorders>
              <w:top w:val="nil"/>
              <w:bottom w:val="nil"/>
            </w:tcBorders>
          </w:tcPr>
          <w:p w14:paraId="1AA14047" w14:textId="77777777" w:rsidR="00216A42" w:rsidRPr="003F4E71"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3F4E71">
              <w:rPr>
                <w:rFonts w:cs="Arial"/>
                <w:i/>
                <w:szCs w:val="24"/>
              </w:rPr>
              <w:t>93.02%</w:t>
            </w:r>
          </w:p>
        </w:tc>
      </w:tr>
      <w:tr w:rsidR="00216A42" w:rsidRPr="00EA0DC7" w14:paraId="1B5E6874"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F037BFB" w14:textId="77777777" w:rsidR="00216A42" w:rsidRPr="00EA0DC7" w:rsidRDefault="00216A42" w:rsidP="004C54F0">
            <w:pPr>
              <w:jc w:val="left"/>
              <w:rPr>
                <w:rFonts w:cs="Arial"/>
                <w:b w:val="0"/>
                <w:szCs w:val="24"/>
              </w:rPr>
            </w:pPr>
            <w:r w:rsidRPr="00EA0DC7">
              <w:rPr>
                <w:rFonts w:cs="Arial"/>
                <w:b w:val="0"/>
                <w:szCs w:val="24"/>
              </w:rPr>
              <w:t xml:space="preserve">   Non-controlled</w:t>
            </w:r>
          </w:p>
        </w:tc>
        <w:tc>
          <w:tcPr>
            <w:tcW w:w="302" w:type="dxa"/>
            <w:tcBorders>
              <w:top w:val="nil"/>
              <w:bottom w:val="nil"/>
            </w:tcBorders>
          </w:tcPr>
          <w:p w14:paraId="63B8147D"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3</w:t>
            </w:r>
          </w:p>
        </w:tc>
        <w:tc>
          <w:tcPr>
            <w:tcW w:w="2107" w:type="dxa"/>
            <w:tcBorders>
              <w:top w:val="nil"/>
              <w:bottom w:val="nil"/>
            </w:tcBorders>
          </w:tcPr>
          <w:p w14:paraId="27F6E41E"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0.0</w:t>
            </w:r>
            <w:r>
              <w:rPr>
                <w:rFonts w:cs="Arial"/>
                <w:szCs w:val="24"/>
              </w:rPr>
              <w:t>7</w:t>
            </w:r>
            <w:r w:rsidRPr="00EA0DC7">
              <w:rPr>
                <w:rFonts w:cs="Arial"/>
                <w:szCs w:val="24"/>
              </w:rPr>
              <w:t xml:space="preserve"> [-0.</w:t>
            </w:r>
            <w:r>
              <w:rPr>
                <w:rFonts w:cs="Arial"/>
                <w:szCs w:val="24"/>
              </w:rPr>
              <w:t>40</w:t>
            </w:r>
            <w:r w:rsidRPr="00EA0DC7">
              <w:rPr>
                <w:rFonts w:cs="Arial"/>
                <w:szCs w:val="24"/>
              </w:rPr>
              <w:t>, 0.</w:t>
            </w:r>
            <w:r>
              <w:rPr>
                <w:rFonts w:cs="Arial"/>
                <w:szCs w:val="24"/>
              </w:rPr>
              <w:t>54</w:t>
            </w:r>
            <w:r w:rsidRPr="00EA0DC7">
              <w:rPr>
                <w:rFonts w:cs="Arial"/>
                <w:szCs w:val="24"/>
              </w:rPr>
              <w:t>]</w:t>
            </w:r>
          </w:p>
        </w:tc>
        <w:tc>
          <w:tcPr>
            <w:tcW w:w="1159" w:type="dxa"/>
            <w:tcBorders>
              <w:top w:val="nil"/>
              <w:bottom w:val="nil"/>
            </w:tcBorders>
          </w:tcPr>
          <w:p w14:paraId="459A0B2B"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1</w:t>
            </w:r>
            <w:r>
              <w:rPr>
                <w:rFonts w:cs="Arial"/>
                <w:szCs w:val="24"/>
              </w:rPr>
              <w:t>0.15</w:t>
            </w:r>
          </w:p>
        </w:tc>
        <w:tc>
          <w:tcPr>
            <w:tcW w:w="1033" w:type="dxa"/>
            <w:tcBorders>
              <w:top w:val="nil"/>
              <w:bottom w:val="nil"/>
            </w:tcBorders>
          </w:tcPr>
          <w:p w14:paraId="41AB5A45"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&lt;</w:t>
            </w:r>
            <w:r w:rsidRPr="00EA0DC7">
              <w:rPr>
                <w:rFonts w:cs="Arial"/>
                <w:szCs w:val="24"/>
              </w:rPr>
              <w:t>.00</w:t>
            </w:r>
            <w:r>
              <w:rPr>
                <w:rFonts w:cs="Arial"/>
                <w:szCs w:val="24"/>
              </w:rPr>
              <w:t>1</w:t>
            </w:r>
          </w:p>
        </w:tc>
        <w:tc>
          <w:tcPr>
            <w:tcW w:w="1631" w:type="dxa"/>
            <w:tcBorders>
              <w:top w:val="nil"/>
              <w:bottom w:val="nil"/>
            </w:tcBorders>
          </w:tcPr>
          <w:p w14:paraId="65B2E740"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8</w:t>
            </w:r>
            <w:r>
              <w:rPr>
                <w:rFonts w:cs="Arial"/>
                <w:szCs w:val="24"/>
              </w:rPr>
              <w:t>0.29</w:t>
            </w:r>
            <w:r w:rsidRPr="00EA0DC7">
              <w:rPr>
                <w:rFonts w:cs="Arial"/>
                <w:szCs w:val="24"/>
              </w:rPr>
              <w:t>%</w:t>
            </w:r>
          </w:p>
        </w:tc>
      </w:tr>
      <w:tr w:rsidR="00216A42" w:rsidRPr="00EA0DC7" w14:paraId="52B62879"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0FD9FAB1" w14:textId="77777777" w:rsidR="00216A42" w:rsidRPr="00EA0DC7" w:rsidRDefault="00216A42" w:rsidP="004C54F0">
            <w:pPr>
              <w:jc w:val="left"/>
              <w:rPr>
                <w:rFonts w:cs="Arial"/>
                <w:b w:val="0"/>
                <w:i/>
                <w:szCs w:val="24"/>
              </w:rPr>
            </w:pPr>
            <w:r w:rsidRPr="00EA0DC7">
              <w:rPr>
                <w:rFonts w:cs="Arial"/>
                <w:b w:val="0"/>
                <w:i/>
                <w:szCs w:val="24"/>
              </w:rPr>
              <w:t>Country</w:t>
            </w:r>
          </w:p>
        </w:tc>
        <w:tc>
          <w:tcPr>
            <w:tcW w:w="302" w:type="dxa"/>
            <w:tcBorders>
              <w:top w:val="nil"/>
              <w:bottom w:val="nil"/>
            </w:tcBorders>
          </w:tcPr>
          <w:p w14:paraId="387315E5"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2107" w:type="dxa"/>
            <w:tcBorders>
              <w:top w:val="nil"/>
              <w:bottom w:val="nil"/>
            </w:tcBorders>
          </w:tcPr>
          <w:p w14:paraId="321BB182"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159" w:type="dxa"/>
            <w:tcBorders>
              <w:top w:val="nil"/>
              <w:bottom w:val="nil"/>
            </w:tcBorders>
          </w:tcPr>
          <w:p w14:paraId="6B758E5B"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33" w:type="dxa"/>
            <w:tcBorders>
              <w:top w:val="nil"/>
              <w:bottom w:val="nil"/>
            </w:tcBorders>
          </w:tcPr>
          <w:p w14:paraId="17E339DD"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631" w:type="dxa"/>
            <w:tcBorders>
              <w:top w:val="nil"/>
              <w:bottom w:val="nil"/>
            </w:tcBorders>
          </w:tcPr>
          <w:p w14:paraId="032F900E"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216A42" w:rsidRPr="00EA0DC7" w14:paraId="1F0F9845"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13B9D6D" w14:textId="77777777" w:rsidR="00216A42" w:rsidRPr="00EA0DC7" w:rsidRDefault="00216A42" w:rsidP="004C54F0">
            <w:pPr>
              <w:jc w:val="left"/>
              <w:rPr>
                <w:rFonts w:cs="Arial"/>
                <w:b w:val="0"/>
                <w:szCs w:val="24"/>
              </w:rPr>
            </w:pPr>
            <w:r w:rsidRPr="00EA0DC7">
              <w:rPr>
                <w:rFonts w:cs="Arial"/>
                <w:b w:val="0"/>
                <w:szCs w:val="24"/>
              </w:rPr>
              <w:t xml:space="preserve">   US</w:t>
            </w:r>
          </w:p>
        </w:tc>
        <w:tc>
          <w:tcPr>
            <w:tcW w:w="302" w:type="dxa"/>
            <w:tcBorders>
              <w:top w:val="nil"/>
              <w:bottom w:val="nil"/>
            </w:tcBorders>
          </w:tcPr>
          <w:p w14:paraId="5713258E"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6</w:t>
            </w:r>
          </w:p>
        </w:tc>
        <w:tc>
          <w:tcPr>
            <w:tcW w:w="2107" w:type="dxa"/>
            <w:tcBorders>
              <w:top w:val="nil"/>
              <w:bottom w:val="nil"/>
            </w:tcBorders>
          </w:tcPr>
          <w:p w14:paraId="149492F4"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0.0</w:t>
            </w:r>
            <w:r>
              <w:rPr>
                <w:rFonts w:cs="Arial"/>
                <w:szCs w:val="24"/>
              </w:rPr>
              <w:t>6</w:t>
            </w:r>
            <w:r w:rsidRPr="00EA0DC7">
              <w:rPr>
                <w:rFonts w:cs="Arial"/>
                <w:szCs w:val="24"/>
              </w:rPr>
              <w:t xml:space="preserve"> [-0.</w:t>
            </w:r>
            <w:r>
              <w:rPr>
                <w:rFonts w:cs="Arial"/>
                <w:szCs w:val="24"/>
              </w:rPr>
              <w:t>08</w:t>
            </w:r>
            <w:r w:rsidRPr="00EA0DC7">
              <w:rPr>
                <w:rFonts w:cs="Arial"/>
                <w:szCs w:val="24"/>
              </w:rPr>
              <w:t>, 0.2</w:t>
            </w:r>
            <w:r>
              <w:rPr>
                <w:rFonts w:cs="Arial"/>
                <w:szCs w:val="24"/>
              </w:rPr>
              <w:t>1</w:t>
            </w:r>
            <w:r w:rsidRPr="00EA0DC7">
              <w:rPr>
                <w:rFonts w:cs="Arial"/>
                <w:szCs w:val="24"/>
              </w:rPr>
              <w:t>]</w:t>
            </w:r>
          </w:p>
        </w:tc>
        <w:tc>
          <w:tcPr>
            <w:tcW w:w="1159" w:type="dxa"/>
            <w:tcBorders>
              <w:top w:val="nil"/>
              <w:bottom w:val="nil"/>
            </w:tcBorders>
          </w:tcPr>
          <w:p w14:paraId="22D6505E"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1</w:t>
            </w:r>
            <w:r>
              <w:rPr>
                <w:rFonts w:cs="Arial"/>
                <w:szCs w:val="24"/>
              </w:rPr>
              <w:t>1.55</w:t>
            </w:r>
          </w:p>
        </w:tc>
        <w:tc>
          <w:tcPr>
            <w:tcW w:w="1033" w:type="dxa"/>
            <w:tcBorders>
              <w:top w:val="nil"/>
              <w:bottom w:val="nil"/>
            </w:tcBorders>
          </w:tcPr>
          <w:p w14:paraId="12D5E2B2"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w:t>
            </w:r>
            <w:r>
              <w:rPr>
                <w:rFonts w:cs="Arial"/>
                <w:szCs w:val="24"/>
              </w:rPr>
              <w:t>42</w:t>
            </w:r>
          </w:p>
        </w:tc>
        <w:tc>
          <w:tcPr>
            <w:tcW w:w="1631" w:type="dxa"/>
            <w:tcBorders>
              <w:top w:val="nil"/>
              <w:bottom w:val="nil"/>
            </w:tcBorders>
          </w:tcPr>
          <w:p w14:paraId="32667126"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56.70</w:t>
            </w:r>
            <w:r w:rsidRPr="00EA0DC7">
              <w:rPr>
                <w:rFonts w:cs="Arial"/>
                <w:szCs w:val="24"/>
              </w:rPr>
              <w:t>%</w:t>
            </w:r>
          </w:p>
        </w:tc>
      </w:tr>
      <w:tr w:rsidR="00216A42" w:rsidRPr="00EA0DC7" w14:paraId="7E8448C9"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4516443" w14:textId="77777777" w:rsidR="00216A42" w:rsidRPr="00EA0DC7" w:rsidRDefault="00216A42" w:rsidP="004C54F0">
            <w:pPr>
              <w:jc w:val="left"/>
              <w:rPr>
                <w:rFonts w:cs="Arial"/>
                <w:b w:val="0"/>
                <w:szCs w:val="24"/>
              </w:rPr>
            </w:pPr>
            <w:r w:rsidRPr="00EA0DC7">
              <w:rPr>
                <w:rFonts w:cs="Arial"/>
                <w:b w:val="0"/>
                <w:szCs w:val="24"/>
              </w:rPr>
              <w:t xml:space="preserve">   Non-US</w:t>
            </w:r>
          </w:p>
        </w:tc>
        <w:tc>
          <w:tcPr>
            <w:tcW w:w="302" w:type="dxa"/>
            <w:tcBorders>
              <w:top w:val="nil"/>
              <w:bottom w:val="nil"/>
            </w:tcBorders>
          </w:tcPr>
          <w:p w14:paraId="318025F9"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w:t>
            </w:r>
          </w:p>
        </w:tc>
        <w:tc>
          <w:tcPr>
            <w:tcW w:w="2107" w:type="dxa"/>
            <w:tcBorders>
              <w:top w:val="nil"/>
              <w:bottom w:val="nil"/>
            </w:tcBorders>
          </w:tcPr>
          <w:p w14:paraId="1C3D8DD0"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0.88 [-0.94, 2.71]</w:t>
            </w:r>
          </w:p>
        </w:tc>
        <w:tc>
          <w:tcPr>
            <w:tcW w:w="1159" w:type="dxa"/>
            <w:tcBorders>
              <w:top w:val="nil"/>
              <w:bottom w:val="nil"/>
            </w:tcBorders>
          </w:tcPr>
          <w:p w14:paraId="00761B90"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1.34</w:t>
            </w:r>
          </w:p>
        </w:tc>
        <w:tc>
          <w:tcPr>
            <w:tcW w:w="1033" w:type="dxa"/>
            <w:tcBorders>
              <w:top w:val="nil"/>
              <w:bottom w:val="nil"/>
            </w:tcBorders>
          </w:tcPr>
          <w:p w14:paraId="4E0C233A"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.247</w:t>
            </w:r>
          </w:p>
        </w:tc>
        <w:tc>
          <w:tcPr>
            <w:tcW w:w="1631" w:type="dxa"/>
            <w:tcBorders>
              <w:top w:val="nil"/>
              <w:bottom w:val="nil"/>
            </w:tcBorders>
          </w:tcPr>
          <w:p w14:paraId="42B03F96"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25.52%</w:t>
            </w:r>
          </w:p>
        </w:tc>
      </w:tr>
      <w:tr w:rsidR="00216A42" w:rsidRPr="00EA0DC7" w14:paraId="6906985E"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3E94B6B" w14:textId="77777777" w:rsidR="00216A42" w:rsidRPr="00EA0DC7" w:rsidRDefault="00216A42" w:rsidP="004C54F0">
            <w:pPr>
              <w:jc w:val="left"/>
              <w:rPr>
                <w:rFonts w:cs="Arial"/>
                <w:b w:val="0"/>
                <w:i/>
                <w:szCs w:val="24"/>
              </w:rPr>
            </w:pPr>
            <w:r w:rsidRPr="00EA0DC7">
              <w:rPr>
                <w:rFonts w:cs="Arial"/>
                <w:b w:val="0"/>
                <w:i/>
                <w:szCs w:val="24"/>
              </w:rPr>
              <w:t>Supervisee population</w:t>
            </w:r>
          </w:p>
        </w:tc>
        <w:tc>
          <w:tcPr>
            <w:tcW w:w="302" w:type="dxa"/>
            <w:tcBorders>
              <w:top w:val="nil"/>
              <w:bottom w:val="nil"/>
            </w:tcBorders>
          </w:tcPr>
          <w:p w14:paraId="17FF2037"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2107" w:type="dxa"/>
            <w:tcBorders>
              <w:top w:val="nil"/>
              <w:bottom w:val="nil"/>
            </w:tcBorders>
          </w:tcPr>
          <w:p w14:paraId="31839760"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159" w:type="dxa"/>
            <w:tcBorders>
              <w:top w:val="nil"/>
              <w:bottom w:val="nil"/>
            </w:tcBorders>
          </w:tcPr>
          <w:p w14:paraId="20531CF6"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033" w:type="dxa"/>
            <w:tcBorders>
              <w:top w:val="nil"/>
              <w:bottom w:val="nil"/>
            </w:tcBorders>
          </w:tcPr>
          <w:p w14:paraId="2F8AD01A"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631" w:type="dxa"/>
            <w:tcBorders>
              <w:top w:val="nil"/>
              <w:bottom w:val="nil"/>
            </w:tcBorders>
          </w:tcPr>
          <w:p w14:paraId="7B5E3AE7"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216A42" w:rsidRPr="00EA0DC7" w14:paraId="13CE5CED"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D103015" w14:textId="77777777" w:rsidR="00216A42" w:rsidRPr="00EA0DC7" w:rsidRDefault="00216A42" w:rsidP="004C54F0">
            <w:pPr>
              <w:jc w:val="left"/>
              <w:rPr>
                <w:rFonts w:cs="Arial"/>
                <w:b w:val="0"/>
                <w:szCs w:val="24"/>
              </w:rPr>
            </w:pPr>
            <w:r w:rsidRPr="00EA0DC7">
              <w:rPr>
                <w:rFonts w:cs="Arial"/>
                <w:b w:val="0"/>
                <w:szCs w:val="24"/>
              </w:rPr>
              <w:t xml:space="preserve">   Trainees</w:t>
            </w:r>
          </w:p>
        </w:tc>
        <w:tc>
          <w:tcPr>
            <w:tcW w:w="302" w:type="dxa"/>
            <w:tcBorders>
              <w:top w:val="nil"/>
              <w:bottom w:val="nil"/>
            </w:tcBorders>
          </w:tcPr>
          <w:p w14:paraId="3111589E"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4</w:t>
            </w:r>
          </w:p>
        </w:tc>
        <w:tc>
          <w:tcPr>
            <w:tcW w:w="2107" w:type="dxa"/>
            <w:tcBorders>
              <w:top w:val="nil"/>
              <w:bottom w:val="nil"/>
            </w:tcBorders>
          </w:tcPr>
          <w:p w14:paraId="018167B7"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0.05 [-0.</w:t>
            </w:r>
            <w:r>
              <w:rPr>
                <w:rFonts w:cs="Arial"/>
                <w:szCs w:val="24"/>
              </w:rPr>
              <w:t>22</w:t>
            </w:r>
            <w:r w:rsidRPr="00EA0DC7">
              <w:rPr>
                <w:rFonts w:cs="Arial"/>
                <w:szCs w:val="24"/>
              </w:rPr>
              <w:t>, 0.</w:t>
            </w:r>
            <w:r>
              <w:rPr>
                <w:rFonts w:cs="Arial"/>
                <w:szCs w:val="24"/>
              </w:rPr>
              <w:t>33</w:t>
            </w:r>
            <w:r w:rsidRPr="00EA0DC7">
              <w:rPr>
                <w:rFonts w:cs="Arial"/>
                <w:szCs w:val="24"/>
              </w:rPr>
              <w:t>]</w:t>
            </w:r>
          </w:p>
        </w:tc>
        <w:tc>
          <w:tcPr>
            <w:tcW w:w="1159" w:type="dxa"/>
            <w:tcBorders>
              <w:top w:val="nil"/>
              <w:bottom w:val="nil"/>
            </w:tcBorders>
          </w:tcPr>
          <w:p w14:paraId="5C748170"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1</w:t>
            </w:r>
            <w:r>
              <w:rPr>
                <w:rFonts w:cs="Arial"/>
                <w:szCs w:val="24"/>
              </w:rPr>
              <w:t>1.04</w:t>
            </w:r>
          </w:p>
        </w:tc>
        <w:tc>
          <w:tcPr>
            <w:tcW w:w="1033" w:type="dxa"/>
            <w:tcBorders>
              <w:top w:val="nil"/>
              <w:bottom w:val="nil"/>
            </w:tcBorders>
          </w:tcPr>
          <w:p w14:paraId="7C969B19"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r>
              <w:rPr>
                <w:rFonts w:cs="Arial"/>
                <w:szCs w:val="24"/>
              </w:rPr>
              <w:t>12</w:t>
            </w:r>
          </w:p>
        </w:tc>
        <w:tc>
          <w:tcPr>
            <w:tcW w:w="1631" w:type="dxa"/>
            <w:tcBorders>
              <w:top w:val="nil"/>
              <w:bottom w:val="nil"/>
            </w:tcBorders>
          </w:tcPr>
          <w:p w14:paraId="38C90B96"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7</w:t>
            </w:r>
            <w:r>
              <w:rPr>
                <w:rFonts w:cs="Arial"/>
                <w:szCs w:val="24"/>
              </w:rPr>
              <w:t>2.82</w:t>
            </w:r>
            <w:r w:rsidRPr="00EA0DC7">
              <w:rPr>
                <w:rFonts w:cs="Arial"/>
                <w:szCs w:val="24"/>
              </w:rPr>
              <w:t>%</w:t>
            </w:r>
          </w:p>
        </w:tc>
      </w:tr>
      <w:tr w:rsidR="00216A42" w:rsidRPr="00EA0DC7" w14:paraId="7B8B8BE7"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ECFA4FF" w14:textId="77777777" w:rsidR="00216A42" w:rsidRPr="00EA0DC7" w:rsidRDefault="00216A42" w:rsidP="004C54F0">
            <w:pPr>
              <w:jc w:val="left"/>
              <w:rPr>
                <w:rFonts w:cs="Arial"/>
                <w:b w:val="0"/>
                <w:szCs w:val="24"/>
              </w:rPr>
            </w:pPr>
            <w:r w:rsidRPr="00EA0DC7">
              <w:rPr>
                <w:rFonts w:cs="Arial"/>
                <w:b w:val="0"/>
                <w:szCs w:val="24"/>
              </w:rPr>
              <w:t xml:space="preserve">   </w:t>
            </w:r>
            <w:commentRangeStart w:id="120"/>
            <w:r>
              <w:rPr>
                <w:rFonts w:cs="Arial"/>
                <w:b w:val="0"/>
                <w:szCs w:val="24"/>
              </w:rPr>
              <w:t>Qualified</w:t>
            </w:r>
            <w:commentRangeEnd w:id="120"/>
            <w:r w:rsidR="0012476D">
              <w:rPr>
                <w:rStyle w:val="CommentReference"/>
                <w:b w:val="0"/>
                <w:bCs w:val="0"/>
              </w:rPr>
              <w:commentReference w:id="120"/>
            </w:r>
          </w:p>
        </w:tc>
        <w:tc>
          <w:tcPr>
            <w:tcW w:w="302" w:type="dxa"/>
            <w:tcBorders>
              <w:top w:val="nil"/>
              <w:bottom w:val="nil"/>
            </w:tcBorders>
          </w:tcPr>
          <w:p w14:paraId="2EF9AD9E"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4</w:t>
            </w:r>
          </w:p>
        </w:tc>
        <w:tc>
          <w:tcPr>
            <w:tcW w:w="2107" w:type="dxa"/>
            <w:tcBorders>
              <w:top w:val="nil"/>
              <w:bottom w:val="nil"/>
            </w:tcBorders>
          </w:tcPr>
          <w:p w14:paraId="3B865E4A"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w:t>
            </w:r>
            <w:r>
              <w:rPr>
                <w:rFonts w:cs="Arial"/>
                <w:szCs w:val="24"/>
              </w:rPr>
              <w:t>46</w:t>
            </w:r>
            <w:r w:rsidRPr="00EA0DC7">
              <w:rPr>
                <w:rFonts w:cs="Arial"/>
                <w:szCs w:val="24"/>
              </w:rPr>
              <w:t xml:space="preserve"> [-0.</w:t>
            </w:r>
            <w:r>
              <w:rPr>
                <w:rFonts w:cs="Arial"/>
                <w:szCs w:val="24"/>
              </w:rPr>
              <w:t>33</w:t>
            </w:r>
            <w:r w:rsidRPr="00EA0DC7">
              <w:rPr>
                <w:rFonts w:cs="Arial"/>
                <w:szCs w:val="24"/>
              </w:rPr>
              <w:t>, 1.</w:t>
            </w:r>
            <w:r>
              <w:rPr>
                <w:rFonts w:cs="Arial"/>
                <w:szCs w:val="24"/>
              </w:rPr>
              <w:t>24</w:t>
            </w:r>
            <w:r w:rsidRPr="00EA0DC7">
              <w:rPr>
                <w:rFonts w:cs="Arial"/>
                <w:szCs w:val="24"/>
              </w:rPr>
              <w:t>]</w:t>
            </w:r>
          </w:p>
        </w:tc>
        <w:tc>
          <w:tcPr>
            <w:tcW w:w="1159" w:type="dxa"/>
            <w:tcBorders>
              <w:top w:val="nil"/>
              <w:bottom w:val="nil"/>
            </w:tcBorders>
          </w:tcPr>
          <w:p w14:paraId="2CDC1932"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31.92</w:t>
            </w:r>
          </w:p>
        </w:tc>
        <w:tc>
          <w:tcPr>
            <w:tcW w:w="1033" w:type="dxa"/>
            <w:tcBorders>
              <w:top w:val="nil"/>
              <w:bottom w:val="nil"/>
            </w:tcBorders>
          </w:tcPr>
          <w:p w14:paraId="12BF649D"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&lt; .001</w:t>
            </w:r>
          </w:p>
        </w:tc>
        <w:tc>
          <w:tcPr>
            <w:tcW w:w="1631" w:type="dxa"/>
            <w:tcBorders>
              <w:top w:val="nil"/>
              <w:bottom w:val="nil"/>
            </w:tcBorders>
          </w:tcPr>
          <w:p w14:paraId="53839F85"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9</w:t>
            </w:r>
            <w:r>
              <w:rPr>
                <w:rFonts w:cs="Arial"/>
                <w:szCs w:val="24"/>
              </w:rPr>
              <w:t>0.60</w:t>
            </w:r>
            <w:r w:rsidRPr="00EA0DC7">
              <w:rPr>
                <w:rFonts w:cs="Arial"/>
                <w:szCs w:val="24"/>
              </w:rPr>
              <w:t>%</w:t>
            </w:r>
          </w:p>
        </w:tc>
      </w:tr>
      <w:tr w:rsidR="00216A42" w:rsidRPr="00EA0DC7" w14:paraId="65371ACF"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3830DE9" w14:textId="77777777" w:rsidR="00216A42" w:rsidRPr="00EA0DC7" w:rsidRDefault="00216A42" w:rsidP="004C54F0">
            <w:pPr>
              <w:jc w:val="left"/>
              <w:rPr>
                <w:rFonts w:cs="Arial"/>
                <w:b w:val="0"/>
                <w:i/>
                <w:szCs w:val="24"/>
              </w:rPr>
            </w:pPr>
            <w:r w:rsidRPr="00EA0DC7">
              <w:rPr>
                <w:rFonts w:cs="Arial"/>
                <w:b w:val="0"/>
                <w:i/>
                <w:szCs w:val="24"/>
              </w:rPr>
              <w:t>Patient population</w:t>
            </w:r>
          </w:p>
        </w:tc>
        <w:tc>
          <w:tcPr>
            <w:tcW w:w="302" w:type="dxa"/>
            <w:tcBorders>
              <w:top w:val="nil"/>
              <w:bottom w:val="nil"/>
            </w:tcBorders>
          </w:tcPr>
          <w:p w14:paraId="45B97A30"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2107" w:type="dxa"/>
            <w:tcBorders>
              <w:top w:val="nil"/>
              <w:bottom w:val="nil"/>
            </w:tcBorders>
          </w:tcPr>
          <w:p w14:paraId="77915568"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159" w:type="dxa"/>
            <w:tcBorders>
              <w:top w:val="nil"/>
              <w:bottom w:val="nil"/>
            </w:tcBorders>
          </w:tcPr>
          <w:p w14:paraId="1D866C0C"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33" w:type="dxa"/>
            <w:tcBorders>
              <w:top w:val="nil"/>
              <w:bottom w:val="nil"/>
            </w:tcBorders>
          </w:tcPr>
          <w:p w14:paraId="48EBC62D"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631" w:type="dxa"/>
            <w:tcBorders>
              <w:top w:val="nil"/>
              <w:bottom w:val="nil"/>
            </w:tcBorders>
          </w:tcPr>
          <w:p w14:paraId="181E8092"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216A42" w:rsidRPr="00EA0DC7" w14:paraId="2DEE55C7" w14:textId="77777777" w:rsidTr="004C5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0E0C52C4" w14:textId="77777777" w:rsidR="00216A42" w:rsidRPr="00EA0DC7" w:rsidRDefault="00216A42" w:rsidP="004C54F0">
            <w:pPr>
              <w:jc w:val="left"/>
              <w:rPr>
                <w:rFonts w:cs="Arial"/>
                <w:b w:val="0"/>
                <w:szCs w:val="24"/>
              </w:rPr>
            </w:pPr>
            <w:r w:rsidRPr="00EA0DC7">
              <w:rPr>
                <w:rFonts w:cs="Arial"/>
                <w:b w:val="0"/>
                <w:szCs w:val="24"/>
              </w:rPr>
              <w:t xml:space="preserve">   Clinical sample</w:t>
            </w:r>
          </w:p>
        </w:tc>
        <w:tc>
          <w:tcPr>
            <w:tcW w:w="302" w:type="dxa"/>
            <w:tcBorders>
              <w:top w:val="nil"/>
              <w:bottom w:val="nil"/>
            </w:tcBorders>
          </w:tcPr>
          <w:p w14:paraId="09CFDB55"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6</w:t>
            </w:r>
          </w:p>
        </w:tc>
        <w:tc>
          <w:tcPr>
            <w:tcW w:w="2107" w:type="dxa"/>
            <w:tcBorders>
              <w:top w:val="nil"/>
              <w:bottom w:val="nil"/>
            </w:tcBorders>
          </w:tcPr>
          <w:p w14:paraId="061E1337"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0.2</w:t>
            </w:r>
            <w:r>
              <w:rPr>
                <w:rFonts w:cs="Arial"/>
                <w:szCs w:val="24"/>
              </w:rPr>
              <w:t>7</w:t>
            </w:r>
            <w:r w:rsidRPr="00EA0DC7">
              <w:rPr>
                <w:rFonts w:cs="Arial"/>
                <w:szCs w:val="24"/>
              </w:rPr>
              <w:t xml:space="preserve"> [-0.2</w:t>
            </w:r>
            <w:r>
              <w:rPr>
                <w:rFonts w:cs="Arial"/>
                <w:szCs w:val="24"/>
              </w:rPr>
              <w:t>4</w:t>
            </w:r>
            <w:r w:rsidRPr="00EA0DC7">
              <w:rPr>
                <w:rFonts w:cs="Arial"/>
                <w:szCs w:val="24"/>
              </w:rPr>
              <w:t>, 0.77]</w:t>
            </w:r>
          </w:p>
        </w:tc>
        <w:tc>
          <w:tcPr>
            <w:tcW w:w="1159" w:type="dxa"/>
            <w:tcBorders>
              <w:top w:val="nil"/>
              <w:bottom w:val="nil"/>
            </w:tcBorders>
          </w:tcPr>
          <w:p w14:paraId="4AD3D575"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47.49</w:t>
            </w:r>
          </w:p>
        </w:tc>
        <w:tc>
          <w:tcPr>
            <w:tcW w:w="1033" w:type="dxa"/>
            <w:tcBorders>
              <w:top w:val="nil"/>
              <w:bottom w:val="nil"/>
            </w:tcBorders>
          </w:tcPr>
          <w:p w14:paraId="3BB0D759"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&lt; .001</w:t>
            </w:r>
          </w:p>
        </w:tc>
        <w:tc>
          <w:tcPr>
            <w:tcW w:w="1631" w:type="dxa"/>
            <w:tcBorders>
              <w:top w:val="nil"/>
              <w:bottom w:val="nil"/>
            </w:tcBorders>
          </w:tcPr>
          <w:p w14:paraId="0A42561D" w14:textId="77777777" w:rsidR="00216A42" w:rsidRPr="00EA0DC7" w:rsidRDefault="00216A42" w:rsidP="004C54F0">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89.47</w:t>
            </w:r>
            <w:r w:rsidRPr="00EA0DC7">
              <w:rPr>
                <w:rFonts w:cs="Arial"/>
                <w:szCs w:val="24"/>
              </w:rPr>
              <w:t>%</w:t>
            </w:r>
          </w:p>
        </w:tc>
      </w:tr>
      <w:tr w:rsidR="00216A42" w:rsidRPr="00EA0DC7" w14:paraId="2C703995" w14:textId="77777777" w:rsidTr="004C54F0">
        <w:tc>
          <w:tcPr>
            <w:cnfStyle w:val="001000000000" w:firstRow="0" w:lastRow="0" w:firstColumn="1" w:lastColumn="0" w:oddVBand="0" w:evenVBand="0" w:oddHBand="0" w:evenHBand="0" w:firstRowFirstColumn="0" w:firstRowLastColumn="0" w:lastRowFirstColumn="0" w:lastRowLastColumn="0"/>
            <w:tcW w:w="2127" w:type="dxa"/>
            <w:tcBorders>
              <w:top w:val="nil"/>
            </w:tcBorders>
          </w:tcPr>
          <w:p w14:paraId="2B5D7276" w14:textId="77777777" w:rsidR="00216A42" w:rsidRPr="00EA0DC7" w:rsidRDefault="00216A42" w:rsidP="004C54F0">
            <w:pPr>
              <w:jc w:val="left"/>
              <w:rPr>
                <w:rFonts w:cs="Arial"/>
                <w:b w:val="0"/>
                <w:szCs w:val="24"/>
              </w:rPr>
            </w:pPr>
            <w:r w:rsidRPr="00EA0DC7">
              <w:rPr>
                <w:rFonts w:cs="Arial"/>
                <w:b w:val="0"/>
                <w:szCs w:val="24"/>
              </w:rPr>
              <w:t xml:space="preserve">   Non-clinical sample</w:t>
            </w:r>
          </w:p>
        </w:tc>
        <w:tc>
          <w:tcPr>
            <w:tcW w:w="302" w:type="dxa"/>
            <w:tcBorders>
              <w:top w:val="nil"/>
            </w:tcBorders>
          </w:tcPr>
          <w:p w14:paraId="3AFCD110"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w:t>
            </w:r>
          </w:p>
        </w:tc>
        <w:tc>
          <w:tcPr>
            <w:tcW w:w="2107" w:type="dxa"/>
            <w:tcBorders>
              <w:top w:val="nil"/>
            </w:tcBorders>
          </w:tcPr>
          <w:p w14:paraId="0FED357F"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r>
              <w:rPr>
                <w:rFonts w:cs="Arial"/>
                <w:szCs w:val="24"/>
              </w:rPr>
              <w:t>16</w:t>
            </w:r>
            <w:r w:rsidRPr="00EA0DC7">
              <w:rPr>
                <w:rFonts w:cs="Arial"/>
                <w:szCs w:val="24"/>
              </w:rPr>
              <w:t xml:space="preserve"> [-</w:t>
            </w:r>
            <w:r>
              <w:rPr>
                <w:rFonts w:cs="Arial"/>
                <w:szCs w:val="24"/>
              </w:rPr>
              <w:t>0.69</w:t>
            </w:r>
            <w:r w:rsidRPr="00EA0DC7">
              <w:rPr>
                <w:rFonts w:cs="Arial"/>
                <w:szCs w:val="24"/>
              </w:rPr>
              <w:t xml:space="preserve">, </w:t>
            </w:r>
            <w:r>
              <w:rPr>
                <w:rFonts w:cs="Arial"/>
                <w:szCs w:val="24"/>
              </w:rPr>
              <w:t>1.01</w:t>
            </w:r>
            <w:r w:rsidRPr="00EA0DC7">
              <w:rPr>
                <w:rFonts w:cs="Arial"/>
                <w:szCs w:val="24"/>
              </w:rPr>
              <w:t>]</w:t>
            </w:r>
          </w:p>
        </w:tc>
        <w:tc>
          <w:tcPr>
            <w:tcW w:w="1159" w:type="dxa"/>
            <w:tcBorders>
              <w:top w:val="nil"/>
            </w:tcBorders>
          </w:tcPr>
          <w:p w14:paraId="1A2A0515"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1</w:t>
            </w:r>
            <w:r>
              <w:rPr>
                <w:rFonts w:cs="Arial"/>
                <w:szCs w:val="24"/>
              </w:rPr>
              <w:t>.85</w:t>
            </w:r>
          </w:p>
        </w:tc>
        <w:tc>
          <w:tcPr>
            <w:tcW w:w="1033" w:type="dxa"/>
            <w:tcBorders>
              <w:top w:val="nil"/>
            </w:tcBorders>
          </w:tcPr>
          <w:p w14:paraId="5911B618"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w:t>
            </w:r>
            <w:r>
              <w:rPr>
                <w:rFonts w:cs="Arial"/>
                <w:szCs w:val="24"/>
              </w:rPr>
              <w:t>174</w:t>
            </w:r>
          </w:p>
        </w:tc>
        <w:tc>
          <w:tcPr>
            <w:tcW w:w="1631" w:type="dxa"/>
            <w:tcBorders>
              <w:top w:val="nil"/>
            </w:tcBorders>
          </w:tcPr>
          <w:p w14:paraId="17838ACB" w14:textId="77777777" w:rsidR="00216A42" w:rsidRPr="00EA0DC7" w:rsidRDefault="00216A42" w:rsidP="004C54F0">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45.92</w:t>
            </w:r>
            <w:r w:rsidRPr="00EA0DC7">
              <w:rPr>
                <w:rFonts w:cs="Arial"/>
                <w:szCs w:val="24"/>
              </w:rPr>
              <w:t>%</w:t>
            </w:r>
          </w:p>
        </w:tc>
      </w:tr>
    </w:tbl>
    <w:p w14:paraId="25260E54" w14:textId="77777777" w:rsidR="00216A42" w:rsidRPr="00EA0DC7" w:rsidRDefault="00216A42" w:rsidP="00144D1E">
      <w:pPr>
        <w:pStyle w:val="Captions"/>
        <w:spacing w:before="240"/>
        <w:jc w:val="center"/>
        <w:rPr>
          <w:rStyle w:val="CaptionsChar"/>
        </w:rPr>
      </w:pPr>
    </w:p>
    <w:p w14:paraId="5FDEC272" w14:textId="77777777" w:rsidR="00144D1E" w:rsidRPr="00EA0DC7" w:rsidRDefault="00144D1E" w:rsidP="00144D1E">
      <w:pPr>
        <w:pStyle w:val="Captions"/>
        <w:jc w:val="center"/>
        <w:rPr>
          <w:rStyle w:val="CaptionsChar"/>
        </w:rPr>
      </w:pPr>
    </w:p>
    <w:p w14:paraId="7FD68905" w14:textId="77777777" w:rsidR="00144D1E" w:rsidRPr="00EA0DC7" w:rsidRDefault="00144D1E" w:rsidP="00144D1E">
      <w:pPr>
        <w:pStyle w:val="Heading4"/>
        <w:numPr>
          <w:ilvl w:val="3"/>
          <w:numId w:val="45"/>
        </w:numPr>
      </w:pPr>
      <w:r w:rsidRPr="00EA0DC7">
        <w:t>3.3.3.2 Publication bias</w:t>
      </w:r>
    </w:p>
    <w:p w14:paraId="64537D73" w14:textId="77777777" w:rsidR="00144D1E" w:rsidRPr="00EA0DC7" w:rsidRDefault="00144D1E" w:rsidP="00144D1E">
      <w:r w:rsidRPr="00EA0DC7">
        <w:tab/>
        <w:t>Publication bias analysis was not carried out, due to the heterogeneity of the sample.</w:t>
      </w:r>
    </w:p>
    <w:p w14:paraId="72008FB3" w14:textId="77777777" w:rsidR="00144D1E" w:rsidRPr="00EA0DC7" w:rsidRDefault="00144D1E" w:rsidP="00144D1E">
      <w:pPr>
        <w:pStyle w:val="Heading3"/>
        <w:numPr>
          <w:ilvl w:val="2"/>
          <w:numId w:val="45"/>
        </w:numPr>
      </w:pPr>
      <w:r w:rsidRPr="00EA0DC7">
        <w:lastRenderedPageBreak/>
        <w:t>3.3.4 Impact of supervision on supervisee outcomes</w:t>
      </w:r>
    </w:p>
    <w:p w14:paraId="1A95A796" w14:textId="19999115" w:rsidR="00144D1E" w:rsidRPr="00EA0DC7" w:rsidRDefault="00144D1E" w:rsidP="00144D1E">
      <w:pPr>
        <w:rPr>
          <w:rFonts w:cs="Arial"/>
          <w:szCs w:val="24"/>
        </w:rPr>
      </w:pPr>
      <w:r w:rsidRPr="00EA0DC7">
        <w:tab/>
      </w:r>
      <w:r w:rsidRPr="00EA0DC7">
        <w:rPr>
          <w:rFonts w:cs="Arial"/>
          <w:szCs w:val="24"/>
        </w:rPr>
        <w:t xml:space="preserve">The random effects model meta-analysis (Figure 3.4) indicated that clinical supervision had a moderate positive impact on supervisee outcomes; Hedges’ </w:t>
      </w:r>
      <w:r w:rsidRPr="00EA0DC7">
        <w:rPr>
          <w:rFonts w:cs="Arial"/>
          <w:i/>
          <w:szCs w:val="24"/>
        </w:rPr>
        <w:t>g</w:t>
      </w:r>
      <w:r w:rsidRPr="00EA0DC7">
        <w:rPr>
          <w:rFonts w:cs="Arial"/>
          <w:szCs w:val="24"/>
        </w:rPr>
        <w:t xml:space="preserve"> = 0.56 (95% CI [0.1</w:t>
      </w:r>
      <w:r>
        <w:rPr>
          <w:rFonts w:cs="Arial"/>
          <w:szCs w:val="24"/>
        </w:rPr>
        <w:t>2</w:t>
      </w:r>
      <w:r w:rsidRPr="00EA0DC7">
        <w:rPr>
          <w:rFonts w:cs="Arial"/>
          <w:szCs w:val="24"/>
        </w:rPr>
        <w:t>, 0.9</w:t>
      </w:r>
      <w:r>
        <w:rPr>
          <w:rFonts w:cs="Arial"/>
          <w:szCs w:val="24"/>
        </w:rPr>
        <w:t>9</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2.87</w:t>
      </w:r>
      <w:r w:rsidRPr="00EA0DC7">
        <w:rPr>
          <w:rFonts w:cs="Arial"/>
          <w:szCs w:val="24"/>
        </w:rPr>
        <w:t xml:space="preserve">, </w:t>
      </w:r>
      <w:r w:rsidRPr="00EA0DC7">
        <w:rPr>
          <w:rFonts w:cs="Arial"/>
          <w:i/>
          <w:szCs w:val="24"/>
        </w:rPr>
        <w:t>p</w:t>
      </w:r>
      <w:r w:rsidRPr="00EA0DC7">
        <w:rPr>
          <w:rFonts w:cs="Arial"/>
          <w:szCs w:val="24"/>
        </w:rPr>
        <w:t xml:space="preserve"> = .001). Tests of heterogeneity indicated a high level of between-study variability (</w:t>
      </w:r>
      <w:r w:rsidRPr="00EA0DC7">
        <w:rPr>
          <w:rFonts w:cs="Arial"/>
          <w:i/>
          <w:szCs w:val="24"/>
        </w:rPr>
        <w:t>I</w:t>
      </w:r>
      <w:r w:rsidRPr="00EA0DC7">
        <w:rPr>
          <w:rFonts w:cs="Arial"/>
          <w:szCs w:val="24"/>
          <w:vertAlign w:val="superscript"/>
        </w:rPr>
        <w:t xml:space="preserve">2 </w:t>
      </w:r>
      <w:r w:rsidRPr="00EA0DC7">
        <w:rPr>
          <w:rFonts w:cs="Arial"/>
          <w:szCs w:val="24"/>
        </w:rPr>
        <w:t>= 8</w:t>
      </w:r>
      <w:r>
        <w:rPr>
          <w:rFonts w:cs="Arial"/>
          <w:szCs w:val="24"/>
        </w:rPr>
        <w:t>8.90</w:t>
      </w:r>
      <w:r w:rsidRPr="00EA0DC7">
        <w:rPr>
          <w:rFonts w:cs="Arial"/>
          <w:szCs w:val="24"/>
        </w:rPr>
        <w:t xml:space="preserve">%, </w:t>
      </w:r>
      <w:r w:rsidRPr="00EA0DC7">
        <w:rPr>
          <w:rFonts w:cs="Arial"/>
          <w:i/>
          <w:szCs w:val="24"/>
        </w:rPr>
        <w:t>Q</w:t>
      </w:r>
      <w:r w:rsidRPr="00EA0DC7">
        <w:rPr>
          <w:rFonts w:cs="Arial"/>
          <w:szCs w:val="24"/>
        </w:rPr>
        <w:t xml:space="preserve"> = </w:t>
      </w:r>
      <w:r>
        <w:rPr>
          <w:rFonts w:cs="Arial"/>
          <w:szCs w:val="24"/>
        </w:rPr>
        <w:t>90.07</w:t>
      </w:r>
      <w:r w:rsidRPr="00EA0DC7">
        <w:rPr>
          <w:rFonts w:cs="Arial"/>
          <w:szCs w:val="24"/>
        </w:rPr>
        <w:t>,</w:t>
      </w:r>
      <w:r w:rsidRPr="00EA0DC7">
        <w:rPr>
          <w:rFonts w:cs="Arial"/>
          <w:i/>
          <w:szCs w:val="24"/>
        </w:rPr>
        <w:t xml:space="preserve"> p</w:t>
      </w:r>
      <w:r w:rsidRPr="00EA0DC7">
        <w:rPr>
          <w:rFonts w:cs="Arial"/>
          <w:szCs w:val="24"/>
        </w:rPr>
        <w:t xml:space="preserve"> &lt; .01). The studies could not successfully be divided by outcome measures. Therefore, ‘supervisee outcomes’ refers to </w:t>
      </w:r>
      <w:r w:rsidRPr="00EA0DC7">
        <w:rPr>
          <w:rFonts w:eastAsia="Calibri" w:cs="Arial"/>
          <w:szCs w:val="24"/>
          <w:lang w:eastAsia="en-US"/>
        </w:rPr>
        <w:t>measures of skill acquisition, reflection, self-awareness, self-efficacy, competence, and adherence.</w:t>
      </w:r>
      <w:r w:rsidRPr="00EA0DC7">
        <w:rPr>
          <w:rFonts w:cs="Arial"/>
          <w:szCs w:val="24"/>
        </w:rPr>
        <w:t xml:space="preserve"> Other subgroup and moderator analyses were explored.</w:t>
      </w:r>
    </w:p>
    <w:p w14:paraId="7A4AEC25" w14:textId="77777777" w:rsidR="00144D1E" w:rsidRPr="00EA0DC7" w:rsidRDefault="00144D1E" w:rsidP="00144D1E"/>
    <w:p w14:paraId="275252A9" w14:textId="77777777" w:rsidR="00144D1E" w:rsidRDefault="00144D1E" w:rsidP="00144D1E">
      <w:pPr>
        <w:pStyle w:val="Captions"/>
        <w:jc w:val="center"/>
      </w:pPr>
      <w:r>
        <w:rPr>
          <w:noProof/>
        </w:rPr>
        <w:lastRenderedPageBreak/>
        <w:drawing>
          <wp:inline distT="0" distB="0" distL="0" distR="0" wp14:anchorId="1676924A" wp14:editId="5DD6CD9D">
            <wp:extent cx="5231130" cy="5295014"/>
            <wp:effectExtent l="0" t="0" r="7620" b="1270"/>
            <wp:docPr id="266" name="Chart 266">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39E3C1" w14:textId="1D172250" w:rsidR="00144D1E" w:rsidRPr="00EA0DC7" w:rsidRDefault="00144D1E" w:rsidP="00144D1E">
      <w:pPr>
        <w:pStyle w:val="Captions"/>
        <w:jc w:val="center"/>
      </w:pPr>
      <w:bookmarkStart w:id="121" w:name="_Toc47039912"/>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4</w:t>
      </w:r>
      <w:r w:rsidR="004F2FDB">
        <w:rPr>
          <w:noProof/>
        </w:rPr>
        <w:fldChar w:fldCharType="end"/>
      </w:r>
      <w:r w:rsidRPr="00EA0DC7">
        <w:t>. Forest plot for supervisee effect sizes.</w:t>
      </w:r>
      <w:bookmarkEnd w:id="121"/>
    </w:p>
    <w:p w14:paraId="73E32C17" w14:textId="77777777" w:rsidR="00144D1E" w:rsidRPr="00EA0DC7" w:rsidRDefault="00144D1E" w:rsidP="00144D1E">
      <w:pPr>
        <w:pStyle w:val="Heading4"/>
        <w:numPr>
          <w:ilvl w:val="3"/>
          <w:numId w:val="45"/>
        </w:numPr>
      </w:pPr>
    </w:p>
    <w:p w14:paraId="6D1F6B69" w14:textId="77777777" w:rsidR="00144D1E" w:rsidRPr="00EA0DC7" w:rsidRDefault="00144D1E" w:rsidP="00144D1E">
      <w:pPr>
        <w:pStyle w:val="Heading4"/>
        <w:numPr>
          <w:ilvl w:val="3"/>
          <w:numId w:val="45"/>
        </w:numPr>
      </w:pPr>
      <w:r w:rsidRPr="00EA0DC7">
        <w:t>3.3.4.1 Subgroup analyses</w:t>
      </w:r>
    </w:p>
    <w:p w14:paraId="69687B20" w14:textId="77777777" w:rsidR="00144D1E" w:rsidRPr="00EA0DC7" w:rsidRDefault="00144D1E" w:rsidP="00144D1E">
      <w:pPr>
        <w:rPr>
          <w:rFonts w:cs="Arial"/>
          <w:szCs w:val="24"/>
        </w:rPr>
      </w:pPr>
      <w:r w:rsidRPr="00EA0DC7">
        <w:rPr>
          <w:rFonts w:cs="Arial"/>
          <w:szCs w:val="24"/>
        </w:rPr>
        <w:t xml:space="preserve"> </w:t>
      </w:r>
      <w:r w:rsidRPr="00EA0DC7">
        <w:rPr>
          <w:rFonts w:cs="Arial"/>
          <w:szCs w:val="24"/>
        </w:rPr>
        <w:tab/>
        <w:t xml:space="preserve">A number of subgroup analyses were carried out, the results of which can be found in Table 3.4. When studies did not provide the information needed for the analysis, they were excluded. All subgroup analyses should be interpreted with caution due to the small number of studies. </w:t>
      </w:r>
    </w:p>
    <w:p w14:paraId="68486EB0" w14:textId="77777777" w:rsidR="00144D1E" w:rsidRPr="00EA0DC7" w:rsidRDefault="00144D1E" w:rsidP="00216A42">
      <w:pPr>
        <w:pStyle w:val="Heading4"/>
        <w:keepNext/>
        <w:numPr>
          <w:ilvl w:val="3"/>
          <w:numId w:val="45"/>
        </w:numPr>
      </w:pPr>
      <w:r w:rsidRPr="00EA0DC7">
        <w:lastRenderedPageBreak/>
        <w:t>3.3.4.2 Moderator analyses</w:t>
      </w:r>
    </w:p>
    <w:p w14:paraId="3DCB3DA4" w14:textId="77777777" w:rsidR="00144D1E" w:rsidRPr="00EA0DC7" w:rsidRDefault="00144D1E" w:rsidP="00144D1E">
      <w:pPr>
        <w:ind w:firstLine="720"/>
        <w:rPr>
          <w:rFonts w:cs="Arial"/>
          <w:szCs w:val="24"/>
        </w:rPr>
      </w:pPr>
      <w:r w:rsidRPr="00EA0DC7">
        <w:rPr>
          <w:rFonts w:cs="Arial"/>
          <w:szCs w:val="24"/>
        </w:rPr>
        <w:t>No variables were found to moderate effect size (</w:t>
      </w:r>
      <w:r w:rsidRPr="00EA0DC7">
        <w:t xml:space="preserve">publication year, </w:t>
      </w:r>
      <w:r w:rsidRPr="00EA0DC7">
        <w:rPr>
          <w:rFonts w:cs="Arial"/>
          <w:i/>
          <w:szCs w:val="24"/>
        </w:rPr>
        <w:t>B</w:t>
      </w:r>
      <w:r w:rsidRPr="00EA0DC7">
        <w:rPr>
          <w:rFonts w:cs="Arial"/>
          <w:szCs w:val="24"/>
        </w:rPr>
        <w:t xml:space="preserve"> = -0.02, </w:t>
      </w:r>
      <w:r w:rsidRPr="00EA0DC7">
        <w:rPr>
          <w:rFonts w:cs="Arial"/>
          <w:i/>
          <w:szCs w:val="24"/>
        </w:rPr>
        <w:t>z</w:t>
      </w:r>
      <w:r w:rsidRPr="00EA0DC7">
        <w:rPr>
          <w:rFonts w:cs="Arial"/>
          <w:szCs w:val="24"/>
        </w:rPr>
        <w:t xml:space="preserve"> = -1.</w:t>
      </w:r>
      <w:r>
        <w:rPr>
          <w:rFonts w:cs="Arial"/>
          <w:szCs w:val="24"/>
        </w:rPr>
        <w:t>09</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275</w:t>
      </w:r>
      <w:r w:rsidRPr="00EA0DC7">
        <w:rPr>
          <w:rFonts w:cs="Arial"/>
          <w:szCs w:val="24"/>
        </w:rPr>
        <w:t xml:space="preserve">; QI score, </w:t>
      </w:r>
      <w:r w:rsidRPr="00EA0DC7">
        <w:rPr>
          <w:rFonts w:cs="Arial"/>
          <w:i/>
          <w:szCs w:val="24"/>
        </w:rPr>
        <w:t>B</w:t>
      </w:r>
      <w:r w:rsidRPr="00EA0DC7">
        <w:rPr>
          <w:rFonts w:cs="Arial"/>
          <w:szCs w:val="24"/>
        </w:rPr>
        <w:t xml:space="preserve"> = -0.0</w:t>
      </w:r>
      <w:r>
        <w:rPr>
          <w:rFonts w:cs="Arial"/>
          <w:szCs w:val="24"/>
        </w:rPr>
        <w:t>7</w:t>
      </w:r>
      <w:r w:rsidRPr="00EA0DC7">
        <w:rPr>
          <w:rFonts w:cs="Arial"/>
          <w:szCs w:val="24"/>
        </w:rPr>
        <w:t xml:space="preserve">, </w:t>
      </w:r>
      <w:r w:rsidRPr="00EA0DC7">
        <w:rPr>
          <w:rFonts w:cs="Arial"/>
          <w:i/>
          <w:szCs w:val="24"/>
        </w:rPr>
        <w:t>z</w:t>
      </w:r>
      <w:r w:rsidRPr="00EA0DC7">
        <w:rPr>
          <w:rFonts w:cs="Arial"/>
          <w:szCs w:val="24"/>
        </w:rPr>
        <w:t xml:space="preserve"> = -1.0</w:t>
      </w:r>
      <w:r>
        <w:rPr>
          <w:rFonts w:cs="Arial"/>
          <w:szCs w:val="24"/>
        </w:rPr>
        <w:t>6</w:t>
      </w:r>
      <w:r w:rsidRPr="00EA0DC7">
        <w:rPr>
          <w:rFonts w:cs="Arial"/>
          <w:szCs w:val="24"/>
        </w:rPr>
        <w:t xml:space="preserve">, </w:t>
      </w:r>
      <w:r w:rsidRPr="00EA0DC7">
        <w:rPr>
          <w:rFonts w:cs="Arial"/>
          <w:i/>
          <w:szCs w:val="24"/>
        </w:rPr>
        <w:t>p</w:t>
      </w:r>
      <w:r w:rsidRPr="00EA0DC7">
        <w:rPr>
          <w:rFonts w:cs="Arial"/>
          <w:szCs w:val="24"/>
        </w:rPr>
        <w:t xml:space="preserve"> = .2</w:t>
      </w:r>
      <w:r>
        <w:rPr>
          <w:rFonts w:cs="Arial"/>
          <w:szCs w:val="24"/>
        </w:rPr>
        <w:t>87</w:t>
      </w:r>
      <w:r w:rsidRPr="00EA0DC7">
        <w:rPr>
          <w:rFonts w:cs="Arial"/>
          <w:szCs w:val="24"/>
        </w:rPr>
        <w:t xml:space="preserve">; supervision frequency, </w:t>
      </w:r>
      <w:r w:rsidRPr="00EA0DC7">
        <w:rPr>
          <w:rFonts w:cs="Arial"/>
          <w:i/>
          <w:szCs w:val="24"/>
        </w:rPr>
        <w:t>B</w:t>
      </w:r>
      <w:r w:rsidRPr="00EA0DC7">
        <w:rPr>
          <w:rFonts w:cs="Arial"/>
          <w:szCs w:val="24"/>
        </w:rPr>
        <w:t xml:space="preserve"> = 0.</w:t>
      </w:r>
      <w:r>
        <w:rPr>
          <w:rFonts w:cs="Arial"/>
          <w:szCs w:val="24"/>
        </w:rPr>
        <w:t>38</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1.01</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314</w:t>
      </w:r>
      <w:r w:rsidRPr="00EA0DC7">
        <w:rPr>
          <w:rFonts w:cs="Arial"/>
          <w:szCs w:val="24"/>
        </w:rPr>
        <w:t>; s</w:t>
      </w:r>
      <w:r w:rsidRPr="00EA0DC7">
        <w:t xml:space="preserve">tudy length </w:t>
      </w:r>
      <w:r w:rsidRPr="00EA0DC7">
        <w:rPr>
          <w:rFonts w:cs="Arial"/>
          <w:i/>
          <w:szCs w:val="24"/>
        </w:rPr>
        <w:t>B</w:t>
      </w:r>
      <w:r w:rsidRPr="00EA0DC7">
        <w:rPr>
          <w:rFonts w:cs="Arial"/>
          <w:szCs w:val="24"/>
        </w:rPr>
        <w:t xml:space="preserve"> = </w:t>
      </w:r>
      <w:r>
        <w:rPr>
          <w:rFonts w:cs="Arial"/>
          <w:szCs w:val="24"/>
        </w:rPr>
        <w:t>-0.01</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0.53</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597</w:t>
      </w:r>
      <w:r w:rsidRPr="00EA0DC7">
        <w:rPr>
          <w:rFonts w:cs="Arial"/>
          <w:szCs w:val="24"/>
        </w:rPr>
        <w:t xml:space="preserve">). </w:t>
      </w:r>
    </w:p>
    <w:p w14:paraId="39087F0A" w14:textId="77777777" w:rsidR="00144D1E" w:rsidRPr="00EA0DC7" w:rsidRDefault="00144D1E" w:rsidP="00144D1E">
      <w:pPr>
        <w:rPr>
          <w:rFonts w:cs="Arial"/>
          <w:szCs w:val="24"/>
        </w:rPr>
      </w:pPr>
    </w:p>
    <w:p w14:paraId="15FE80E5" w14:textId="7C437A02" w:rsidR="00144D1E" w:rsidRPr="00EA0DC7" w:rsidRDefault="00144D1E" w:rsidP="00144D1E">
      <w:pPr>
        <w:pStyle w:val="Captions"/>
        <w:keepNext/>
        <w:rPr>
          <w:rFonts w:cs="Arial"/>
          <w:szCs w:val="24"/>
        </w:rPr>
      </w:pPr>
      <w:bookmarkStart w:id="122" w:name="_Toc47039926"/>
      <w:r w:rsidRPr="00EA0DC7">
        <w:t>T</w:t>
      </w:r>
      <w:r w:rsidRPr="00EA0DC7">
        <w:rPr>
          <w:rStyle w:val="CaptionsChar"/>
        </w:rPr>
        <w:t xml:space="preserve">able </w:t>
      </w:r>
      <w:r w:rsidRPr="00EA0DC7">
        <w:rPr>
          <w:rStyle w:val="CaptionsChar"/>
        </w:rPr>
        <w:fldChar w:fldCharType="begin"/>
      </w:r>
      <w:r w:rsidRPr="00EA0DC7">
        <w:rPr>
          <w:rStyle w:val="CaptionsChar"/>
        </w:rPr>
        <w:instrText xml:space="preserve"> STYLEREF 1 \s </w:instrText>
      </w:r>
      <w:r w:rsidRPr="00EA0DC7">
        <w:rPr>
          <w:rStyle w:val="CaptionsChar"/>
        </w:rPr>
        <w:fldChar w:fldCharType="separate"/>
      </w:r>
      <w:r w:rsidR="00694354">
        <w:rPr>
          <w:rStyle w:val="CaptionsChar"/>
          <w:noProof/>
        </w:rPr>
        <w:t>3</w:t>
      </w:r>
      <w:r w:rsidRPr="00EA0DC7">
        <w:rPr>
          <w:rStyle w:val="CaptionsChar"/>
        </w:rPr>
        <w:fldChar w:fldCharType="end"/>
      </w:r>
      <w:r w:rsidRPr="00EA0DC7">
        <w:rPr>
          <w:rStyle w:val="CaptionsChar"/>
        </w:rPr>
        <w:t>.</w:t>
      </w:r>
      <w:r w:rsidRPr="00EA0DC7">
        <w:rPr>
          <w:rStyle w:val="CaptionsChar"/>
        </w:rPr>
        <w:fldChar w:fldCharType="begin"/>
      </w:r>
      <w:r w:rsidRPr="00EA0DC7">
        <w:rPr>
          <w:rStyle w:val="CaptionsChar"/>
        </w:rPr>
        <w:instrText xml:space="preserve"> SEQ Table \* ARABIC \s 1 </w:instrText>
      </w:r>
      <w:r w:rsidRPr="00EA0DC7">
        <w:rPr>
          <w:rStyle w:val="CaptionsChar"/>
        </w:rPr>
        <w:fldChar w:fldCharType="separate"/>
      </w:r>
      <w:r w:rsidR="00694354">
        <w:rPr>
          <w:rStyle w:val="CaptionsChar"/>
          <w:noProof/>
        </w:rPr>
        <w:t>4</w:t>
      </w:r>
      <w:r w:rsidRPr="00EA0DC7">
        <w:rPr>
          <w:rStyle w:val="CaptionsChar"/>
        </w:rPr>
        <w:fldChar w:fldCharType="end"/>
      </w:r>
      <w:r w:rsidRPr="00EA0DC7">
        <w:rPr>
          <w:rStyle w:val="CaptionsChar"/>
        </w:rPr>
        <w:t>. Subgroup analyses for studies investigating supervisee effects.</w:t>
      </w:r>
      <w:bookmarkEnd w:id="122"/>
    </w:p>
    <w:tbl>
      <w:tblPr>
        <w:tblStyle w:val="PlainTable21"/>
        <w:tblW w:w="0" w:type="auto"/>
        <w:tblLook w:val="04A0" w:firstRow="1" w:lastRow="0" w:firstColumn="1" w:lastColumn="0" w:noHBand="0" w:noVBand="1"/>
      </w:tblPr>
      <w:tblGrid>
        <w:gridCol w:w="2497"/>
        <w:gridCol w:w="411"/>
        <w:gridCol w:w="2336"/>
        <w:gridCol w:w="846"/>
        <w:gridCol w:w="1078"/>
        <w:gridCol w:w="1030"/>
      </w:tblGrid>
      <w:tr w:rsidR="00144D1E" w:rsidRPr="00EA0DC7" w14:paraId="1A5694CC" w14:textId="77777777" w:rsidTr="00F74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Pr>
          <w:p w14:paraId="5FA397FF" w14:textId="77777777" w:rsidR="00144D1E" w:rsidRPr="00EA0DC7" w:rsidRDefault="00144D1E" w:rsidP="00F744CC">
            <w:pPr>
              <w:spacing w:before="240"/>
              <w:jc w:val="center"/>
              <w:rPr>
                <w:rFonts w:cs="Arial"/>
                <w:szCs w:val="24"/>
              </w:rPr>
            </w:pPr>
            <w:r w:rsidRPr="00EA0DC7">
              <w:rPr>
                <w:rFonts w:cs="Arial"/>
                <w:szCs w:val="24"/>
              </w:rPr>
              <w:t>Subgroup</w:t>
            </w:r>
          </w:p>
        </w:tc>
        <w:tc>
          <w:tcPr>
            <w:tcW w:w="411" w:type="dxa"/>
          </w:tcPr>
          <w:p w14:paraId="220B046E" w14:textId="77777777" w:rsidR="00144D1E" w:rsidRPr="00EA0DC7" w:rsidRDefault="00144D1E" w:rsidP="00F744CC">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rPr>
            </w:pPr>
            <w:r w:rsidRPr="00EA0DC7">
              <w:rPr>
                <w:rFonts w:cs="Arial"/>
                <w:i/>
                <w:szCs w:val="24"/>
              </w:rPr>
              <w:t>n</w:t>
            </w:r>
          </w:p>
        </w:tc>
        <w:tc>
          <w:tcPr>
            <w:tcW w:w="2336" w:type="dxa"/>
          </w:tcPr>
          <w:p w14:paraId="1BB5ADEE" w14:textId="77777777" w:rsidR="00144D1E" w:rsidRPr="00EA0DC7" w:rsidRDefault="00144D1E" w:rsidP="00F744CC">
            <w:pPr>
              <w:spacing w:before="24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A0DC7">
              <w:rPr>
                <w:rFonts w:cs="Arial"/>
                <w:szCs w:val="24"/>
              </w:rPr>
              <w:t xml:space="preserve">Hedges’ </w:t>
            </w:r>
            <w:r w:rsidRPr="00EA0DC7">
              <w:rPr>
                <w:rFonts w:cs="Arial"/>
                <w:i/>
                <w:szCs w:val="24"/>
              </w:rPr>
              <w:t>g</w:t>
            </w:r>
            <w:r w:rsidRPr="00EA0DC7">
              <w:rPr>
                <w:rFonts w:cs="Arial"/>
                <w:szCs w:val="24"/>
              </w:rPr>
              <w:t xml:space="preserve"> [95% CI]</w:t>
            </w:r>
          </w:p>
        </w:tc>
        <w:tc>
          <w:tcPr>
            <w:tcW w:w="846" w:type="dxa"/>
          </w:tcPr>
          <w:p w14:paraId="23DE3F41" w14:textId="77777777" w:rsidR="00144D1E" w:rsidRPr="00EA0DC7" w:rsidRDefault="00144D1E" w:rsidP="00F744CC">
            <w:pPr>
              <w:spacing w:before="24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A0DC7">
              <w:rPr>
                <w:rFonts w:cs="Arial"/>
                <w:szCs w:val="24"/>
              </w:rPr>
              <w:t>Q</w:t>
            </w:r>
          </w:p>
        </w:tc>
        <w:tc>
          <w:tcPr>
            <w:tcW w:w="1078" w:type="dxa"/>
          </w:tcPr>
          <w:p w14:paraId="202D7882" w14:textId="77777777" w:rsidR="00144D1E" w:rsidRPr="00EA0DC7" w:rsidRDefault="00144D1E" w:rsidP="00F744CC">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vertAlign w:val="subscript"/>
              </w:rPr>
            </w:pPr>
            <w:r w:rsidRPr="00EA0DC7">
              <w:rPr>
                <w:rFonts w:cs="Arial"/>
                <w:i/>
                <w:szCs w:val="24"/>
              </w:rPr>
              <w:t>P</w:t>
            </w:r>
            <w:r w:rsidRPr="00EA0DC7">
              <w:rPr>
                <w:rFonts w:cs="Arial"/>
                <w:i/>
                <w:szCs w:val="24"/>
                <w:vertAlign w:val="subscript"/>
              </w:rPr>
              <w:t>Q</w:t>
            </w:r>
          </w:p>
        </w:tc>
        <w:tc>
          <w:tcPr>
            <w:tcW w:w="1030" w:type="dxa"/>
          </w:tcPr>
          <w:p w14:paraId="0B74C92E" w14:textId="77777777" w:rsidR="00144D1E" w:rsidRPr="00EA0DC7" w:rsidRDefault="00144D1E" w:rsidP="00F744CC">
            <w:pPr>
              <w:spacing w:before="240"/>
              <w:jc w:val="center"/>
              <w:cnfStyle w:val="100000000000" w:firstRow="1" w:lastRow="0" w:firstColumn="0" w:lastColumn="0" w:oddVBand="0" w:evenVBand="0" w:oddHBand="0" w:evenHBand="0" w:firstRowFirstColumn="0" w:firstRowLastColumn="0" w:lastRowFirstColumn="0" w:lastRowLastColumn="0"/>
              <w:rPr>
                <w:rFonts w:cs="Arial"/>
                <w:i/>
                <w:szCs w:val="24"/>
                <w:vertAlign w:val="superscript"/>
              </w:rPr>
            </w:pPr>
            <w:r w:rsidRPr="00EA0DC7">
              <w:rPr>
                <w:rFonts w:cs="Arial"/>
                <w:i/>
                <w:szCs w:val="24"/>
              </w:rPr>
              <w:t>I</w:t>
            </w:r>
            <w:r w:rsidRPr="00EA0DC7">
              <w:rPr>
                <w:rFonts w:cs="Arial"/>
                <w:i/>
                <w:szCs w:val="24"/>
                <w:vertAlign w:val="superscript"/>
              </w:rPr>
              <w:t>2</w:t>
            </w:r>
          </w:p>
        </w:tc>
      </w:tr>
      <w:tr w:rsidR="00144D1E" w:rsidRPr="00EA0DC7" w14:paraId="2EB13AF5" w14:textId="77777777" w:rsidTr="00F744CC">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97" w:type="dxa"/>
            <w:tcBorders>
              <w:bottom w:val="nil"/>
            </w:tcBorders>
          </w:tcPr>
          <w:p w14:paraId="06971A99" w14:textId="77777777" w:rsidR="00144D1E" w:rsidRPr="00EA0DC7" w:rsidRDefault="00144D1E" w:rsidP="00F744CC">
            <w:pPr>
              <w:jc w:val="left"/>
              <w:rPr>
                <w:rFonts w:cs="Arial"/>
                <w:b w:val="0"/>
                <w:i/>
                <w:szCs w:val="24"/>
              </w:rPr>
            </w:pPr>
            <w:r w:rsidRPr="00EA0DC7">
              <w:rPr>
                <w:rFonts w:cs="Arial"/>
                <w:b w:val="0"/>
                <w:i/>
                <w:szCs w:val="24"/>
              </w:rPr>
              <w:t>Study design</w:t>
            </w:r>
          </w:p>
        </w:tc>
        <w:tc>
          <w:tcPr>
            <w:tcW w:w="411" w:type="dxa"/>
            <w:tcBorders>
              <w:bottom w:val="nil"/>
            </w:tcBorders>
          </w:tcPr>
          <w:p w14:paraId="6DE413CE" w14:textId="77777777" w:rsidR="00144D1E" w:rsidRPr="00EA0DC7" w:rsidRDefault="00144D1E" w:rsidP="00F744CC">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2336" w:type="dxa"/>
            <w:tcBorders>
              <w:bottom w:val="nil"/>
            </w:tcBorders>
          </w:tcPr>
          <w:p w14:paraId="61D8B6D3" w14:textId="77777777" w:rsidR="00144D1E" w:rsidRPr="00EA0DC7" w:rsidRDefault="00144D1E" w:rsidP="00F744CC">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846" w:type="dxa"/>
            <w:tcBorders>
              <w:bottom w:val="nil"/>
            </w:tcBorders>
          </w:tcPr>
          <w:p w14:paraId="51EAB98F" w14:textId="77777777" w:rsidR="00144D1E" w:rsidRPr="00EA0DC7" w:rsidRDefault="00144D1E" w:rsidP="00F744CC">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1078" w:type="dxa"/>
            <w:tcBorders>
              <w:bottom w:val="nil"/>
            </w:tcBorders>
          </w:tcPr>
          <w:p w14:paraId="34DD74EC" w14:textId="77777777" w:rsidR="00144D1E" w:rsidRPr="00EA0DC7" w:rsidRDefault="00144D1E" w:rsidP="00F744CC">
            <w:pPr>
              <w:jc w:val="left"/>
              <w:cnfStyle w:val="000000100000" w:firstRow="0" w:lastRow="0" w:firstColumn="0" w:lastColumn="0" w:oddVBand="0" w:evenVBand="0" w:oddHBand="1" w:evenHBand="0" w:firstRowFirstColumn="0" w:firstRowLastColumn="0" w:lastRowFirstColumn="0" w:lastRowLastColumn="0"/>
              <w:rPr>
                <w:rFonts w:cs="Arial"/>
                <w:szCs w:val="24"/>
              </w:rPr>
            </w:pPr>
          </w:p>
        </w:tc>
        <w:tc>
          <w:tcPr>
            <w:tcW w:w="1030" w:type="dxa"/>
            <w:tcBorders>
              <w:bottom w:val="nil"/>
            </w:tcBorders>
          </w:tcPr>
          <w:p w14:paraId="2EDB50A3" w14:textId="77777777" w:rsidR="00144D1E" w:rsidRPr="00EA0DC7" w:rsidRDefault="00144D1E" w:rsidP="00F744CC">
            <w:pPr>
              <w:jc w:val="left"/>
              <w:cnfStyle w:val="000000100000" w:firstRow="0" w:lastRow="0" w:firstColumn="0" w:lastColumn="0" w:oddVBand="0" w:evenVBand="0" w:oddHBand="1" w:evenHBand="0" w:firstRowFirstColumn="0" w:firstRowLastColumn="0" w:lastRowFirstColumn="0" w:lastRowLastColumn="0"/>
              <w:rPr>
                <w:rFonts w:cs="Arial"/>
                <w:szCs w:val="24"/>
              </w:rPr>
            </w:pPr>
          </w:p>
        </w:tc>
      </w:tr>
      <w:tr w:rsidR="00144D1E" w:rsidRPr="00EA0DC7" w14:paraId="3963558B"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602F9641" w14:textId="77777777" w:rsidR="00144D1E" w:rsidRPr="00EA0DC7" w:rsidRDefault="00144D1E" w:rsidP="00F744CC">
            <w:pPr>
              <w:jc w:val="left"/>
              <w:rPr>
                <w:rFonts w:cs="Arial"/>
                <w:b w:val="0"/>
                <w:szCs w:val="24"/>
              </w:rPr>
            </w:pPr>
            <w:r w:rsidRPr="00EA0DC7">
              <w:rPr>
                <w:rFonts w:cs="Arial"/>
                <w:b w:val="0"/>
                <w:szCs w:val="24"/>
              </w:rPr>
              <w:t xml:space="preserve">   Controlled</w:t>
            </w:r>
          </w:p>
        </w:tc>
        <w:tc>
          <w:tcPr>
            <w:tcW w:w="411" w:type="dxa"/>
            <w:tcBorders>
              <w:top w:val="nil"/>
              <w:bottom w:val="nil"/>
            </w:tcBorders>
          </w:tcPr>
          <w:p w14:paraId="1CA41FDF"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5</w:t>
            </w:r>
          </w:p>
        </w:tc>
        <w:tc>
          <w:tcPr>
            <w:tcW w:w="2336" w:type="dxa"/>
            <w:tcBorders>
              <w:top w:val="nil"/>
              <w:bottom w:val="nil"/>
            </w:tcBorders>
          </w:tcPr>
          <w:p w14:paraId="5F6762D6"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r>
              <w:rPr>
                <w:rFonts w:cs="Arial"/>
                <w:szCs w:val="24"/>
              </w:rPr>
              <w:t>59</w:t>
            </w:r>
            <w:r w:rsidRPr="00EA0DC7">
              <w:rPr>
                <w:rFonts w:cs="Arial"/>
                <w:szCs w:val="24"/>
              </w:rPr>
              <w:t xml:space="preserve"> [0.</w:t>
            </w:r>
            <w:r>
              <w:rPr>
                <w:rFonts w:cs="Arial"/>
                <w:szCs w:val="24"/>
              </w:rPr>
              <w:t>28</w:t>
            </w:r>
            <w:r w:rsidRPr="00EA0DC7">
              <w:rPr>
                <w:rFonts w:cs="Arial"/>
                <w:szCs w:val="24"/>
              </w:rPr>
              <w:t>, 0.9</w:t>
            </w:r>
            <w:r>
              <w:rPr>
                <w:rFonts w:cs="Arial"/>
                <w:szCs w:val="24"/>
              </w:rPr>
              <w:t>0</w:t>
            </w:r>
            <w:r w:rsidRPr="00EA0DC7">
              <w:rPr>
                <w:rFonts w:cs="Arial"/>
                <w:szCs w:val="24"/>
              </w:rPr>
              <w:t>]</w:t>
            </w:r>
          </w:p>
        </w:tc>
        <w:tc>
          <w:tcPr>
            <w:tcW w:w="846" w:type="dxa"/>
            <w:tcBorders>
              <w:top w:val="nil"/>
              <w:bottom w:val="nil"/>
            </w:tcBorders>
          </w:tcPr>
          <w:p w14:paraId="1C4787C2"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3.26</w:t>
            </w:r>
          </w:p>
        </w:tc>
        <w:tc>
          <w:tcPr>
            <w:tcW w:w="1078" w:type="dxa"/>
            <w:tcBorders>
              <w:top w:val="nil"/>
              <w:bottom w:val="nil"/>
            </w:tcBorders>
          </w:tcPr>
          <w:p w14:paraId="7F2FD30C"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.5</w:t>
            </w:r>
            <w:r>
              <w:rPr>
                <w:rFonts w:cs="Arial"/>
                <w:szCs w:val="24"/>
              </w:rPr>
              <w:t>16</w:t>
            </w:r>
          </w:p>
        </w:tc>
        <w:tc>
          <w:tcPr>
            <w:tcW w:w="1030" w:type="dxa"/>
            <w:tcBorders>
              <w:top w:val="nil"/>
              <w:bottom w:val="nil"/>
            </w:tcBorders>
          </w:tcPr>
          <w:p w14:paraId="68C06EB0"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p>
        </w:tc>
      </w:tr>
      <w:tr w:rsidR="00144D1E" w:rsidRPr="00EA0DC7" w14:paraId="3433B2B7"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32D575C9" w14:textId="77777777" w:rsidR="00144D1E" w:rsidRPr="003F4E71" w:rsidRDefault="00144D1E" w:rsidP="00F744CC">
            <w:pPr>
              <w:jc w:val="left"/>
              <w:rPr>
                <w:rFonts w:cs="Arial"/>
                <w:b w:val="0"/>
                <w:i/>
                <w:szCs w:val="24"/>
              </w:rPr>
            </w:pPr>
            <w:r w:rsidRPr="003F4E71">
              <w:rPr>
                <w:rFonts w:cs="Arial"/>
                <w:b w:val="0"/>
                <w:i/>
                <w:szCs w:val="24"/>
              </w:rPr>
              <w:t xml:space="preserve">   Active control</w:t>
            </w:r>
          </w:p>
        </w:tc>
        <w:tc>
          <w:tcPr>
            <w:tcW w:w="411" w:type="dxa"/>
            <w:tcBorders>
              <w:top w:val="nil"/>
              <w:bottom w:val="nil"/>
            </w:tcBorders>
          </w:tcPr>
          <w:p w14:paraId="42147404" w14:textId="77777777" w:rsidR="00144D1E" w:rsidRPr="003F4E71"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i/>
                <w:szCs w:val="24"/>
              </w:rPr>
            </w:pPr>
            <w:r>
              <w:rPr>
                <w:rFonts w:cs="Arial"/>
                <w:i/>
                <w:szCs w:val="24"/>
              </w:rPr>
              <w:t>2</w:t>
            </w:r>
          </w:p>
        </w:tc>
        <w:tc>
          <w:tcPr>
            <w:tcW w:w="2336" w:type="dxa"/>
            <w:tcBorders>
              <w:top w:val="nil"/>
              <w:bottom w:val="nil"/>
            </w:tcBorders>
          </w:tcPr>
          <w:p w14:paraId="25B388AF" w14:textId="77777777" w:rsidR="00144D1E" w:rsidRPr="003F4E71"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i/>
                <w:szCs w:val="24"/>
              </w:rPr>
            </w:pPr>
            <w:r>
              <w:rPr>
                <w:rFonts w:cs="Arial"/>
                <w:i/>
                <w:szCs w:val="24"/>
              </w:rPr>
              <w:t>0.51 [-2.37, 3.40]</w:t>
            </w:r>
          </w:p>
        </w:tc>
        <w:tc>
          <w:tcPr>
            <w:tcW w:w="846" w:type="dxa"/>
            <w:tcBorders>
              <w:top w:val="nil"/>
              <w:bottom w:val="nil"/>
            </w:tcBorders>
          </w:tcPr>
          <w:p w14:paraId="738F6322" w14:textId="77777777" w:rsidR="00144D1E" w:rsidRPr="003F4E71"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i/>
                <w:szCs w:val="24"/>
              </w:rPr>
            </w:pPr>
            <w:r>
              <w:rPr>
                <w:rFonts w:cs="Arial"/>
                <w:i/>
                <w:szCs w:val="24"/>
              </w:rPr>
              <w:t>0.63</w:t>
            </w:r>
          </w:p>
        </w:tc>
        <w:tc>
          <w:tcPr>
            <w:tcW w:w="1078" w:type="dxa"/>
            <w:tcBorders>
              <w:top w:val="nil"/>
              <w:bottom w:val="nil"/>
            </w:tcBorders>
          </w:tcPr>
          <w:p w14:paraId="5EDB0D14" w14:textId="77777777" w:rsidR="00144D1E" w:rsidRPr="003F4E71"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i/>
                <w:szCs w:val="24"/>
              </w:rPr>
            </w:pPr>
            <w:r>
              <w:rPr>
                <w:rFonts w:cs="Arial"/>
                <w:i/>
                <w:szCs w:val="24"/>
              </w:rPr>
              <w:t>.426</w:t>
            </w:r>
          </w:p>
        </w:tc>
        <w:tc>
          <w:tcPr>
            <w:tcW w:w="1030" w:type="dxa"/>
            <w:tcBorders>
              <w:top w:val="nil"/>
              <w:bottom w:val="nil"/>
            </w:tcBorders>
          </w:tcPr>
          <w:p w14:paraId="1491B0AE" w14:textId="77777777" w:rsidR="00144D1E" w:rsidRPr="003F4E71"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i/>
                <w:szCs w:val="24"/>
              </w:rPr>
            </w:pPr>
            <w:r>
              <w:rPr>
                <w:rFonts w:cs="Arial"/>
                <w:i/>
                <w:szCs w:val="24"/>
              </w:rPr>
              <w:t>0%</w:t>
            </w:r>
          </w:p>
        </w:tc>
      </w:tr>
      <w:tr w:rsidR="00144D1E" w:rsidRPr="00EA0DC7" w14:paraId="154FACEC"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3E5BF677" w14:textId="77777777" w:rsidR="00144D1E" w:rsidRPr="003F4E71" w:rsidRDefault="00144D1E" w:rsidP="00F744CC">
            <w:pPr>
              <w:jc w:val="left"/>
              <w:rPr>
                <w:rFonts w:cs="Arial"/>
                <w:b w:val="0"/>
                <w:i/>
                <w:szCs w:val="24"/>
              </w:rPr>
            </w:pPr>
            <w:r w:rsidRPr="003F4E71">
              <w:rPr>
                <w:rFonts w:cs="Arial"/>
                <w:b w:val="0"/>
                <w:i/>
                <w:szCs w:val="24"/>
              </w:rPr>
              <w:t xml:space="preserve">   Passive control</w:t>
            </w:r>
          </w:p>
        </w:tc>
        <w:tc>
          <w:tcPr>
            <w:tcW w:w="411" w:type="dxa"/>
            <w:tcBorders>
              <w:top w:val="nil"/>
              <w:bottom w:val="nil"/>
            </w:tcBorders>
          </w:tcPr>
          <w:p w14:paraId="690B00DB" w14:textId="77777777" w:rsidR="00144D1E" w:rsidRPr="003F4E71"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i/>
                <w:szCs w:val="24"/>
              </w:rPr>
            </w:pPr>
            <w:r>
              <w:rPr>
                <w:rFonts w:cs="Arial"/>
                <w:i/>
                <w:szCs w:val="24"/>
              </w:rPr>
              <w:t>3</w:t>
            </w:r>
          </w:p>
        </w:tc>
        <w:tc>
          <w:tcPr>
            <w:tcW w:w="2336" w:type="dxa"/>
            <w:tcBorders>
              <w:top w:val="nil"/>
              <w:bottom w:val="nil"/>
            </w:tcBorders>
          </w:tcPr>
          <w:p w14:paraId="662CB24A" w14:textId="77777777" w:rsidR="00144D1E" w:rsidRPr="003F4E71"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i/>
                <w:szCs w:val="24"/>
              </w:rPr>
            </w:pPr>
            <w:r>
              <w:rPr>
                <w:rFonts w:cs="Arial"/>
                <w:i/>
                <w:szCs w:val="24"/>
              </w:rPr>
              <w:t>0.59 [-0.07, 1.25]</w:t>
            </w:r>
          </w:p>
        </w:tc>
        <w:tc>
          <w:tcPr>
            <w:tcW w:w="846" w:type="dxa"/>
            <w:tcBorders>
              <w:top w:val="nil"/>
              <w:bottom w:val="nil"/>
            </w:tcBorders>
          </w:tcPr>
          <w:p w14:paraId="5BC0ADD4" w14:textId="77777777" w:rsidR="00144D1E" w:rsidRPr="003F4E71"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i/>
                <w:szCs w:val="24"/>
              </w:rPr>
            </w:pPr>
            <w:r>
              <w:rPr>
                <w:rFonts w:cs="Arial"/>
                <w:i/>
                <w:szCs w:val="24"/>
              </w:rPr>
              <w:t>2.54</w:t>
            </w:r>
          </w:p>
        </w:tc>
        <w:tc>
          <w:tcPr>
            <w:tcW w:w="1078" w:type="dxa"/>
            <w:tcBorders>
              <w:top w:val="nil"/>
              <w:bottom w:val="nil"/>
            </w:tcBorders>
          </w:tcPr>
          <w:p w14:paraId="09D97BE8" w14:textId="77777777" w:rsidR="00144D1E" w:rsidRPr="003F4E71"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i/>
                <w:szCs w:val="24"/>
              </w:rPr>
            </w:pPr>
            <w:r>
              <w:rPr>
                <w:rFonts w:cs="Arial"/>
                <w:i/>
                <w:szCs w:val="24"/>
              </w:rPr>
              <w:t>.281</w:t>
            </w:r>
          </w:p>
        </w:tc>
        <w:tc>
          <w:tcPr>
            <w:tcW w:w="1030" w:type="dxa"/>
            <w:tcBorders>
              <w:top w:val="nil"/>
              <w:bottom w:val="nil"/>
            </w:tcBorders>
          </w:tcPr>
          <w:p w14:paraId="7773173E" w14:textId="77777777" w:rsidR="00144D1E" w:rsidRPr="003F4E71"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i/>
                <w:szCs w:val="24"/>
              </w:rPr>
            </w:pPr>
            <w:r>
              <w:rPr>
                <w:rFonts w:cs="Arial"/>
                <w:i/>
                <w:szCs w:val="24"/>
              </w:rPr>
              <w:t>21.26%</w:t>
            </w:r>
          </w:p>
        </w:tc>
      </w:tr>
      <w:tr w:rsidR="00144D1E" w:rsidRPr="00EA0DC7" w14:paraId="4BEE7799"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2CA995E7" w14:textId="77777777" w:rsidR="00144D1E" w:rsidRPr="00EA0DC7" w:rsidRDefault="00144D1E" w:rsidP="00F744CC">
            <w:pPr>
              <w:jc w:val="left"/>
              <w:rPr>
                <w:rFonts w:cs="Arial"/>
                <w:b w:val="0"/>
                <w:szCs w:val="24"/>
              </w:rPr>
            </w:pPr>
            <w:r w:rsidRPr="00EA0DC7">
              <w:rPr>
                <w:rFonts w:cs="Arial"/>
                <w:b w:val="0"/>
                <w:szCs w:val="24"/>
              </w:rPr>
              <w:t xml:space="preserve">   Non controlled</w:t>
            </w:r>
          </w:p>
        </w:tc>
        <w:tc>
          <w:tcPr>
            <w:tcW w:w="411" w:type="dxa"/>
            <w:tcBorders>
              <w:top w:val="nil"/>
              <w:bottom w:val="nil"/>
            </w:tcBorders>
          </w:tcPr>
          <w:p w14:paraId="00E8934B"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6</w:t>
            </w:r>
          </w:p>
        </w:tc>
        <w:tc>
          <w:tcPr>
            <w:tcW w:w="2336" w:type="dxa"/>
            <w:tcBorders>
              <w:top w:val="nil"/>
              <w:bottom w:val="nil"/>
            </w:tcBorders>
          </w:tcPr>
          <w:p w14:paraId="75674596"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0.5</w:t>
            </w:r>
            <w:r>
              <w:rPr>
                <w:rFonts w:cs="Arial"/>
                <w:szCs w:val="24"/>
              </w:rPr>
              <w:t>6</w:t>
            </w:r>
            <w:r w:rsidRPr="00EA0DC7">
              <w:rPr>
                <w:rFonts w:cs="Arial"/>
                <w:szCs w:val="24"/>
              </w:rPr>
              <w:t xml:space="preserve"> [-0.</w:t>
            </w:r>
            <w:r>
              <w:rPr>
                <w:rFonts w:cs="Arial"/>
                <w:szCs w:val="24"/>
              </w:rPr>
              <w:t>35</w:t>
            </w:r>
            <w:r w:rsidRPr="00EA0DC7">
              <w:rPr>
                <w:rFonts w:cs="Arial"/>
                <w:szCs w:val="24"/>
              </w:rPr>
              <w:t>, 1.</w:t>
            </w:r>
            <w:r>
              <w:rPr>
                <w:rFonts w:cs="Arial"/>
                <w:szCs w:val="24"/>
              </w:rPr>
              <w:t>47</w:t>
            </w:r>
            <w:r w:rsidRPr="00EA0DC7">
              <w:rPr>
                <w:rFonts w:cs="Arial"/>
                <w:szCs w:val="24"/>
              </w:rPr>
              <w:t>]</w:t>
            </w:r>
          </w:p>
        </w:tc>
        <w:tc>
          <w:tcPr>
            <w:tcW w:w="846" w:type="dxa"/>
            <w:tcBorders>
              <w:top w:val="nil"/>
              <w:bottom w:val="nil"/>
            </w:tcBorders>
          </w:tcPr>
          <w:p w14:paraId="15E5852E"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79.34</w:t>
            </w:r>
          </w:p>
        </w:tc>
        <w:tc>
          <w:tcPr>
            <w:tcW w:w="1078" w:type="dxa"/>
            <w:tcBorders>
              <w:top w:val="nil"/>
              <w:bottom w:val="nil"/>
            </w:tcBorders>
          </w:tcPr>
          <w:p w14:paraId="2132F421"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&lt; .001</w:t>
            </w:r>
          </w:p>
        </w:tc>
        <w:tc>
          <w:tcPr>
            <w:tcW w:w="1030" w:type="dxa"/>
            <w:tcBorders>
              <w:top w:val="nil"/>
              <w:bottom w:val="nil"/>
            </w:tcBorders>
          </w:tcPr>
          <w:p w14:paraId="3ACC553A"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9</w:t>
            </w:r>
            <w:r>
              <w:rPr>
                <w:rFonts w:cs="Arial"/>
                <w:szCs w:val="24"/>
              </w:rPr>
              <w:t>3</w:t>
            </w:r>
            <w:r w:rsidRPr="00EA0DC7">
              <w:rPr>
                <w:rFonts w:cs="Arial"/>
                <w:szCs w:val="24"/>
              </w:rPr>
              <w:t>.</w:t>
            </w:r>
            <w:r>
              <w:rPr>
                <w:rFonts w:cs="Arial"/>
                <w:szCs w:val="24"/>
              </w:rPr>
              <w:t>70</w:t>
            </w:r>
            <w:r w:rsidRPr="00EA0DC7">
              <w:rPr>
                <w:rFonts w:cs="Arial"/>
                <w:szCs w:val="24"/>
              </w:rPr>
              <w:t>%</w:t>
            </w:r>
          </w:p>
        </w:tc>
      </w:tr>
      <w:tr w:rsidR="00144D1E" w:rsidRPr="00EA0DC7" w14:paraId="191FB86B"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166F0725" w14:textId="77777777" w:rsidR="00144D1E" w:rsidRPr="00EA0DC7" w:rsidRDefault="00144D1E" w:rsidP="00F744CC">
            <w:pPr>
              <w:jc w:val="left"/>
              <w:rPr>
                <w:rFonts w:cs="Arial"/>
                <w:b w:val="0"/>
                <w:i/>
                <w:szCs w:val="24"/>
              </w:rPr>
            </w:pPr>
            <w:r w:rsidRPr="00EA0DC7">
              <w:rPr>
                <w:rFonts w:cs="Arial"/>
                <w:b w:val="0"/>
                <w:i/>
                <w:szCs w:val="24"/>
              </w:rPr>
              <w:t>Country</w:t>
            </w:r>
          </w:p>
        </w:tc>
        <w:tc>
          <w:tcPr>
            <w:tcW w:w="411" w:type="dxa"/>
            <w:tcBorders>
              <w:top w:val="nil"/>
              <w:bottom w:val="nil"/>
            </w:tcBorders>
          </w:tcPr>
          <w:p w14:paraId="3C71D2C2"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2336" w:type="dxa"/>
            <w:tcBorders>
              <w:top w:val="nil"/>
              <w:bottom w:val="nil"/>
            </w:tcBorders>
          </w:tcPr>
          <w:p w14:paraId="75AF3EC8"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846" w:type="dxa"/>
            <w:tcBorders>
              <w:top w:val="nil"/>
              <w:bottom w:val="nil"/>
            </w:tcBorders>
          </w:tcPr>
          <w:p w14:paraId="5F08647B"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78" w:type="dxa"/>
            <w:tcBorders>
              <w:top w:val="nil"/>
              <w:bottom w:val="nil"/>
            </w:tcBorders>
          </w:tcPr>
          <w:p w14:paraId="6003BD31"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30" w:type="dxa"/>
            <w:tcBorders>
              <w:top w:val="nil"/>
              <w:bottom w:val="nil"/>
            </w:tcBorders>
          </w:tcPr>
          <w:p w14:paraId="0A7DD9F8"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144D1E" w:rsidRPr="00EA0DC7" w14:paraId="420C68C1"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70F2929F" w14:textId="77777777" w:rsidR="00144D1E" w:rsidRPr="00EA0DC7" w:rsidRDefault="00144D1E" w:rsidP="00F744CC">
            <w:pPr>
              <w:jc w:val="left"/>
              <w:rPr>
                <w:rFonts w:cs="Arial"/>
                <w:b w:val="0"/>
                <w:szCs w:val="24"/>
              </w:rPr>
            </w:pPr>
            <w:r w:rsidRPr="00EA0DC7">
              <w:rPr>
                <w:rFonts w:cs="Arial"/>
                <w:b w:val="0"/>
                <w:szCs w:val="24"/>
              </w:rPr>
              <w:t xml:space="preserve">   US</w:t>
            </w:r>
          </w:p>
        </w:tc>
        <w:tc>
          <w:tcPr>
            <w:tcW w:w="411" w:type="dxa"/>
            <w:tcBorders>
              <w:top w:val="nil"/>
              <w:bottom w:val="nil"/>
            </w:tcBorders>
          </w:tcPr>
          <w:p w14:paraId="24EFCEFB"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8</w:t>
            </w:r>
          </w:p>
        </w:tc>
        <w:tc>
          <w:tcPr>
            <w:tcW w:w="2336" w:type="dxa"/>
            <w:tcBorders>
              <w:top w:val="nil"/>
              <w:bottom w:val="nil"/>
            </w:tcBorders>
          </w:tcPr>
          <w:p w14:paraId="1EE43858"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w:t>
            </w:r>
            <w:r>
              <w:rPr>
                <w:rFonts w:cs="Arial"/>
                <w:szCs w:val="24"/>
              </w:rPr>
              <w:t>70</w:t>
            </w:r>
            <w:r w:rsidRPr="00EA0DC7">
              <w:rPr>
                <w:rFonts w:cs="Arial"/>
                <w:szCs w:val="24"/>
              </w:rPr>
              <w:t xml:space="preserve"> [0.</w:t>
            </w:r>
            <w:r>
              <w:rPr>
                <w:rFonts w:cs="Arial"/>
                <w:szCs w:val="24"/>
              </w:rPr>
              <w:t>19</w:t>
            </w:r>
            <w:r w:rsidRPr="00EA0DC7">
              <w:rPr>
                <w:rFonts w:cs="Arial"/>
                <w:szCs w:val="24"/>
              </w:rPr>
              <w:t>, 1.</w:t>
            </w:r>
            <w:r>
              <w:rPr>
                <w:rFonts w:cs="Arial"/>
                <w:szCs w:val="24"/>
              </w:rPr>
              <w:t>21</w:t>
            </w:r>
            <w:r w:rsidRPr="00EA0DC7">
              <w:rPr>
                <w:rFonts w:cs="Arial"/>
                <w:szCs w:val="24"/>
              </w:rPr>
              <w:t>]</w:t>
            </w:r>
          </w:p>
        </w:tc>
        <w:tc>
          <w:tcPr>
            <w:tcW w:w="846" w:type="dxa"/>
            <w:tcBorders>
              <w:top w:val="nil"/>
              <w:bottom w:val="nil"/>
            </w:tcBorders>
          </w:tcPr>
          <w:p w14:paraId="3452548C"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70.48</w:t>
            </w:r>
          </w:p>
        </w:tc>
        <w:tc>
          <w:tcPr>
            <w:tcW w:w="1078" w:type="dxa"/>
            <w:tcBorders>
              <w:top w:val="nil"/>
              <w:bottom w:val="nil"/>
            </w:tcBorders>
          </w:tcPr>
          <w:p w14:paraId="55824AC3"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&lt; .001</w:t>
            </w:r>
          </w:p>
        </w:tc>
        <w:tc>
          <w:tcPr>
            <w:tcW w:w="1030" w:type="dxa"/>
            <w:tcBorders>
              <w:top w:val="nil"/>
              <w:bottom w:val="nil"/>
            </w:tcBorders>
          </w:tcPr>
          <w:p w14:paraId="027AF4C2"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90.07</w:t>
            </w:r>
            <w:r w:rsidRPr="00EA0DC7">
              <w:rPr>
                <w:rFonts w:cs="Arial"/>
                <w:szCs w:val="24"/>
              </w:rPr>
              <w:t>%</w:t>
            </w:r>
          </w:p>
        </w:tc>
      </w:tr>
      <w:tr w:rsidR="00144D1E" w:rsidRPr="00EA0DC7" w14:paraId="495177CD"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711B8962" w14:textId="77777777" w:rsidR="00144D1E" w:rsidRPr="00EA0DC7" w:rsidRDefault="00144D1E" w:rsidP="00F744CC">
            <w:pPr>
              <w:jc w:val="left"/>
              <w:rPr>
                <w:rFonts w:cs="Arial"/>
                <w:b w:val="0"/>
                <w:szCs w:val="24"/>
              </w:rPr>
            </w:pPr>
            <w:r w:rsidRPr="00EA0DC7">
              <w:rPr>
                <w:rFonts w:cs="Arial"/>
                <w:b w:val="0"/>
                <w:szCs w:val="24"/>
              </w:rPr>
              <w:t xml:space="preserve">   Non-US</w:t>
            </w:r>
          </w:p>
        </w:tc>
        <w:tc>
          <w:tcPr>
            <w:tcW w:w="411" w:type="dxa"/>
            <w:tcBorders>
              <w:top w:val="nil"/>
              <w:bottom w:val="nil"/>
            </w:tcBorders>
          </w:tcPr>
          <w:p w14:paraId="48725A34"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w:t>
            </w:r>
          </w:p>
        </w:tc>
        <w:tc>
          <w:tcPr>
            <w:tcW w:w="2336" w:type="dxa"/>
            <w:tcBorders>
              <w:top w:val="nil"/>
              <w:bottom w:val="nil"/>
            </w:tcBorders>
          </w:tcPr>
          <w:p w14:paraId="65FB626B"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-0.14</w:t>
            </w:r>
            <w:r w:rsidRPr="00EA0DC7">
              <w:rPr>
                <w:rFonts w:cs="Arial"/>
                <w:szCs w:val="24"/>
              </w:rPr>
              <w:t xml:space="preserve"> [-</w:t>
            </w:r>
            <w:r>
              <w:rPr>
                <w:rFonts w:cs="Arial"/>
                <w:szCs w:val="24"/>
              </w:rPr>
              <w:t>5.95</w:t>
            </w:r>
            <w:r w:rsidRPr="00EA0DC7">
              <w:rPr>
                <w:rFonts w:cs="Arial"/>
                <w:szCs w:val="24"/>
              </w:rPr>
              <w:t xml:space="preserve">, </w:t>
            </w:r>
            <w:r>
              <w:rPr>
                <w:rFonts w:cs="Arial"/>
                <w:szCs w:val="24"/>
              </w:rPr>
              <w:t>5.66</w:t>
            </w:r>
            <w:r w:rsidRPr="00EA0DC7">
              <w:rPr>
                <w:rFonts w:cs="Arial"/>
                <w:szCs w:val="24"/>
              </w:rPr>
              <w:t>]</w:t>
            </w:r>
          </w:p>
        </w:tc>
        <w:tc>
          <w:tcPr>
            <w:tcW w:w="846" w:type="dxa"/>
            <w:tcBorders>
              <w:top w:val="nil"/>
              <w:bottom w:val="nil"/>
            </w:tcBorders>
          </w:tcPr>
          <w:p w14:paraId="77FB816D"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4.63</w:t>
            </w:r>
          </w:p>
        </w:tc>
        <w:tc>
          <w:tcPr>
            <w:tcW w:w="1078" w:type="dxa"/>
            <w:tcBorders>
              <w:top w:val="nil"/>
              <w:bottom w:val="nil"/>
            </w:tcBorders>
          </w:tcPr>
          <w:p w14:paraId="06A13BA5"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r>
              <w:rPr>
                <w:rFonts w:cs="Arial"/>
                <w:szCs w:val="24"/>
              </w:rPr>
              <w:t>31</w:t>
            </w:r>
          </w:p>
        </w:tc>
        <w:tc>
          <w:tcPr>
            <w:tcW w:w="1030" w:type="dxa"/>
            <w:tcBorders>
              <w:top w:val="nil"/>
              <w:bottom w:val="nil"/>
            </w:tcBorders>
          </w:tcPr>
          <w:p w14:paraId="7279E4F5"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78.39</w:t>
            </w:r>
            <w:r w:rsidRPr="00EA0DC7">
              <w:rPr>
                <w:rFonts w:cs="Arial"/>
                <w:szCs w:val="24"/>
              </w:rPr>
              <w:t>%</w:t>
            </w:r>
          </w:p>
        </w:tc>
      </w:tr>
      <w:tr w:rsidR="00144D1E" w:rsidRPr="00EA0DC7" w14:paraId="318650F3"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556DC36C" w14:textId="77777777" w:rsidR="00144D1E" w:rsidRPr="00EA0DC7" w:rsidRDefault="00144D1E" w:rsidP="00F744CC">
            <w:pPr>
              <w:jc w:val="left"/>
              <w:rPr>
                <w:rFonts w:cs="Arial"/>
                <w:b w:val="0"/>
                <w:i/>
                <w:szCs w:val="24"/>
              </w:rPr>
            </w:pPr>
            <w:r w:rsidRPr="00EA0DC7">
              <w:rPr>
                <w:rFonts w:cs="Arial"/>
                <w:b w:val="0"/>
                <w:i/>
                <w:szCs w:val="24"/>
              </w:rPr>
              <w:t>Supervisee population</w:t>
            </w:r>
          </w:p>
        </w:tc>
        <w:tc>
          <w:tcPr>
            <w:tcW w:w="411" w:type="dxa"/>
            <w:tcBorders>
              <w:top w:val="nil"/>
              <w:bottom w:val="nil"/>
            </w:tcBorders>
          </w:tcPr>
          <w:p w14:paraId="6EEED8CE"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2336" w:type="dxa"/>
            <w:tcBorders>
              <w:top w:val="nil"/>
              <w:bottom w:val="nil"/>
            </w:tcBorders>
          </w:tcPr>
          <w:p w14:paraId="5C00371E"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846" w:type="dxa"/>
            <w:tcBorders>
              <w:top w:val="nil"/>
              <w:bottom w:val="nil"/>
            </w:tcBorders>
          </w:tcPr>
          <w:p w14:paraId="0F4F637A"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078" w:type="dxa"/>
            <w:tcBorders>
              <w:top w:val="nil"/>
              <w:bottom w:val="nil"/>
            </w:tcBorders>
          </w:tcPr>
          <w:p w14:paraId="73A7F02C"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030" w:type="dxa"/>
            <w:tcBorders>
              <w:top w:val="nil"/>
              <w:bottom w:val="nil"/>
            </w:tcBorders>
          </w:tcPr>
          <w:p w14:paraId="0CB5B250"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144D1E" w:rsidRPr="00EA0DC7" w14:paraId="370FBA92"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08DC425D" w14:textId="77777777" w:rsidR="00144D1E" w:rsidRPr="00EA0DC7" w:rsidRDefault="00144D1E" w:rsidP="00F744CC">
            <w:pPr>
              <w:jc w:val="left"/>
              <w:rPr>
                <w:rFonts w:cs="Arial"/>
                <w:b w:val="0"/>
                <w:szCs w:val="24"/>
              </w:rPr>
            </w:pPr>
            <w:r w:rsidRPr="00EA0DC7">
              <w:rPr>
                <w:rFonts w:cs="Arial"/>
                <w:b w:val="0"/>
                <w:szCs w:val="24"/>
              </w:rPr>
              <w:t xml:space="preserve">   Trainees</w:t>
            </w:r>
          </w:p>
        </w:tc>
        <w:tc>
          <w:tcPr>
            <w:tcW w:w="411" w:type="dxa"/>
            <w:tcBorders>
              <w:top w:val="nil"/>
              <w:bottom w:val="nil"/>
            </w:tcBorders>
          </w:tcPr>
          <w:p w14:paraId="04EA9339"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6</w:t>
            </w:r>
          </w:p>
        </w:tc>
        <w:tc>
          <w:tcPr>
            <w:tcW w:w="2336" w:type="dxa"/>
            <w:tcBorders>
              <w:top w:val="nil"/>
              <w:bottom w:val="nil"/>
            </w:tcBorders>
          </w:tcPr>
          <w:p w14:paraId="361EB658"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0.7</w:t>
            </w:r>
            <w:r>
              <w:rPr>
                <w:rFonts w:cs="Arial"/>
                <w:szCs w:val="24"/>
              </w:rPr>
              <w:t>9</w:t>
            </w:r>
            <w:r w:rsidRPr="00EA0DC7">
              <w:rPr>
                <w:rFonts w:cs="Arial"/>
                <w:szCs w:val="24"/>
              </w:rPr>
              <w:t xml:space="preserve"> [0.</w:t>
            </w:r>
            <w:r>
              <w:rPr>
                <w:rFonts w:cs="Arial"/>
                <w:szCs w:val="24"/>
              </w:rPr>
              <w:t>09</w:t>
            </w:r>
            <w:r w:rsidRPr="00EA0DC7">
              <w:rPr>
                <w:rFonts w:cs="Arial"/>
                <w:szCs w:val="24"/>
              </w:rPr>
              <w:t>, 1.</w:t>
            </w:r>
            <w:r>
              <w:rPr>
                <w:rFonts w:cs="Arial"/>
                <w:szCs w:val="24"/>
              </w:rPr>
              <w:t>20</w:t>
            </w:r>
            <w:r w:rsidRPr="00EA0DC7">
              <w:rPr>
                <w:rFonts w:cs="Arial"/>
                <w:szCs w:val="24"/>
              </w:rPr>
              <w:t>]</w:t>
            </w:r>
          </w:p>
        </w:tc>
        <w:tc>
          <w:tcPr>
            <w:tcW w:w="846" w:type="dxa"/>
            <w:tcBorders>
              <w:top w:val="nil"/>
              <w:bottom w:val="nil"/>
            </w:tcBorders>
          </w:tcPr>
          <w:p w14:paraId="53461021"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75.12</w:t>
            </w:r>
          </w:p>
        </w:tc>
        <w:tc>
          <w:tcPr>
            <w:tcW w:w="1078" w:type="dxa"/>
            <w:tcBorders>
              <w:top w:val="nil"/>
              <w:bottom w:val="nil"/>
            </w:tcBorders>
          </w:tcPr>
          <w:p w14:paraId="41E5AABD"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&lt; .001</w:t>
            </w:r>
          </w:p>
        </w:tc>
        <w:tc>
          <w:tcPr>
            <w:tcW w:w="1030" w:type="dxa"/>
            <w:tcBorders>
              <w:top w:val="nil"/>
              <w:bottom w:val="nil"/>
            </w:tcBorders>
          </w:tcPr>
          <w:p w14:paraId="22D3EBF4"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93.34</w:t>
            </w:r>
            <w:r w:rsidRPr="00EA0DC7">
              <w:rPr>
                <w:rFonts w:cs="Arial"/>
                <w:szCs w:val="24"/>
              </w:rPr>
              <w:t>%</w:t>
            </w:r>
          </w:p>
        </w:tc>
      </w:tr>
      <w:tr w:rsidR="00144D1E" w:rsidRPr="00EA0DC7" w14:paraId="656D64D5"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71753F17" w14:textId="77777777" w:rsidR="00144D1E" w:rsidRPr="00EA0DC7" w:rsidRDefault="00144D1E" w:rsidP="00F744CC">
            <w:pPr>
              <w:jc w:val="left"/>
              <w:rPr>
                <w:rFonts w:cs="Arial"/>
                <w:b w:val="0"/>
                <w:szCs w:val="24"/>
              </w:rPr>
            </w:pPr>
            <w:r w:rsidRPr="00EA0DC7">
              <w:rPr>
                <w:rFonts w:cs="Arial"/>
                <w:b w:val="0"/>
                <w:szCs w:val="24"/>
              </w:rPr>
              <w:t xml:space="preserve">  </w:t>
            </w:r>
            <w:commentRangeStart w:id="123"/>
            <w:r w:rsidRPr="00EA0DC7">
              <w:rPr>
                <w:rFonts w:cs="Arial"/>
                <w:b w:val="0"/>
                <w:szCs w:val="24"/>
              </w:rPr>
              <w:t xml:space="preserve"> </w:t>
            </w:r>
            <w:r>
              <w:rPr>
                <w:rFonts w:cs="Arial"/>
                <w:b w:val="0"/>
                <w:szCs w:val="24"/>
              </w:rPr>
              <w:t>Qualified</w:t>
            </w:r>
            <w:commentRangeEnd w:id="123"/>
            <w:r w:rsidR="0012476D">
              <w:rPr>
                <w:rStyle w:val="CommentReference"/>
                <w:b w:val="0"/>
                <w:bCs w:val="0"/>
              </w:rPr>
              <w:commentReference w:id="123"/>
            </w:r>
          </w:p>
        </w:tc>
        <w:tc>
          <w:tcPr>
            <w:tcW w:w="411" w:type="dxa"/>
            <w:tcBorders>
              <w:top w:val="nil"/>
              <w:bottom w:val="nil"/>
            </w:tcBorders>
          </w:tcPr>
          <w:p w14:paraId="3A023D35"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5</w:t>
            </w:r>
          </w:p>
        </w:tc>
        <w:tc>
          <w:tcPr>
            <w:tcW w:w="2336" w:type="dxa"/>
            <w:tcBorders>
              <w:top w:val="nil"/>
              <w:bottom w:val="nil"/>
            </w:tcBorders>
          </w:tcPr>
          <w:p w14:paraId="02F2EACE"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w:t>
            </w:r>
            <w:r>
              <w:rPr>
                <w:rFonts w:cs="Arial"/>
                <w:szCs w:val="24"/>
              </w:rPr>
              <w:t>24</w:t>
            </w:r>
            <w:r w:rsidRPr="00EA0DC7">
              <w:rPr>
                <w:rFonts w:cs="Arial"/>
                <w:szCs w:val="24"/>
              </w:rPr>
              <w:t xml:space="preserve"> [-0.</w:t>
            </w:r>
            <w:r>
              <w:rPr>
                <w:rFonts w:cs="Arial"/>
                <w:szCs w:val="24"/>
              </w:rPr>
              <w:t>42</w:t>
            </w:r>
            <w:r w:rsidRPr="00EA0DC7">
              <w:rPr>
                <w:rFonts w:cs="Arial"/>
                <w:szCs w:val="24"/>
              </w:rPr>
              <w:t xml:space="preserve">, </w:t>
            </w:r>
            <w:r>
              <w:rPr>
                <w:rFonts w:cs="Arial"/>
                <w:szCs w:val="24"/>
              </w:rPr>
              <w:t>0.89</w:t>
            </w:r>
            <w:r w:rsidRPr="00EA0DC7">
              <w:rPr>
                <w:rFonts w:cs="Arial"/>
                <w:szCs w:val="24"/>
              </w:rPr>
              <w:t>]</w:t>
            </w:r>
          </w:p>
        </w:tc>
        <w:tc>
          <w:tcPr>
            <w:tcW w:w="846" w:type="dxa"/>
            <w:tcBorders>
              <w:top w:val="nil"/>
              <w:bottom w:val="nil"/>
            </w:tcBorders>
          </w:tcPr>
          <w:p w14:paraId="3C269E6D"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1</w:t>
            </w:r>
            <w:r>
              <w:rPr>
                <w:rFonts w:cs="Arial"/>
                <w:szCs w:val="24"/>
              </w:rPr>
              <w:t>3.57</w:t>
            </w:r>
          </w:p>
        </w:tc>
        <w:tc>
          <w:tcPr>
            <w:tcW w:w="1078" w:type="dxa"/>
            <w:tcBorders>
              <w:top w:val="nil"/>
              <w:bottom w:val="nil"/>
            </w:tcBorders>
          </w:tcPr>
          <w:p w14:paraId="3098A147"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.00</w:t>
            </w:r>
            <w:r>
              <w:rPr>
                <w:rFonts w:cs="Arial"/>
                <w:szCs w:val="24"/>
              </w:rPr>
              <w:t>9</w:t>
            </w:r>
          </w:p>
        </w:tc>
        <w:tc>
          <w:tcPr>
            <w:tcW w:w="1030" w:type="dxa"/>
            <w:tcBorders>
              <w:top w:val="nil"/>
              <w:bottom w:val="nil"/>
            </w:tcBorders>
          </w:tcPr>
          <w:p w14:paraId="6A6FFDED"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7</w:t>
            </w:r>
            <w:r>
              <w:rPr>
                <w:rFonts w:cs="Arial"/>
                <w:szCs w:val="24"/>
              </w:rPr>
              <w:t>0.53</w:t>
            </w:r>
            <w:r w:rsidRPr="00EA0DC7">
              <w:rPr>
                <w:rFonts w:cs="Arial"/>
                <w:szCs w:val="24"/>
              </w:rPr>
              <w:t>%</w:t>
            </w:r>
          </w:p>
        </w:tc>
      </w:tr>
      <w:tr w:rsidR="00144D1E" w:rsidRPr="00EA0DC7" w14:paraId="4A39936A"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30C22342" w14:textId="77777777" w:rsidR="00144D1E" w:rsidRPr="00EA0DC7" w:rsidRDefault="00144D1E" w:rsidP="00F744CC">
            <w:pPr>
              <w:jc w:val="left"/>
              <w:rPr>
                <w:rFonts w:cs="Arial"/>
                <w:b w:val="0"/>
                <w:i/>
                <w:szCs w:val="24"/>
              </w:rPr>
            </w:pPr>
            <w:r w:rsidRPr="00EA0DC7">
              <w:rPr>
                <w:rFonts w:cs="Arial"/>
                <w:b w:val="0"/>
                <w:i/>
                <w:szCs w:val="24"/>
              </w:rPr>
              <w:t>Patient population</w:t>
            </w:r>
          </w:p>
        </w:tc>
        <w:tc>
          <w:tcPr>
            <w:tcW w:w="411" w:type="dxa"/>
            <w:tcBorders>
              <w:top w:val="nil"/>
              <w:bottom w:val="nil"/>
            </w:tcBorders>
          </w:tcPr>
          <w:p w14:paraId="22CF79B0"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2336" w:type="dxa"/>
            <w:tcBorders>
              <w:top w:val="nil"/>
              <w:bottom w:val="nil"/>
            </w:tcBorders>
          </w:tcPr>
          <w:p w14:paraId="0C7C1F32"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846" w:type="dxa"/>
            <w:tcBorders>
              <w:top w:val="nil"/>
              <w:bottom w:val="nil"/>
            </w:tcBorders>
          </w:tcPr>
          <w:p w14:paraId="10C574DE"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78" w:type="dxa"/>
            <w:tcBorders>
              <w:top w:val="nil"/>
              <w:bottom w:val="nil"/>
            </w:tcBorders>
          </w:tcPr>
          <w:p w14:paraId="022128DE"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030" w:type="dxa"/>
            <w:tcBorders>
              <w:top w:val="nil"/>
              <w:bottom w:val="nil"/>
            </w:tcBorders>
          </w:tcPr>
          <w:p w14:paraId="4D297350"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144D1E" w:rsidRPr="00EA0DC7" w14:paraId="3834488A" w14:textId="77777777" w:rsidTr="00F74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top w:val="nil"/>
              <w:bottom w:val="nil"/>
            </w:tcBorders>
          </w:tcPr>
          <w:p w14:paraId="1DD921B3" w14:textId="77777777" w:rsidR="00144D1E" w:rsidRPr="00EA0DC7" w:rsidRDefault="00144D1E" w:rsidP="00F744CC">
            <w:pPr>
              <w:jc w:val="left"/>
              <w:rPr>
                <w:rFonts w:cs="Arial"/>
                <w:b w:val="0"/>
                <w:szCs w:val="24"/>
              </w:rPr>
            </w:pPr>
            <w:r w:rsidRPr="00EA0DC7">
              <w:rPr>
                <w:rFonts w:cs="Arial"/>
                <w:b w:val="0"/>
                <w:szCs w:val="24"/>
              </w:rPr>
              <w:t xml:space="preserve">   Clinical sample</w:t>
            </w:r>
          </w:p>
        </w:tc>
        <w:tc>
          <w:tcPr>
            <w:tcW w:w="411" w:type="dxa"/>
            <w:tcBorders>
              <w:top w:val="nil"/>
              <w:bottom w:val="nil"/>
            </w:tcBorders>
          </w:tcPr>
          <w:p w14:paraId="2DEEA1DA"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5</w:t>
            </w:r>
          </w:p>
        </w:tc>
        <w:tc>
          <w:tcPr>
            <w:tcW w:w="2336" w:type="dxa"/>
            <w:tcBorders>
              <w:top w:val="nil"/>
              <w:bottom w:val="nil"/>
            </w:tcBorders>
          </w:tcPr>
          <w:p w14:paraId="36C3E929"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A0DC7">
              <w:rPr>
                <w:rFonts w:cs="Arial"/>
                <w:szCs w:val="24"/>
              </w:rPr>
              <w:t>0.4</w:t>
            </w:r>
            <w:r>
              <w:rPr>
                <w:rFonts w:cs="Arial"/>
                <w:szCs w:val="24"/>
              </w:rPr>
              <w:t>3</w:t>
            </w:r>
            <w:r w:rsidRPr="00EA0DC7">
              <w:rPr>
                <w:rFonts w:cs="Arial"/>
                <w:szCs w:val="24"/>
              </w:rPr>
              <w:t xml:space="preserve"> [-0.3</w:t>
            </w:r>
            <w:r>
              <w:rPr>
                <w:rFonts w:cs="Arial"/>
                <w:szCs w:val="24"/>
              </w:rPr>
              <w:t>9</w:t>
            </w:r>
            <w:r w:rsidRPr="00EA0DC7">
              <w:rPr>
                <w:rFonts w:cs="Arial"/>
                <w:szCs w:val="24"/>
              </w:rPr>
              <w:t>, 1.2</w:t>
            </w:r>
            <w:r>
              <w:rPr>
                <w:rFonts w:cs="Arial"/>
                <w:szCs w:val="24"/>
              </w:rPr>
              <w:t>5</w:t>
            </w:r>
            <w:r w:rsidRPr="00EA0DC7">
              <w:rPr>
                <w:rFonts w:cs="Arial"/>
                <w:szCs w:val="24"/>
              </w:rPr>
              <w:t>]</w:t>
            </w:r>
          </w:p>
        </w:tc>
        <w:tc>
          <w:tcPr>
            <w:tcW w:w="846" w:type="dxa"/>
            <w:tcBorders>
              <w:top w:val="nil"/>
              <w:bottom w:val="nil"/>
            </w:tcBorders>
          </w:tcPr>
          <w:p w14:paraId="14D48FE1"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22.52</w:t>
            </w:r>
          </w:p>
        </w:tc>
        <w:tc>
          <w:tcPr>
            <w:tcW w:w="1078" w:type="dxa"/>
            <w:tcBorders>
              <w:top w:val="nil"/>
              <w:bottom w:val="nil"/>
            </w:tcBorders>
          </w:tcPr>
          <w:p w14:paraId="39A0773E"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&lt; </w:t>
            </w:r>
            <w:r w:rsidRPr="00EA0DC7">
              <w:rPr>
                <w:rFonts w:cs="Arial"/>
                <w:szCs w:val="24"/>
              </w:rPr>
              <w:t>.001</w:t>
            </w:r>
          </w:p>
        </w:tc>
        <w:tc>
          <w:tcPr>
            <w:tcW w:w="1030" w:type="dxa"/>
            <w:tcBorders>
              <w:top w:val="nil"/>
              <w:bottom w:val="nil"/>
            </w:tcBorders>
          </w:tcPr>
          <w:p w14:paraId="5C0B4A75" w14:textId="77777777" w:rsidR="00144D1E" w:rsidRPr="00EA0DC7" w:rsidRDefault="00144D1E" w:rsidP="00F744CC">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82.24</w:t>
            </w:r>
            <w:r w:rsidRPr="00EA0DC7">
              <w:rPr>
                <w:rFonts w:cs="Arial"/>
                <w:szCs w:val="24"/>
              </w:rPr>
              <w:t>%</w:t>
            </w:r>
          </w:p>
        </w:tc>
      </w:tr>
      <w:tr w:rsidR="00144D1E" w:rsidRPr="00EA0DC7" w14:paraId="35080E15" w14:textId="77777777" w:rsidTr="00F744CC">
        <w:tc>
          <w:tcPr>
            <w:cnfStyle w:val="001000000000" w:firstRow="0" w:lastRow="0" w:firstColumn="1" w:lastColumn="0" w:oddVBand="0" w:evenVBand="0" w:oddHBand="0" w:evenHBand="0" w:firstRowFirstColumn="0" w:firstRowLastColumn="0" w:lastRowFirstColumn="0" w:lastRowLastColumn="0"/>
            <w:tcW w:w="2497" w:type="dxa"/>
            <w:tcBorders>
              <w:top w:val="nil"/>
            </w:tcBorders>
          </w:tcPr>
          <w:p w14:paraId="48CFAE66" w14:textId="77777777" w:rsidR="00144D1E" w:rsidRPr="00EA0DC7" w:rsidRDefault="00144D1E" w:rsidP="00F744CC">
            <w:pPr>
              <w:jc w:val="left"/>
              <w:rPr>
                <w:rFonts w:cs="Arial"/>
                <w:b w:val="0"/>
                <w:szCs w:val="24"/>
              </w:rPr>
            </w:pPr>
            <w:r w:rsidRPr="00EA0DC7">
              <w:rPr>
                <w:rFonts w:cs="Arial"/>
                <w:b w:val="0"/>
                <w:szCs w:val="24"/>
              </w:rPr>
              <w:t xml:space="preserve">   Non-clinical sample</w:t>
            </w:r>
          </w:p>
        </w:tc>
        <w:tc>
          <w:tcPr>
            <w:tcW w:w="411" w:type="dxa"/>
            <w:tcBorders>
              <w:top w:val="nil"/>
            </w:tcBorders>
          </w:tcPr>
          <w:p w14:paraId="626257D8"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2</w:t>
            </w:r>
          </w:p>
        </w:tc>
        <w:tc>
          <w:tcPr>
            <w:tcW w:w="2336" w:type="dxa"/>
            <w:tcBorders>
              <w:top w:val="nil"/>
            </w:tcBorders>
          </w:tcPr>
          <w:p w14:paraId="71D0DCAC"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0.21 [-1.21, 1.63]</w:t>
            </w:r>
          </w:p>
        </w:tc>
        <w:tc>
          <w:tcPr>
            <w:tcW w:w="846" w:type="dxa"/>
            <w:tcBorders>
              <w:top w:val="nil"/>
            </w:tcBorders>
          </w:tcPr>
          <w:p w14:paraId="74AE9F34"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0.34</w:t>
            </w:r>
          </w:p>
        </w:tc>
        <w:tc>
          <w:tcPr>
            <w:tcW w:w="1078" w:type="dxa"/>
            <w:tcBorders>
              <w:top w:val="nil"/>
            </w:tcBorders>
          </w:tcPr>
          <w:p w14:paraId="6A1E7D4F"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.558</w:t>
            </w:r>
          </w:p>
        </w:tc>
        <w:tc>
          <w:tcPr>
            <w:tcW w:w="1030" w:type="dxa"/>
            <w:tcBorders>
              <w:top w:val="nil"/>
            </w:tcBorders>
          </w:tcPr>
          <w:p w14:paraId="2EBA1D70" w14:textId="77777777" w:rsidR="00144D1E" w:rsidRPr="00EA0DC7" w:rsidRDefault="00144D1E" w:rsidP="00F744CC">
            <w:pPr>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A0DC7">
              <w:rPr>
                <w:rFonts w:cs="Arial"/>
                <w:szCs w:val="24"/>
              </w:rPr>
              <w:t>0%</w:t>
            </w:r>
          </w:p>
        </w:tc>
      </w:tr>
    </w:tbl>
    <w:p w14:paraId="5401D5D7" w14:textId="77777777" w:rsidR="00144D1E" w:rsidRPr="00EA0DC7" w:rsidRDefault="00144D1E" w:rsidP="00144D1E">
      <w:pPr>
        <w:ind w:firstLine="720"/>
        <w:rPr>
          <w:rFonts w:cs="Arial"/>
          <w:szCs w:val="24"/>
        </w:rPr>
      </w:pPr>
      <w:r w:rsidRPr="00EA0DC7">
        <w:rPr>
          <w:rFonts w:cs="Arial"/>
          <w:szCs w:val="24"/>
        </w:rPr>
        <w:lastRenderedPageBreak/>
        <w:t>As the subgroup analyses indicated that studies with a control are a homogenous subgroup (see Table 3.4), the moderator analyses were re-run on only the studies without a control (a heterogeneous sample). Again, none of the variables were significant moderators of effect size (p</w:t>
      </w:r>
      <w:r w:rsidRPr="00EA0DC7">
        <w:t xml:space="preserve">ublication year, </w:t>
      </w:r>
      <w:r w:rsidRPr="00EA0DC7">
        <w:rPr>
          <w:rFonts w:cs="Arial"/>
          <w:i/>
          <w:szCs w:val="24"/>
        </w:rPr>
        <w:t>B</w:t>
      </w:r>
      <w:r w:rsidRPr="00EA0DC7">
        <w:rPr>
          <w:rFonts w:cs="Arial"/>
          <w:szCs w:val="24"/>
        </w:rPr>
        <w:t xml:space="preserve"> = -0.03, </w:t>
      </w:r>
      <w:r w:rsidRPr="00EA0DC7">
        <w:rPr>
          <w:rFonts w:cs="Arial"/>
          <w:i/>
          <w:szCs w:val="24"/>
        </w:rPr>
        <w:t>z</w:t>
      </w:r>
      <w:r w:rsidRPr="00EA0DC7">
        <w:rPr>
          <w:rFonts w:cs="Arial"/>
          <w:szCs w:val="24"/>
        </w:rPr>
        <w:t xml:space="preserve"> = -</w:t>
      </w:r>
      <w:r>
        <w:rPr>
          <w:rFonts w:cs="Arial"/>
          <w:szCs w:val="24"/>
        </w:rPr>
        <w:t>0.90</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367</w:t>
      </w:r>
      <w:r w:rsidRPr="00EA0DC7">
        <w:rPr>
          <w:rFonts w:cs="Arial"/>
          <w:szCs w:val="24"/>
        </w:rPr>
        <w:t xml:space="preserve">; QI score, </w:t>
      </w:r>
      <w:r w:rsidRPr="00EA0DC7">
        <w:rPr>
          <w:rFonts w:cs="Arial"/>
          <w:i/>
          <w:szCs w:val="24"/>
        </w:rPr>
        <w:t>B</w:t>
      </w:r>
      <w:r w:rsidRPr="00EA0DC7">
        <w:rPr>
          <w:rFonts w:cs="Arial"/>
          <w:szCs w:val="24"/>
        </w:rPr>
        <w:t xml:space="preserve"> = -0.0</w:t>
      </w:r>
      <w:r>
        <w:rPr>
          <w:rFonts w:cs="Arial"/>
          <w:szCs w:val="24"/>
        </w:rPr>
        <w:t>7</w:t>
      </w:r>
      <w:r w:rsidRPr="00EA0DC7">
        <w:rPr>
          <w:rFonts w:cs="Arial"/>
          <w:szCs w:val="24"/>
        </w:rPr>
        <w:t xml:space="preserve">, </w:t>
      </w:r>
      <w:r w:rsidRPr="00EA0DC7">
        <w:rPr>
          <w:rFonts w:cs="Arial"/>
          <w:i/>
          <w:szCs w:val="24"/>
        </w:rPr>
        <w:t>z</w:t>
      </w:r>
      <w:r w:rsidRPr="00EA0DC7">
        <w:rPr>
          <w:rFonts w:cs="Arial"/>
          <w:szCs w:val="24"/>
        </w:rPr>
        <w:t xml:space="preserve"> = -0.</w:t>
      </w:r>
      <w:r>
        <w:rPr>
          <w:rFonts w:cs="Arial"/>
          <w:szCs w:val="24"/>
        </w:rPr>
        <w:t>78</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433</w:t>
      </w:r>
      <w:r w:rsidRPr="00EA0DC7">
        <w:rPr>
          <w:rFonts w:cs="Arial"/>
          <w:szCs w:val="24"/>
        </w:rPr>
        <w:t xml:space="preserve">; supervision frequency, </w:t>
      </w:r>
      <w:r w:rsidRPr="00EA0DC7">
        <w:rPr>
          <w:rFonts w:cs="Arial"/>
          <w:i/>
          <w:szCs w:val="24"/>
        </w:rPr>
        <w:t>B</w:t>
      </w:r>
      <w:r w:rsidRPr="00EA0DC7">
        <w:rPr>
          <w:rFonts w:cs="Arial"/>
          <w:szCs w:val="24"/>
        </w:rPr>
        <w:t xml:space="preserve"> = -0.</w:t>
      </w:r>
      <w:r>
        <w:rPr>
          <w:rFonts w:cs="Arial"/>
          <w:szCs w:val="24"/>
        </w:rPr>
        <w:t>28</w:t>
      </w:r>
      <w:r w:rsidRPr="00EA0DC7">
        <w:rPr>
          <w:rFonts w:cs="Arial"/>
          <w:szCs w:val="24"/>
        </w:rPr>
        <w:t xml:space="preserve">, </w:t>
      </w:r>
      <w:r w:rsidRPr="00EA0DC7">
        <w:rPr>
          <w:rFonts w:cs="Arial"/>
          <w:i/>
          <w:szCs w:val="24"/>
        </w:rPr>
        <w:t>z</w:t>
      </w:r>
      <w:r w:rsidRPr="00EA0DC7">
        <w:rPr>
          <w:rFonts w:cs="Arial"/>
          <w:szCs w:val="24"/>
        </w:rPr>
        <w:t xml:space="preserve"> = -0.</w:t>
      </w:r>
      <w:r>
        <w:rPr>
          <w:rFonts w:cs="Arial"/>
          <w:szCs w:val="24"/>
        </w:rPr>
        <w:t>39</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695</w:t>
      </w:r>
      <w:r w:rsidRPr="00EA0DC7">
        <w:rPr>
          <w:rFonts w:cs="Arial"/>
          <w:szCs w:val="24"/>
        </w:rPr>
        <w:t>; s</w:t>
      </w:r>
      <w:r w:rsidRPr="00EA0DC7">
        <w:t xml:space="preserve">tudy length, </w:t>
      </w:r>
      <w:r w:rsidRPr="00EA0DC7">
        <w:rPr>
          <w:rFonts w:cs="Arial"/>
          <w:i/>
          <w:szCs w:val="24"/>
        </w:rPr>
        <w:t>B</w:t>
      </w:r>
      <w:r w:rsidRPr="00EA0DC7">
        <w:rPr>
          <w:rFonts w:cs="Arial"/>
          <w:szCs w:val="24"/>
        </w:rPr>
        <w:t xml:space="preserve"> = -0.01, </w:t>
      </w:r>
      <w:r w:rsidRPr="00EA0DC7">
        <w:rPr>
          <w:rFonts w:cs="Arial"/>
          <w:i/>
          <w:szCs w:val="24"/>
        </w:rPr>
        <w:t>z</w:t>
      </w:r>
      <w:r w:rsidRPr="00EA0DC7">
        <w:rPr>
          <w:rFonts w:cs="Arial"/>
          <w:szCs w:val="24"/>
        </w:rPr>
        <w:t xml:space="preserve"> = -0.</w:t>
      </w:r>
      <w:r>
        <w:rPr>
          <w:rFonts w:cs="Arial"/>
          <w:szCs w:val="24"/>
        </w:rPr>
        <w:t>33</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740</w:t>
      </w:r>
      <w:r w:rsidRPr="00EA0DC7">
        <w:rPr>
          <w:rFonts w:cs="Arial"/>
          <w:szCs w:val="24"/>
        </w:rPr>
        <w:t>).</w:t>
      </w:r>
    </w:p>
    <w:p w14:paraId="65756D8C" w14:textId="6C882811" w:rsidR="00144D1E" w:rsidRPr="00EA0DC7" w:rsidRDefault="00144D1E" w:rsidP="00144D1E">
      <w:pPr>
        <w:ind w:firstLine="720"/>
        <w:rPr>
          <w:rFonts w:cs="Arial"/>
          <w:szCs w:val="24"/>
        </w:rPr>
      </w:pPr>
      <w:r w:rsidRPr="00EA0DC7">
        <w:rPr>
          <w:rFonts w:cs="Arial"/>
          <w:szCs w:val="24"/>
        </w:rPr>
        <w:t>A further set of moderator analyses were run on the subgroup of studies with clients from a clinical population (those with clients from a non-clinical population were a homogeneous subgroup, see Table 3.4).</w:t>
      </w:r>
      <w:r>
        <w:rPr>
          <w:rFonts w:cs="Arial"/>
          <w:szCs w:val="24"/>
        </w:rPr>
        <w:t xml:space="preserve"> One</w:t>
      </w:r>
      <w:r w:rsidR="008E0C1C">
        <w:rPr>
          <w:rFonts w:cs="Arial"/>
          <w:szCs w:val="24"/>
        </w:rPr>
        <w:t xml:space="preserve"> variable was </w:t>
      </w:r>
      <w:r w:rsidR="0081213A">
        <w:rPr>
          <w:rFonts w:cs="Arial"/>
          <w:szCs w:val="24"/>
        </w:rPr>
        <w:t xml:space="preserve">found to moderate effect size: </w:t>
      </w:r>
      <w:r w:rsidRPr="00EA0DC7">
        <w:rPr>
          <w:rFonts w:cs="Arial"/>
          <w:szCs w:val="24"/>
        </w:rPr>
        <w:t>QI score (</w:t>
      </w:r>
      <w:r w:rsidRPr="00EA0DC7">
        <w:rPr>
          <w:rFonts w:cs="Arial"/>
          <w:i/>
          <w:szCs w:val="24"/>
        </w:rPr>
        <w:t>B</w:t>
      </w:r>
      <w:r w:rsidRPr="00EA0DC7">
        <w:rPr>
          <w:rFonts w:cs="Arial"/>
          <w:szCs w:val="24"/>
        </w:rPr>
        <w:t xml:space="preserve"> = -0.</w:t>
      </w:r>
      <w:r>
        <w:rPr>
          <w:rFonts w:cs="Arial"/>
          <w:szCs w:val="24"/>
        </w:rPr>
        <w:t>22</w:t>
      </w:r>
      <w:r w:rsidRPr="00EA0DC7">
        <w:rPr>
          <w:rFonts w:cs="Arial"/>
          <w:szCs w:val="24"/>
        </w:rPr>
        <w:t xml:space="preserve">, </w:t>
      </w:r>
      <w:r w:rsidRPr="00EA0DC7">
        <w:rPr>
          <w:rFonts w:cs="Arial"/>
          <w:i/>
          <w:szCs w:val="24"/>
        </w:rPr>
        <w:t>z</w:t>
      </w:r>
      <w:r w:rsidRPr="00EA0DC7">
        <w:rPr>
          <w:rFonts w:cs="Arial"/>
          <w:szCs w:val="24"/>
        </w:rPr>
        <w:t xml:space="preserve"> = -4.</w:t>
      </w:r>
      <w:r>
        <w:rPr>
          <w:rFonts w:cs="Arial"/>
          <w:szCs w:val="24"/>
        </w:rPr>
        <w:t>67</w:t>
      </w:r>
      <w:r w:rsidRPr="00EA0DC7">
        <w:rPr>
          <w:rFonts w:cs="Arial"/>
          <w:szCs w:val="24"/>
        </w:rPr>
        <w:t xml:space="preserve">, </w:t>
      </w:r>
      <w:r w:rsidRPr="00EA0DC7">
        <w:rPr>
          <w:rFonts w:cs="Arial"/>
          <w:i/>
          <w:szCs w:val="24"/>
        </w:rPr>
        <w:t>p</w:t>
      </w:r>
      <w:r w:rsidRPr="00EA0DC7">
        <w:rPr>
          <w:rFonts w:cs="Arial"/>
          <w:szCs w:val="24"/>
        </w:rPr>
        <w:t xml:space="preserve"> &lt; .001). Studies with higher QI scores had smaller effect sizes (see Figure 3.5). Supervision frequency (</w:t>
      </w:r>
      <w:r w:rsidRPr="00EA0DC7">
        <w:rPr>
          <w:rFonts w:cs="Arial"/>
          <w:i/>
          <w:szCs w:val="24"/>
        </w:rPr>
        <w:t>B</w:t>
      </w:r>
      <w:r w:rsidRPr="00EA0DC7">
        <w:rPr>
          <w:rFonts w:cs="Arial"/>
          <w:szCs w:val="24"/>
        </w:rPr>
        <w:t xml:space="preserve"> = 0.</w:t>
      </w:r>
      <w:r>
        <w:rPr>
          <w:rFonts w:cs="Arial"/>
          <w:szCs w:val="24"/>
        </w:rPr>
        <w:t>35</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1.66</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098</w:t>
      </w:r>
      <w:r w:rsidRPr="00EA0DC7">
        <w:rPr>
          <w:rFonts w:cs="Arial"/>
          <w:szCs w:val="24"/>
        </w:rPr>
        <w:t>)</w:t>
      </w:r>
      <w:r>
        <w:rPr>
          <w:rFonts w:cs="Arial"/>
          <w:szCs w:val="24"/>
        </w:rPr>
        <w:t xml:space="preserve">, </w:t>
      </w:r>
      <w:r w:rsidRPr="00EA0DC7">
        <w:rPr>
          <w:rFonts w:cs="Arial"/>
          <w:szCs w:val="24"/>
        </w:rPr>
        <w:t>publication year (</w:t>
      </w:r>
      <w:r w:rsidRPr="00EA0DC7">
        <w:rPr>
          <w:rFonts w:cs="Arial"/>
          <w:i/>
          <w:szCs w:val="24"/>
        </w:rPr>
        <w:t>B</w:t>
      </w:r>
      <w:r w:rsidRPr="00EA0DC7">
        <w:rPr>
          <w:rFonts w:cs="Arial"/>
          <w:szCs w:val="24"/>
        </w:rPr>
        <w:t xml:space="preserve"> = -0.1</w:t>
      </w:r>
      <w:r>
        <w:rPr>
          <w:rFonts w:cs="Arial"/>
          <w:szCs w:val="24"/>
        </w:rPr>
        <w:t>1</w:t>
      </w:r>
      <w:r w:rsidRPr="00EA0DC7">
        <w:rPr>
          <w:rFonts w:cs="Arial"/>
          <w:szCs w:val="24"/>
        </w:rPr>
        <w:t xml:space="preserve">, </w:t>
      </w:r>
      <w:r w:rsidRPr="00EA0DC7">
        <w:rPr>
          <w:rFonts w:cs="Arial"/>
          <w:i/>
          <w:szCs w:val="24"/>
        </w:rPr>
        <w:t>z</w:t>
      </w:r>
      <w:r w:rsidRPr="00EA0DC7">
        <w:rPr>
          <w:rFonts w:cs="Arial"/>
          <w:szCs w:val="24"/>
        </w:rPr>
        <w:t xml:space="preserve"> = -</w:t>
      </w:r>
      <w:r>
        <w:rPr>
          <w:rFonts w:cs="Arial"/>
          <w:szCs w:val="24"/>
        </w:rPr>
        <w:t>1.82</w:t>
      </w:r>
      <w:r w:rsidRPr="00EA0DC7">
        <w:rPr>
          <w:rFonts w:cs="Arial"/>
          <w:szCs w:val="24"/>
        </w:rPr>
        <w:t xml:space="preserve">, </w:t>
      </w:r>
      <w:r w:rsidRPr="00EA0DC7">
        <w:rPr>
          <w:rFonts w:cs="Arial"/>
          <w:i/>
          <w:szCs w:val="24"/>
        </w:rPr>
        <w:t>p</w:t>
      </w:r>
      <w:r w:rsidRPr="00EA0DC7">
        <w:rPr>
          <w:rFonts w:cs="Arial"/>
          <w:szCs w:val="24"/>
        </w:rPr>
        <w:t xml:space="preserve"> = .0</w:t>
      </w:r>
      <w:r>
        <w:rPr>
          <w:rFonts w:cs="Arial"/>
          <w:szCs w:val="24"/>
        </w:rPr>
        <w:t>69</w:t>
      </w:r>
      <w:r w:rsidRPr="00EA0DC7">
        <w:rPr>
          <w:rFonts w:cs="Arial"/>
          <w:szCs w:val="24"/>
        </w:rPr>
        <w:t>)</w:t>
      </w:r>
      <w:r>
        <w:rPr>
          <w:rFonts w:cs="Arial"/>
          <w:szCs w:val="24"/>
        </w:rPr>
        <w:t>,</w:t>
      </w:r>
      <w:r w:rsidRPr="00EA0DC7">
        <w:rPr>
          <w:rFonts w:cs="Arial"/>
          <w:szCs w:val="24"/>
        </w:rPr>
        <w:t xml:space="preserve"> and study length (</w:t>
      </w:r>
      <w:r w:rsidRPr="00EA0DC7">
        <w:rPr>
          <w:rFonts w:cs="Arial"/>
          <w:i/>
          <w:szCs w:val="24"/>
        </w:rPr>
        <w:t>B</w:t>
      </w:r>
      <w:r w:rsidRPr="00EA0DC7">
        <w:rPr>
          <w:rFonts w:cs="Arial"/>
          <w:szCs w:val="24"/>
        </w:rPr>
        <w:t xml:space="preserve"> = 0.01, </w:t>
      </w:r>
      <w:r w:rsidRPr="00EA0DC7">
        <w:rPr>
          <w:rFonts w:cs="Arial"/>
          <w:i/>
          <w:szCs w:val="24"/>
        </w:rPr>
        <w:t>z</w:t>
      </w:r>
      <w:r w:rsidRPr="00EA0DC7">
        <w:rPr>
          <w:rFonts w:cs="Arial"/>
          <w:szCs w:val="24"/>
        </w:rPr>
        <w:t xml:space="preserve"> = 0.</w:t>
      </w:r>
      <w:r>
        <w:rPr>
          <w:rFonts w:cs="Arial"/>
          <w:szCs w:val="24"/>
        </w:rPr>
        <w:t>32</w:t>
      </w:r>
      <w:r w:rsidRPr="00EA0DC7">
        <w:rPr>
          <w:rFonts w:cs="Arial"/>
          <w:szCs w:val="24"/>
        </w:rPr>
        <w:t xml:space="preserve">, </w:t>
      </w:r>
      <w:r w:rsidRPr="00EA0DC7">
        <w:rPr>
          <w:rFonts w:cs="Arial"/>
          <w:i/>
          <w:szCs w:val="24"/>
        </w:rPr>
        <w:t>p</w:t>
      </w:r>
      <w:r w:rsidRPr="00EA0DC7">
        <w:rPr>
          <w:rFonts w:cs="Arial"/>
          <w:szCs w:val="24"/>
        </w:rPr>
        <w:t xml:space="preserve"> = .</w:t>
      </w:r>
      <w:r>
        <w:rPr>
          <w:rFonts w:cs="Arial"/>
          <w:szCs w:val="24"/>
        </w:rPr>
        <w:t>747</w:t>
      </w:r>
      <w:r w:rsidRPr="00EA0DC7">
        <w:rPr>
          <w:rFonts w:cs="Arial"/>
          <w:szCs w:val="24"/>
        </w:rPr>
        <w:t>) did not moderate effect size.</w:t>
      </w:r>
    </w:p>
    <w:p w14:paraId="64F888E5" w14:textId="77777777" w:rsidR="00144D1E" w:rsidRPr="00EA0DC7" w:rsidRDefault="00144D1E" w:rsidP="00144D1E">
      <w:pPr>
        <w:ind w:firstLine="720"/>
        <w:rPr>
          <w:rFonts w:cs="Arial"/>
          <w:szCs w:val="24"/>
        </w:rPr>
      </w:pPr>
      <w:r w:rsidRPr="00EA0DC7">
        <w:rPr>
          <w:rFonts w:cs="Arial"/>
          <w:szCs w:val="24"/>
        </w:rPr>
        <w:t>As with the subgroup analyses, the moderator analyses should be interpreted with caution due to the small number of studies.</w:t>
      </w:r>
    </w:p>
    <w:p w14:paraId="2DA8AEC1" w14:textId="77777777" w:rsidR="00144D1E" w:rsidRDefault="00144D1E" w:rsidP="00144D1E">
      <w:pPr>
        <w:spacing w:before="240" w:line="240" w:lineRule="auto"/>
        <w:ind w:firstLine="720"/>
        <w:jc w:val="center"/>
      </w:pPr>
    </w:p>
    <w:p w14:paraId="3B44FBBA" w14:textId="77777777" w:rsidR="00144D1E" w:rsidRDefault="00144D1E" w:rsidP="00216A42">
      <w:pPr>
        <w:spacing w:before="240" w:line="240" w:lineRule="auto"/>
        <w:ind w:firstLine="720"/>
      </w:pPr>
      <w:r>
        <w:rPr>
          <w:noProof/>
        </w:rPr>
        <w:lastRenderedPageBreak/>
        <w:drawing>
          <wp:inline distT="0" distB="0" distL="0" distR="0" wp14:anchorId="149AEABC" wp14:editId="162BFAF4">
            <wp:extent cx="4692650" cy="3170712"/>
            <wp:effectExtent l="0" t="0" r="12700" b="10795"/>
            <wp:docPr id="267" name="Chart 26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F1B3" w14:textId="420668EF" w:rsidR="00144D1E" w:rsidRPr="00EA0DC7" w:rsidRDefault="00144D1E" w:rsidP="00144D1E">
      <w:pPr>
        <w:spacing w:before="240" w:line="240" w:lineRule="auto"/>
        <w:ind w:firstLine="720"/>
        <w:jc w:val="center"/>
        <w:rPr>
          <w:rFonts w:cs="Arial"/>
          <w:szCs w:val="24"/>
        </w:rPr>
      </w:pPr>
      <w:bookmarkStart w:id="124" w:name="_Toc47039913"/>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5</w:t>
      </w:r>
      <w:r w:rsidR="004F2FDB">
        <w:rPr>
          <w:noProof/>
        </w:rPr>
        <w:fldChar w:fldCharType="end"/>
      </w:r>
      <w:r w:rsidRPr="00EA0DC7">
        <w:t>. Study effect sizes in the subgroup with a clinical population moderated by Quality Index score.</w:t>
      </w:r>
      <w:bookmarkEnd w:id="124"/>
    </w:p>
    <w:p w14:paraId="413A45C8" w14:textId="77777777" w:rsidR="00144D1E" w:rsidRPr="00EA0DC7" w:rsidRDefault="00144D1E" w:rsidP="00144D1E">
      <w:pPr>
        <w:pStyle w:val="Heading4"/>
        <w:numPr>
          <w:ilvl w:val="3"/>
          <w:numId w:val="45"/>
        </w:numPr>
      </w:pPr>
    </w:p>
    <w:p w14:paraId="7393D6C1" w14:textId="77777777" w:rsidR="00144D1E" w:rsidRPr="00EA0DC7" w:rsidRDefault="00144D1E" w:rsidP="00144D1E">
      <w:pPr>
        <w:pStyle w:val="Heading4"/>
        <w:numPr>
          <w:ilvl w:val="3"/>
          <w:numId w:val="45"/>
        </w:numPr>
      </w:pPr>
      <w:r w:rsidRPr="00EA0DC7">
        <w:t>3.3.4.3 Publication bias</w:t>
      </w:r>
    </w:p>
    <w:p w14:paraId="09A2A6CC" w14:textId="77777777" w:rsidR="00144D1E" w:rsidRPr="00EA0DC7" w:rsidRDefault="00144D1E" w:rsidP="00144D1E">
      <w:r w:rsidRPr="00EA0DC7">
        <w:tab/>
        <w:t>The overall sample of studies has high heterogeneity. Therefore, publication bias analysis was only carried out on the homogenous subgroup of studies with control groups. As the other homogenous subgroup (studies using non-clinical samples) only contained two studies, it was too small to establish any meaningful publication bias.</w:t>
      </w:r>
    </w:p>
    <w:p w14:paraId="3FE59D2D" w14:textId="77777777" w:rsidR="00144D1E" w:rsidRPr="00EA0DC7" w:rsidRDefault="00144D1E" w:rsidP="00144D1E">
      <w:r w:rsidRPr="00EA0DC7">
        <w:tab/>
        <w:t>A funnel plot and trim-and-fill procedure did not indicate any publication bias (see Figure 3.6). The effect size adjusted for publication bias was identical to the non-adjusted effect size (</w:t>
      </w:r>
      <w:r w:rsidRPr="00EA0DC7">
        <w:rPr>
          <w:i/>
        </w:rPr>
        <w:t>g</w:t>
      </w:r>
      <w:r w:rsidRPr="00EA0DC7">
        <w:t xml:space="preserve"> = 0.</w:t>
      </w:r>
      <w:r>
        <w:t>59</w:t>
      </w:r>
      <w:r w:rsidRPr="00EA0DC7">
        <w:t xml:space="preserve"> [0.</w:t>
      </w:r>
      <w:r>
        <w:t>28</w:t>
      </w:r>
      <w:r w:rsidRPr="00EA0DC7">
        <w:t>, 0.</w:t>
      </w:r>
      <w:r>
        <w:t>90</w:t>
      </w:r>
      <w:r w:rsidRPr="00EA0DC7">
        <w:t>]). Egger regression also indicated no bias (</w:t>
      </w:r>
      <w:r w:rsidRPr="00EA0DC7">
        <w:rPr>
          <w:i/>
        </w:rPr>
        <w:t>p</w:t>
      </w:r>
      <w:r w:rsidRPr="00EA0DC7">
        <w:t xml:space="preserve"> = 0.</w:t>
      </w:r>
      <w:r>
        <w:t>692</w:t>
      </w:r>
      <w:r w:rsidRPr="00EA0DC7">
        <w:t>). However, caution is required when interpreting these results, as there are such a small number of studies in this analysis.</w:t>
      </w:r>
    </w:p>
    <w:p w14:paraId="66CBA29C" w14:textId="77777777" w:rsidR="00144D1E" w:rsidRDefault="00144D1E" w:rsidP="00144D1E">
      <w:pPr>
        <w:jc w:val="center"/>
      </w:pPr>
    </w:p>
    <w:p w14:paraId="2D2A1DA7" w14:textId="77777777" w:rsidR="00144D1E" w:rsidRPr="00EA0DC7" w:rsidRDefault="00144D1E" w:rsidP="00144D1E">
      <w:pPr>
        <w:jc w:val="center"/>
      </w:pPr>
      <w:r>
        <w:rPr>
          <w:noProof/>
        </w:rPr>
        <w:lastRenderedPageBreak/>
        <w:drawing>
          <wp:inline distT="0" distB="0" distL="0" distR="0" wp14:anchorId="30470F26" wp14:editId="311CFA99">
            <wp:extent cx="4981574" cy="4295775"/>
            <wp:effectExtent l="0" t="0" r="10160" b="9525"/>
            <wp:docPr id="268" name="Chart 268">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C0677C" w14:textId="79E2AE75" w:rsidR="00144D1E" w:rsidRPr="00EA0DC7" w:rsidRDefault="00144D1E" w:rsidP="00144D1E">
      <w:pPr>
        <w:pStyle w:val="Captions"/>
        <w:jc w:val="center"/>
      </w:pPr>
      <w:bookmarkStart w:id="125" w:name="_Toc47039914"/>
      <w:r w:rsidRPr="00EA0DC7">
        <w:t xml:space="preserve">Figure </w:t>
      </w:r>
      <w:r w:rsidR="004F2FDB">
        <w:fldChar w:fldCharType="begin"/>
      </w:r>
      <w:r w:rsidR="004F2FDB">
        <w:instrText xml:space="preserve"> STYLEREF 1 \s </w:instrText>
      </w:r>
      <w:r w:rsidR="004F2FDB">
        <w:fldChar w:fldCharType="separate"/>
      </w:r>
      <w:r w:rsidR="00694354">
        <w:rPr>
          <w:noProof/>
        </w:rPr>
        <w:t>3</w:t>
      </w:r>
      <w:r w:rsidR="004F2FDB">
        <w:rPr>
          <w:noProof/>
        </w:rPr>
        <w:fldChar w:fldCharType="end"/>
      </w:r>
      <w:r w:rsidRPr="00EA0DC7">
        <w:t>.</w:t>
      </w:r>
      <w:r w:rsidR="004F2FDB">
        <w:fldChar w:fldCharType="begin"/>
      </w:r>
      <w:r w:rsidR="004F2FDB">
        <w:instrText xml:space="preserve"> SEQ Figure \* ARABIC \s 1 </w:instrText>
      </w:r>
      <w:r w:rsidR="004F2FDB">
        <w:fldChar w:fldCharType="separate"/>
      </w:r>
      <w:r w:rsidR="00694354">
        <w:rPr>
          <w:noProof/>
        </w:rPr>
        <w:t>6</w:t>
      </w:r>
      <w:r w:rsidR="004F2FDB">
        <w:rPr>
          <w:noProof/>
        </w:rPr>
        <w:fldChar w:fldCharType="end"/>
      </w:r>
      <w:r w:rsidRPr="00EA0DC7">
        <w:t>. Funnel plot indicating no publication bias for supervisee effect studies.</w:t>
      </w:r>
      <w:bookmarkEnd w:id="125"/>
      <w:commentRangeEnd w:id="116"/>
      <w:r w:rsidR="004C5CC7">
        <w:rPr>
          <w:rStyle w:val="CommentReference"/>
          <w:rFonts w:eastAsiaTheme="minorHAnsi"/>
          <w:lang w:eastAsia="en-US"/>
        </w:rPr>
        <w:commentReference w:id="116"/>
      </w:r>
    </w:p>
    <w:p w14:paraId="474ED564" w14:textId="77777777" w:rsidR="00144D1E" w:rsidRPr="00EA0DC7" w:rsidRDefault="00144D1E" w:rsidP="00144D1E">
      <w:pPr>
        <w:pStyle w:val="Captions"/>
      </w:pPr>
    </w:p>
    <w:p w14:paraId="365D32E6" w14:textId="77777777" w:rsidR="00144D1E" w:rsidRPr="00EA0DC7" w:rsidRDefault="00144D1E" w:rsidP="00144D1E">
      <w:pPr>
        <w:pStyle w:val="Heading2"/>
        <w:numPr>
          <w:ilvl w:val="1"/>
          <w:numId w:val="45"/>
        </w:numPr>
      </w:pPr>
      <w:bookmarkStart w:id="126" w:name="_Toc47039838"/>
      <w:r w:rsidRPr="00EA0DC7">
        <w:t>3.4 Discussion</w:t>
      </w:r>
      <w:bookmarkEnd w:id="126"/>
      <w:r w:rsidRPr="00EA0DC7">
        <w:t xml:space="preserve"> </w:t>
      </w:r>
    </w:p>
    <w:p w14:paraId="307665AA" w14:textId="77777777" w:rsidR="00144D1E" w:rsidRPr="00EA0DC7" w:rsidRDefault="00144D1E" w:rsidP="00144D1E">
      <w:pPr>
        <w:spacing w:after="160"/>
        <w:ind w:firstLine="720"/>
        <w:rPr>
          <w:rFonts w:eastAsia="Calibri" w:cs="Arial"/>
          <w:szCs w:val="24"/>
          <w:lang w:eastAsia="en-US"/>
        </w:rPr>
      </w:pPr>
      <w:r w:rsidRPr="00EA0DC7">
        <w:t xml:space="preserve">This meta-analysis aimed to investigate the impact of clinical supervision on both supervisees and patients. A total of 15 studies were identified in the literature. The first hypothesis proposed that supervisory impact on supervisees would be more strongly represented than supervisory impact on patients. This hypothesis was confirmed, as the majority of papers did indeed focus on supervisees, rather than on patients. The second hypothesis – that supervision would have a greater effect on supervisees than on patients – was also confirmed. The impact of supervision on patient </w:t>
      </w:r>
      <w:r w:rsidRPr="00EA0DC7">
        <w:lastRenderedPageBreak/>
        <w:t xml:space="preserve">outcomes was non-significant, whereas supervision had a moderate, positive effect on supervisee outcomes. As there were not sufficient studies to divide the data into subgroups based on outcome measures, these effects refer to all patient and supervisee outcomes. Patient outcomes include </w:t>
      </w:r>
      <w:r w:rsidRPr="00EA0DC7">
        <w:rPr>
          <w:rFonts w:eastAsia="Calibri" w:cs="Arial"/>
          <w:szCs w:val="24"/>
          <w:lang w:eastAsia="en-US"/>
        </w:rPr>
        <w:t xml:space="preserve">symptom or working alliance change, and supervisee outcomes include skill acquisition, reflection, self-awareness, self-efficacy, competence, and adherence change. </w:t>
      </w:r>
    </w:p>
    <w:p w14:paraId="492708DE" w14:textId="5A3BA0F4" w:rsidR="00144D1E" w:rsidRPr="00EA0DC7" w:rsidRDefault="00144D1E" w:rsidP="00D46A29">
      <w:pPr>
        <w:spacing w:after="160"/>
        <w:ind w:firstLine="720"/>
      </w:pPr>
      <w:r w:rsidRPr="00EA0DC7">
        <w:t xml:space="preserve">Moderators of effect size were also investigated. </w:t>
      </w:r>
      <w:commentRangeStart w:id="127"/>
      <w:r w:rsidRPr="00EA0DC7">
        <w:t xml:space="preserve">It was expected that more rigorously controlled studies would produce </w:t>
      </w:r>
      <w:r w:rsidR="008E1CAB">
        <w:t xml:space="preserve">smaller </w:t>
      </w:r>
      <w:r w:rsidRPr="00EA0DC7">
        <w:t xml:space="preserve">effect sizes. Study design (whether the study had a control group) moderated effect sizes for supervisee outcome studies. </w:t>
      </w:r>
      <w:r w:rsidR="008E1CAB">
        <w:t>Contrary t</w:t>
      </w:r>
      <w:r w:rsidR="00443353">
        <w:t>o the</w:t>
      </w:r>
      <w:r w:rsidR="008E1CAB">
        <w:t xml:space="preserve"> hypothesis, t</w:t>
      </w:r>
      <w:r w:rsidRPr="00EA0DC7">
        <w:t>here was a moderate positive effect for controlled supervisee studies, and a non-significant effect for studies without a control. Supervisee population (</w:t>
      </w:r>
      <w:commentRangeStart w:id="128"/>
      <w:r w:rsidRPr="00EA0DC7">
        <w:t>trainee or qualified</w:t>
      </w:r>
      <w:commentRangeEnd w:id="128"/>
      <w:r w:rsidR="0012476D">
        <w:rPr>
          <w:rStyle w:val="CommentReference"/>
          <w:rFonts w:eastAsiaTheme="minorHAnsi"/>
          <w:lang w:eastAsia="en-US"/>
        </w:rPr>
        <w:commentReference w:id="128"/>
      </w:r>
      <w:r w:rsidRPr="00EA0DC7">
        <w:t>) and frequency of supervision were also found to be moderators of effect size.</w:t>
      </w:r>
      <w:commentRangeEnd w:id="127"/>
      <w:r w:rsidR="008E0C1C">
        <w:rPr>
          <w:rStyle w:val="CommentReference"/>
          <w:rFonts w:eastAsiaTheme="minorHAnsi"/>
          <w:lang w:eastAsia="en-US"/>
        </w:rPr>
        <w:commentReference w:id="127"/>
      </w:r>
    </w:p>
    <w:p w14:paraId="798C0BE1" w14:textId="77777777" w:rsidR="00144D1E" w:rsidRPr="00EA0DC7" w:rsidRDefault="00144D1E" w:rsidP="00144D1E">
      <w:pPr>
        <w:spacing w:after="160"/>
        <w:ind w:firstLine="720"/>
      </w:pPr>
      <w:r w:rsidRPr="00EA0DC7">
        <w:t xml:space="preserve">This meta-analysis provides strong support for the use of supervision in clinical practice to enhance supervisee outcomes. However, it cannot be concluded that supervision also enhances patient outcomes. The main focus of the supervision model literature is on the supervisees, rather than the patients (Chapter 2). It is possible that this focus leads to supervision sessions being directed towards the supervisee’s needs, rather than patient outcomes. </w:t>
      </w:r>
      <w:r w:rsidRPr="00EA0DC7">
        <w:rPr>
          <w:rFonts w:eastAsia="Calibri" w:cs="Arial"/>
          <w:lang w:eastAsia="en-US"/>
        </w:rPr>
        <w:t xml:space="preserve">This pattern does not support the view that underpins many supervision models – that focusing on the development of the supervisee will benefit the patient (e.g., </w:t>
      </w:r>
      <w:r w:rsidRPr="00EA0DC7">
        <w:rPr>
          <w:rFonts w:eastAsia="Calibri" w:cs="Arial"/>
          <w:noProof/>
          <w:lang w:eastAsia="en-US"/>
        </w:rPr>
        <w:t>Blocher, 1983; Stoltenberg, 1981; Wetchler, 1990)</w:t>
      </w:r>
      <w:r w:rsidRPr="00EA0DC7">
        <w:rPr>
          <w:rFonts w:eastAsia="Calibri" w:cs="Arial"/>
          <w:lang w:eastAsia="en-US"/>
        </w:rPr>
        <w:t xml:space="preserve">. </w:t>
      </w:r>
    </w:p>
    <w:p w14:paraId="0CB0B1C6" w14:textId="77777777" w:rsidR="00144D1E" w:rsidRPr="00EA0DC7" w:rsidRDefault="00144D1E" w:rsidP="00144D1E">
      <w:pPr>
        <w:spacing w:after="160"/>
        <w:ind w:firstLine="720"/>
        <w:rPr>
          <w:rFonts w:eastAsia="Calibri" w:cs="Arial"/>
          <w:lang w:eastAsia="en-US"/>
        </w:rPr>
      </w:pPr>
      <w:r w:rsidRPr="00EA0DC7">
        <w:t xml:space="preserve">However, it should be noted that </w:t>
      </w:r>
      <w:r w:rsidRPr="00EA0DC7">
        <w:rPr>
          <w:rFonts w:eastAsia="Calibri" w:cs="Arial"/>
          <w:lang w:eastAsia="en-US"/>
        </w:rPr>
        <w:t xml:space="preserve">very few empirical studies of supervision employ established generic supervision models of the sort that </w:t>
      </w:r>
      <w:r w:rsidRPr="00EA0DC7">
        <w:rPr>
          <w:rFonts w:eastAsia="Calibri" w:cs="Arial"/>
          <w:lang w:eastAsia="en-US"/>
        </w:rPr>
        <w:lastRenderedPageBreak/>
        <w:t xml:space="preserve">Simpson-Southward et al. (2017) considered. Instead, the majority of studies in this review used their own supervision protocols – usually disorder-specific. This disjunction between the empirical and models literatures raises important questions. If we are not using generic supervision models in research, when </w:t>
      </w:r>
      <w:r w:rsidRPr="00EA0DC7">
        <w:rPr>
          <w:rFonts w:eastAsia="Calibri" w:cs="Arial"/>
          <w:i/>
          <w:lang w:eastAsia="en-US"/>
        </w:rPr>
        <w:t>are</w:t>
      </w:r>
      <w:r w:rsidRPr="00EA0DC7">
        <w:rPr>
          <w:rFonts w:eastAsia="Calibri" w:cs="Arial"/>
          <w:lang w:eastAsia="en-US"/>
        </w:rPr>
        <w:t xml:space="preserve"> we using them? And if they are being used in clinical practice, how much do the empirical research findings then reflect standard practice?</w:t>
      </w:r>
    </w:p>
    <w:p w14:paraId="71A0B64B" w14:textId="77777777" w:rsidR="00144D1E" w:rsidRPr="00EA0DC7" w:rsidRDefault="00144D1E" w:rsidP="00144D1E">
      <w:pPr>
        <w:spacing w:after="160"/>
        <w:ind w:firstLine="720"/>
        <w:rPr>
          <w:rFonts w:eastAsia="Calibri" w:cs="Arial"/>
          <w:lang w:eastAsia="en-US"/>
        </w:rPr>
      </w:pPr>
      <w:r w:rsidRPr="00EA0DC7">
        <w:rPr>
          <w:rFonts w:eastAsia="Calibri" w:cs="Arial"/>
          <w:lang w:eastAsia="en-US"/>
        </w:rPr>
        <w:t>This lack of synthesis between the models literature and the empirical literature also means we need to look elsewhere for the reason why supervision has a greater effect on supervisees than on patients. Although empirical studies of supervision do not appear to be using established supervision models, it is difficult to know what the focus of supervision is in these studies, as they often lack detail regarding the content of supervision. To investigate this issue further, we need to find out what is actually happening in clinical supervision. What dictates the direction of the sessions? Is it the patient being treated or is it the needs of the supervisee that are the focus?</w:t>
      </w:r>
    </w:p>
    <w:p w14:paraId="3D7E5262" w14:textId="77777777" w:rsidR="00144D1E" w:rsidRPr="00EA0DC7" w:rsidRDefault="00144D1E" w:rsidP="00144D1E">
      <w:pPr>
        <w:pStyle w:val="Heading3"/>
        <w:numPr>
          <w:ilvl w:val="2"/>
          <w:numId w:val="45"/>
        </w:numPr>
        <w:rPr>
          <w:rFonts w:eastAsia="Calibri"/>
          <w:lang w:eastAsia="en-US"/>
        </w:rPr>
      </w:pPr>
      <w:commentRangeStart w:id="129"/>
      <w:r w:rsidRPr="00EA0DC7">
        <w:rPr>
          <w:rFonts w:eastAsia="Calibri"/>
          <w:lang w:eastAsia="en-US"/>
        </w:rPr>
        <w:t>3.4.1 Moderating effects</w:t>
      </w:r>
    </w:p>
    <w:p w14:paraId="72A6B178" w14:textId="0BB63588" w:rsidR="004A17E4" w:rsidRDefault="00144D1E" w:rsidP="00144D1E">
      <w:pPr>
        <w:rPr>
          <w:rFonts w:eastAsia="Calibri" w:cs="Arial"/>
          <w:szCs w:val="24"/>
          <w:lang w:eastAsia="en-US"/>
        </w:rPr>
      </w:pPr>
      <w:r w:rsidRPr="00EA0DC7">
        <w:rPr>
          <w:lang w:eastAsia="en-US"/>
        </w:rPr>
        <w:tab/>
      </w:r>
      <w:r w:rsidR="00DF693F">
        <w:rPr>
          <w:lang w:eastAsia="en-US"/>
        </w:rPr>
        <w:t>Regarding the</w:t>
      </w:r>
      <w:r w:rsidRPr="00EA0DC7">
        <w:rPr>
          <w:rFonts w:eastAsia="Calibri" w:cs="Arial"/>
          <w:szCs w:val="24"/>
          <w:lang w:eastAsia="en-US"/>
        </w:rPr>
        <w:t xml:space="preserve"> predicat</w:t>
      </w:r>
      <w:r w:rsidR="00DF693F">
        <w:rPr>
          <w:rFonts w:eastAsia="Calibri" w:cs="Arial"/>
          <w:szCs w:val="24"/>
          <w:lang w:eastAsia="en-US"/>
        </w:rPr>
        <w:t>ion</w:t>
      </w:r>
      <w:r w:rsidRPr="00EA0DC7">
        <w:rPr>
          <w:rFonts w:eastAsia="Calibri" w:cs="Arial"/>
          <w:szCs w:val="24"/>
          <w:lang w:eastAsia="en-US"/>
        </w:rPr>
        <w:t xml:space="preserve"> that </w:t>
      </w:r>
      <w:r w:rsidR="005C0A45">
        <w:rPr>
          <w:rFonts w:eastAsia="Calibri" w:cs="Arial"/>
          <w:szCs w:val="24"/>
          <w:lang w:eastAsia="en-US"/>
        </w:rPr>
        <w:t xml:space="preserve">less rigorously </w:t>
      </w:r>
      <w:r w:rsidRPr="00EA0DC7">
        <w:rPr>
          <w:rFonts w:eastAsia="Calibri" w:cs="Arial"/>
          <w:szCs w:val="24"/>
          <w:lang w:eastAsia="en-US"/>
        </w:rPr>
        <w:t xml:space="preserve">controlled, </w:t>
      </w:r>
      <w:r w:rsidR="005C0A45">
        <w:rPr>
          <w:rFonts w:eastAsia="Calibri" w:cs="Arial"/>
          <w:szCs w:val="24"/>
          <w:lang w:eastAsia="en-US"/>
        </w:rPr>
        <w:t xml:space="preserve">lower </w:t>
      </w:r>
      <w:r w:rsidRPr="00EA0DC7">
        <w:rPr>
          <w:rFonts w:eastAsia="Calibri" w:cs="Arial"/>
          <w:szCs w:val="24"/>
          <w:lang w:eastAsia="en-US"/>
        </w:rPr>
        <w:t>quality studies would yield greater effect sizes</w:t>
      </w:r>
      <w:r w:rsidR="00DF693F">
        <w:rPr>
          <w:rFonts w:eastAsia="Calibri" w:cs="Arial"/>
          <w:szCs w:val="24"/>
          <w:lang w:eastAsia="en-US"/>
        </w:rPr>
        <w:t>,</w:t>
      </w:r>
      <w:r w:rsidR="00724F44">
        <w:rPr>
          <w:rFonts w:eastAsia="Calibri" w:cs="Arial"/>
          <w:szCs w:val="24"/>
          <w:lang w:eastAsia="en-US"/>
        </w:rPr>
        <w:t xml:space="preserve"> results appear</w:t>
      </w:r>
      <w:r w:rsidR="005C0A45">
        <w:rPr>
          <w:rFonts w:eastAsia="Calibri" w:cs="Arial"/>
          <w:szCs w:val="24"/>
          <w:lang w:eastAsia="en-US"/>
        </w:rPr>
        <w:t xml:space="preserve"> mixed. S</w:t>
      </w:r>
      <w:r w:rsidR="00DF693F">
        <w:rPr>
          <w:rFonts w:eastAsia="Calibri" w:cs="Arial"/>
          <w:szCs w:val="24"/>
          <w:lang w:eastAsia="en-US"/>
        </w:rPr>
        <w:t>upervisee outcome s</w:t>
      </w:r>
      <w:r w:rsidR="005C0A45">
        <w:rPr>
          <w:rFonts w:eastAsia="Calibri" w:cs="Arial"/>
          <w:szCs w:val="24"/>
          <w:lang w:eastAsia="en-US"/>
        </w:rPr>
        <w:t>tudies</w:t>
      </w:r>
      <w:r w:rsidR="00724F44">
        <w:rPr>
          <w:rFonts w:eastAsia="Calibri" w:cs="Arial"/>
          <w:szCs w:val="24"/>
          <w:lang w:eastAsia="en-US"/>
        </w:rPr>
        <w:t xml:space="preserve"> with higher Q</w:t>
      </w:r>
      <w:r w:rsidR="009755D2">
        <w:rPr>
          <w:rFonts w:eastAsia="Calibri" w:cs="Arial"/>
          <w:szCs w:val="24"/>
          <w:lang w:eastAsia="en-US"/>
        </w:rPr>
        <w:t xml:space="preserve">uality </w:t>
      </w:r>
      <w:r w:rsidR="00724F44">
        <w:rPr>
          <w:rFonts w:eastAsia="Calibri" w:cs="Arial"/>
          <w:szCs w:val="24"/>
          <w:lang w:eastAsia="en-US"/>
        </w:rPr>
        <w:t>I</w:t>
      </w:r>
      <w:r w:rsidR="00DF693F">
        <w:rPr>
          <w:rFonts w:eastAsia="Calibri" w:cs="Arial"/>
          <w:szCs w:val="24"/>
          <w:lang w:eastAsia="en-US"/>
        </w:rPr>
        <w:t xml:space="preserve">ndex </w:t>
      </w:r>
      <w:r w:rsidR="009755D2">
        <w:rPr>
          <w:rFonts w:eastAsia="Calibri" w:cs="Arial"/>
          <w:szCs w:val="24"/>
          <w:lang w:eastAsia="en-US"/>
        </w:rPr>
        <w:t>scores</w:t>
      </w:r>
      <w:r w:rsidR="005C0A45">
        <w:rPr>
          <w:rFonts w:eastAsia="Calibri" w:cs="Arial"/>
          <w:szCs w:val="24"/>
          <w:lang w:eastAsia="en-US"/>
        </w:rPr>
        <w:t xml:space="preserve"> </w:t>
      </w:r>
      <w:r w:rsidR="00DF693F">
        <w:rPr>
          <w:rFonts w:eastAsia="Calibri" w:cs="Arial"/>
          <w:szCs w:val="24"/>
          <w:lang w:eastAsia="en-US"/>
        </w:rPr>
        <w:t xml:space="preserve">do </w:t>
      </w:r>
      <w:r w:rsidR="004A17E4">
        <w:rPr>
          <w:rFonts w:eastAsia="Calibri" w:cs="Arial"/>
          <w:szCs w:val="24"/>
          <w:lang w:eastAsia="en-US"/>
        </w:rPr>
        <w:t xml:space="preserve">seem to </w:t>
      </w:r>
      <w:r w:rsidR="00DF693F">
        <w:rPr>
          <w:rFonts w:eastAsia="Calibri" w:cs="Arial"/>
          <w:szCs w:val="24"/>
          <w:lang w:eastAsia="en-US"/>
        </w:rPr>
        <w:t>have lower effect sizes</w:t>
      </w:r>
      <w:r w:rsidR="004A17E4">
        <w:rPr>
          <w:rFonts w:eastAsia="Calibri" w:cs="Arial"/>
          <w:szCs w:val="24"/>
          <w:lang w:eastAsia="en-US"/>
        </w:rPr>
        <w:t xml:space="preserve"> (although this moderator analysis was only carried out on a subset of the studies, see Section 3.3.4.2)</w:t>
      </w:r>
      <w:r w:rsidR="00DF693F">
        <w:rPr>
          <w:rFonts w:eastAsia="Calibri" w:cs="Arial"/>
          <w:szCs w:val="24"/>
          <w:lang w:eastAsia="en-US"/>
        </w:rPr>
        <w:t>. This appears to be in line with previous research (e.g.</w:t>
      </w:r>
      <w:r w:rsidR="0021262E">
        <w:rPr>
          <w:rFonts w:eastAsia="Calibri" w:cs="Arial"/>
          <w:szCs w:val="24"/>
          <w:lang w:eastAsia="en-US"/>
        </w:rPr>
        <w:t>,</w:t>
      </w:r>
      <w:r w:rsidR="00DF693F">
        <w:rPr>
          <w:rFonts w:eastAsia="Calibri" w:cs="Arial"/>
          <w:szCs w:val="24"/>
          <w:lang w:eastAsia="en-US"/>
        </w:rPr>
        <w:t xml:space="preserve"> </w:t>
      </w:r>
      <w:r w:rsidR="00DF693F">
        <w:t>Cuijpers et al., 2010).</w:t>
      </w:r>
      <w:r w:rsidR="00DF693F">
        <w:rPr>
          <w:rFonts w:eastAsia="Calibri" w:cs="Arial"/>
          <w:szCs w:val="24"/>
          <w:lang w:eastAsia="en-US"/>
        </w:rPr>
        <w:t xml:space="preserve"> </w:t>
      </w:r>
    </w:p>
    <w:p w14:paraId="01733384" w14:textId="1048C529" w:rsidR="00E43464" w:rsidRDefault="00DF693F" w:rsidP="00443353">
      <w:pPr>
        <w:ind w:firstLine="720"/>
      </w:pPr>
      <w:r>
        <w:rPr>
          <w:rFonts w:eastAsia="Calibri" w:cs="Arial"/>
          <w:szCs w:val="24"/>
          <w:lang w:eastAsia="en-US"/>
        </w:rPr>
        <w:t xml:space="preserve">However, </w:t>
      </w:r>
      <w:r w:rsidR="004A17E4">
        <w:rPr>
          <w:rFonts w:eastAsia="Calibri" w:cs="Arial"/>
          <w:szCs w:val="24"/>
          <w:lang w:eastAsia="en-US"/>
        </w:rPr>
        <w:t xml:space="preserve">supervisee outcome studies with a control group </w:t>
      </w:r>
      <w:r w:rsidR="00144D1E" w:rsidRPr="00EA0DC7">
        <w:rPr>
          <w:rFonts w:eastAsia="Calibri" w:cs="Arial"/>
          <w:szCs w:val="24"/>
          <w:lang w:eastAsia="en-US"/>
        </w:rPr>
        <w:t xml:space="preserve">indicated a moderate positive effect of supervision. In contrast, the group without a control </w:t>
      </w:r>
      <w:r w:rsidR="00E43464">
        <w:rPr>
          <w:rFonts w:eastAsia="Calibri" w:cs="Arial"/>
          <w:szCs w:val="24"/>
          <w:lang w:eastAsia="en-US"/>
        </w:rPr>
        <w:lastRenderedPageBreak/>
        <w:t>showed a non-significant effect</w:t>
      </w:r>
      <w:r w:rsidR="00144D1E" w:rsidRPr="00EA0DC7">
        <w:rPr>
          <w:rFonts w:eastAsia="Calibri" w:cs="Arial"/>
          <w:szCs w:val="24"/>
          <w:lang w:eastAsia="en-US"/>
        </w:rPr>
        <w:t xml:space="preserve">. </w:t>
      </w:r>
      <w:r>
        <w:rPr>
          <w:rFonts w:eastAsia="Calibri" w:cs="Arial"/>
          <w:szCs w:val="24"/>
          <w:lang w:eastAsia="en-US"/>
        </w:rPr>
        <w:t>This</w:t>
      </w:r>
      <w:r w:rsidR="005C0A45">
        <w:rPr>
          <w:rFonts w:eastAsia="Calibri" w:cs="Arial"/>
          <w:szCs w:val="24"/>
          <w:lang w:eastAsia="en-US"/>
        </w:rPr>
        <w:t xml:space="preserve"> would indicate that more rigorously controlled studies are producing higher effect sizes</w:t>
      </w:r>
      <w:r w:rsidR="009B0813">
        <w:rPr>
          <w:rFonts w:eastAsia="Calibri" w:cs="Arial"/>
          <w:szCs w:val="24"/>
          <w:lang w:eastAsia="en-US"/>
        </w:rPr>
        <w:t xml:space="preserve">. </w:t>
      </w:r>
      <w:r w:rsidR="005C0A45">
        <w:t>In a</w:t>
      </w:r>
      <w:r>
        <w:t>ddition, the patie</w:t>
      </w:r>
      <w:r w:rsidR="00724F44">
        <w:t>nt outcome studies with higher Quality I</w:t>
      </w:r>
      <w:r>
        <w:t xml:space="preserve">ndex scores </w:t>
      </w:r>
      <w:r w:rsidR="00BC59F5">
        <w:t>also seem</w:t>
      </w:r>
      <w:r>
        <w:t xml:space="preserve"> to produce higher effect sizes. These </w:t>
      </w:r>
      <w:r w:rsidR="009B0813">
        <w:t xml:space="preserve">two </w:t>
      </w:r>
      <w:r>
        <w:t xml:space="preserve">findings contrast the </w:t>
      </w:r>
      <w:r w:rsidR="00BC59F5">
        <w:t xml:space="preserve">previous </w:t>
      </w:r>
      <w:r>
        <w:t>literature</w:t>
      </w:r>
      <w:r w:rsidR="00BC59F5">
        <w:t xml:space="preserve"> indicating </w:t>
      </w:r>
      <w:r>
        <w:t>lower effect sizes</w:t>
      </w:r>
      <w:r w:rsidR="00443353">
        <w:t xml:space="preserve"> in</w:t>
      </w:r>
      <w:r>
        <w:t xml:space="preserve"> higher quality studies (</w:t>
      </w:r>
      <w:r w:rsidR="00E43464">
        <w:t xml:space="preserve">e.g., Cuijpers et al., 2010). </w:t>
      </w:r>
    </w:p>
    <w:p w14:paraId="322B4C40" w14:textId="60FABEEB" w:rsidR="00144D1E" w:rsidRPr="00443353" w:rsidRDefault="00E43464" w:rsidP="00443353">
      <w:pPr>
        <w:ind w:firstLine="720"/>
      </w:pPr>
      <w:r>
        <w:t>A possible explanation for this is that</w:t>
      </w:r>
      <w:r w:rsidR="00443353">
        <w:t xml:space="preserve"> although</w:t>
      </w:r>
      <w:r>
        <w:t xml:space="preserve"> the </w:t>
      </w:r>
      <w:r w:rsidR="008D687C">
        <w:t xml:space="preserve">previous literature </w:t>
      </w:r>
      <w:r w:rsidR="00F609D3">
        <w:t>indicates that studies of</w:t>
      </w:r>
      <w:r w:rsidR="00D32D5F">
        <w:t xml:space="preserve"> </w:t>
      </w:r>
      <w:r w:rsidR="00F609D3">
        <w:t>lower quality psychotherapy produce better patient effect sizes</w:t>
      </w:r>
      <w:r w:rsidR="00D32D5F">
        <w:t xml:space="preserve">, this meta-analysis </w:t>
      </w:r>
      <w:r w:rsidR="0021262E">
        <w:t xml:space="preserve">is </w:t>
      </w:r>
      <w:r>
        <w:t xml:space="preserve">not </w:t>
      </w:r>
      <w:r w:rsidR="0021262E">
        <w:t xml:space="preserve">assessing the quality of the therapy </w:t>
      </w:r>
      <w:r>
        <w:t xml:space="preserve">per se, </w:t>
      </w:r>
      <w:r w:rsidR="0021262E">
        <w:t xml:space="preserve">but the quality of the supervision. It is possible that good quality supervision (as reflected by good quality research) improves </w:t>
      </w:r>
      <w:r w:rsidR="00F609D3">
        <w:t xml:space="preserve">patient </w:t>
      </w:r>
      <w:r w:rsidR="0021262E">
        <w:t>outcomes, regardless of the quality of the therapy itself</w:t>
      </w:r>
      <w:r w:rsidR="00443353">
        <w:t>.</w:t>
      </w:r>
      <w:r w:rsidR="0021262E">
        <w:rPr>
          <w:rFonts w:eastAsia="Calibri" w:cs="Arial"/>
          <w:szCs w:val="24"/>
          <w:lang w:eastAsia="en-US"/>
        </w:rPr>
        <w:t xml:space="preserve"> </w:t>
      </w:r>
      <w:r w:rsidR="00F609D3">
        <w:rPr>
          <w:rFonts w:eastAsia="Calibri" w:cs="Arial"/>
          <w:szCs w:val="24"/>
          <w:lang w:eastAsia="en-US"/>
        </w:rPr>
        <w:t>Perhaps supervision needs to be carried out in a highly controlled manner in order for it to positively</w:t>
      </w:r>
      <w:r w:rsidR="00724F44">
        <w:rPr>
          <w:rFonts w:eastAsia="Calibri" w:cs="Arial"/>
          <w:szCs w:val="24"/>
          <w:lang w:eastAsia="en-US"/>
        </w:rPr>
        <w:t xml:space="preserve"> impact patients. </w:t>
      </w:r>
      <w:r w:rsidR="00A069AD">
        <w:rPr>
          <w:rFonts w:eastAsia="Calibri" w:cs="Arial"/>
          <w:szCs w:val="24"/>
          <w:lang w:eastAsia="en-US"/>
        </w:rPr>
        <w:t>In contrast</w:t>
      </w:r>
      <w:r w:rsidR="00F609D3">
        <w:rPr>
          <w:rFonts w:eastAsia="Calibri" w:cs="Arial"/>
          <w:szCs w:val="24"/>
          <w:lang w:eastAsia="en-US"/>
        </w:rPr>
        <w:t>,</w:t>
      </w:r>
      <w:r w:rsidR="00A069AD">
        <w:rPr>
          <w:rFonts w:eastAsia="Calibri" w:cs="Arial"/>
          <w:szCs w:val="24"/>
          <w:lang w:eastAsia="en-US"/>
        </w:rPr>
        <w:t xml:space="preserve"> it appears that</w:t>
      </w:r>
      <w:r w:rsidR="00F609D3">
        <w:rPr>
          <w:rFonts w:eastAsia="Calibri" w:cs="Arial"/>
          <w:szCs w:val="24"/>
          <w:lang w:eastAsia="en-US"/>
        </w:rPr>
        <w:t xml:space="preserve"> supervision </w:t>
      </w:r>
      <w:r w:rsidR="0081213A">
        <w:rPr>
          <w:rFonts w:eastAsia="Calibri" w:cs="Arial"/>
          <w:szCs w:val="24"/>
          <w:lang w:eastAsia="en-US"/>
        </w:rPr>
        <w:t xml:space="preserve">has </w:t>
      </w:r>
      <w:r w:rsidR="00F609D3">
        <w:rPr>
          <w:rFonts w:eastAsia="Calibri" w:cs="Arial"/>
          <w:szCs w:val="24"/>
          <w:lang w:eastAsia="en-US"/>
        </w:rPr>
        <w:t xml:space="preserve">a positive impact </w:t>
      </w:r>
      <w:r w:rsidR="00A069AD">
        <w:rPr>
          <w:rFonts w:eastAsia="Calibri" w:cs="Arial"/>
          <w:szCs w:val="24"/>
          <w:lang w:eastAsia="en-US"/>
        </w:rPr>
        <w:t xml:space="preserve">for supervisees </w:t>
      </w:r>
      <w:r w:rsidR="00F609D3">
        <w:rPr>
          <w:rFonts w:eastAsia="Calibri" w:cs="Arial"/>
          <w:szCs w:val="24"/>
          <w:lang w:eastAsia="en-US"/>
        </w:rPr>
        <w:t xml:space="preserve">regardless. Therefore, </w:t>
      </w:r>
      <w:r w:rsidR="00724F44">
        <w:rPr>
          <w:rFonts w:eastAsia="Calibri" w:cs="Arial"/>
          <w:szCs w:val="24"/>
          <w:lang w:eastAsia="en-US"/>
        </w:rPr>
        <w:t>the expected pattern is found</w:t>
      </w:r>
      <w:r w:rsidR="00F609D3">
        <w:rPr>
          <w:rFonts w:eastAsia="Calibri" w:cs="Arial"/>
          <w:szCs w:val="24"/>
          <w:lang w:eastAsia="en-US"/>
        </w:rPr>
        <w:t xml:space="preserve"> in supervisee outcome studies – studies with high</w:t>
      </w:r>
      <w:r w:rsidR="0081213A">
        <w:rPr>
          <w:rFonts w:eastAsia="Calibri" w:cs="Arial"/>
          <w:szCs w:val="24"/>
          <w:lang w:eastAsia="en-US"/>
        </w:rPr>
        <w:t>er QI scores have</w:t>
      </w:r>
      <w:r w:rsidR="00F609D3">
        <w:rPr>
          <w:rFonts w:eastAsia="Calibri" w:cs="Arial"/>
          <w:szCs w:val="24"/>
          <w:lang w:eastAsia="en-US"/>
        </w:rPr>
        <w:t xml:space="preserve"> lower effect sizes.</w:t>
      </w:r>
      <w:commentRangeEnd w:id="129"/>
      <w:r w:rsidR="008E0C1C">
        <w:rPr>
          <w:rStyle w:val="CommentReference"/>
          <w:rFonts w:eastAsiaTheme="minorHAnsi"/>
          <w:lang w:eastAsia="en-US"/>
        </w:rPr>
        <w:commentReference w:id="129"/>
      </w:r>
    </w:p>
    <w:p w14:paraId="4218F423" w14:textId="77777777" w:rsidR="00144D1E" w:rsidRPr="00EA0DC7" w:rsidRDefault="00144D1E" w:rsidP="00144D1E">
      <w:pPr>
        <w:ind w:firstLine="720"/>
        <w:rPr>
          <w:rFonts w:eastAsia="Calibri" w:cs="Arial"/>
          <w:lang w:eastAsia="en-US"/>
        </w:rPr>
      </w:pPr>
      <w:r w:rsidRPr="00EA0DC7">
        <w:rPr>
          <w:rFonts w:eastAsia="Calibri" w:cs="Arial"/>
          <w:szCs w:val="24"/>
          <w:lang w:eastAsia="en-US"/>
        </w:rPr>
        <w:t xml:space="preserve">The current meta-analyses indicate that there is a greater positive effect of supervision on trainees than </w:t>
      </w:r>
      <w:commentRangeStart w:id="130"/>
      <w:r w:rsidRPr="00EA0DC7">
        <w:rPr>
          <w:rFonts w:eastAsia="Calibri" w:cs="Arial"/>
          <w:szCs w:val="24"/>
          <w:lang w:eastAsia="en-US"/>
        </w:rPr>
        <w:t xml:space="preserve">on qualified </w:t>
      </w:r>
      <w:commentRangeEnd w:id="130"/>
      <w:r w:rsidR="0012476D">
        <w:rPr>
          <w:rStyle w:val="CommentReference"/>
          <w:rFonts w:eastAsiaTheme="minorHAnsi"/>
          <w:lang w:eastAsia="en-US"/>
        </w:rPr>
        <w:commentReference w:id="130"/>
      </w:r>
      <w:r w:rsidRPr="00EA0DC7">
        <w:rPr>
          <w:rFonts w:eastAsia="Calibri" w:cs="Arial"/>
          <w:szCs w:val="24"/>
          <w:lang w:eastAsia="en-US"/>
        </w:rPr>
        <w:t xml:space="preserve">supervisees. There are a few possible explanations for this. First, the guidance given in supervision might only be beneficial to those early in their career who are lacking a well-rounded experience of therapy. Second, </w:t>
      </w:r>
      <w:r w:rsidRPr="00EA0DC7">
        <w:rPr>
          <w:rFonts w:eastAsia="Calibri" w:cs="Arial"/>
          <w:lang w:eastAsia="en-US"/>
        </w:rPr>
        <w:t xml:space="preserve">it is possible that supervision plays a lesser role for </w:t>
      </w:r>
      <w:commentRangeStart w:id="131"/>
      <w:r w:rsidRPr="00EA0DC7">
        <w:rPr>
          <w:rFonts w:eastAsia="Calibri" w:cs="Arial"/>
          <w:lang w:eastAsia="en-US"/>
        </w:rPr>
        <w:t xml:space="preserve">qualified </w:t>
      </w:r>
      <w:commentRangeEnd w:id="131"/>
      <w:r w:rsidR="0012476D">
        <w:rPr>
          <w:rStyle w:val="CommentReference"/>
          <w:rFonts w:eastAsiaTheme="minorHAnsi"/>
          <w:lang w:eastAsia="en-US"/>
        </w:rPr>
        <w:commentReference w:id="131"/>
      </w:r>
      <w:r w:rsidRPr="00EA0DC7">
        <w:rPr>
          <w:rFonts w:eastAsia="Calibri" w:cs="Arial"/>
          <w:lang w:eastAsia="en-US"/>
        </w:rPr>
        <w:t xml:space="preserve">supervisees, and that other factors contribute more to their outcomes (e.g., experience; </w:t>
      </w:r>
      <w:r w:rsidRPr="00EA0DC7">
        <w:rPr>
          <w:rFonts w:eastAsia="Times New Roman" w:cs="Arial"/>
          <w:noProof/>
          <w:szCs w:val="24"/>
        </w:rPr>
        <w:t>Eells, Lombart, Kendjelic, Turner, &amp; Lucas, 2005)</w:t>
      </w:r>
      <w:r w:rsidRPr="00EA0DC7">
        <w:rPr>
          <w:rFonts w:eastAsia="Calibri" w:cs="Arial"/>
          <w:lang w:eastAsia="en-US"/>
        </w:rPr>
        <w:t xml:space="preserve">. </w:t>
      </w:r>
      <w:r w:rsidRPr="00EA0DC7">
        <w:rPr>
          <w:rFonts w:eastAsia="Calibri" w:cs="Arial"/>
          <w:szCs w:val="24"/>
          <w:lang w:eastAsia="en-US"/>
        </w:rPr>
        <w:t xml:space="preserve">Finally, as a number of supervision models suggest (e.g., Hogan, 1964; Stoltenberg &amp; Delworth, 1987), supervisors might be treating their supervisees in different ways depending on the supervisee’s experience. Often models </w:t>
      </w:r>
      <w:r w:rsidRPr="00EA0DC7">
        <w:rPr>
          <w:rFonts w:eastAsia="Calibri" w:cs="Arial"/>
          <w:szCs w:val="24"/>
          <w:lang w:eastAsia="en-US"/>
        </w:rPr>
        <w:lastRenderedPageBreak/>
        <w:t xml:space="preserve">advocate more structured supervision for those supervisees at a lower level. It is possible that such structure would benefit all supervisees, regardless of qualification status. </w:t>
      </w:r>
      <w:r w:rsidRPr="00EA0DC7">
        <w:rPr>
          <w:rFonts w:eastAsia="Calibri" w:cs="Arial"/>
          <w:lang w:eastAsia="en-US"/>
        </w:rPr>
        <w:tab/>
      </w:r>
    </w:p>
    <w:p w14:paraId="525AC818" w14:textId="77777777" w:rsidR="00144D1E" w:rsidRPr="00EA0DC7" w:rsidRDefault="00144D1E" w:rsidP="00144D1E">
      <w:pPr>
        <w:ind w:firstLine="720"/>
        <w:rPr>
          <w:rFonts w:eastAsia="Calibri" w:cs="Arial"/>
          <w:lang w:eastAsia="en-US"/>
        </w:rPr>
      </w:pPr>
      <w:r w:rsidRPr="00EA0DC7">
        <w:rPr>
          <w:rFonts w:eastAsia="Calibri" w:cs="Arial"/>
          <w:lang w:eastAsia="en-US"/>
        </w:rPr>
        <w:t xml:space="preserve">There is a need for more studies to allow us to interpret these moderator and subgroup analyses robustly. Therefore, this discussion of moderating effects should be viewed as somewhat speculative, and its intention is to indicate possible directions for future research. </w:t>
      </w:r>
    </w:p>
    <w:p w14:paraId="7FBB1157" w14:textId="77777777" w:rsidR="00144D1E" w:rsidRPr="00EA0DC7" w:rsidRDefault="00144D1E" w:rsidP="00144D1E">
      <w:pPr>
        <w:pStyle w:val="Heading3"/>
        <w:numPr>
          <w:ilvl w:val="2"/>
          <w:numId w:val="45"/>
        </w:numPr>
        <w:rPr>
          <w:lang w:eastAsia="en-US"/>
        </w:rPr>
      </w:pPr>
      <w:r w:rsidRPr="00EA0DC7">
        <w:rPr>
          <w:lang w:eastAsia="en-US"/>
        </w:rPr>
        <w:t>3.4.2 Limitations of the studies</w:t>
      </w:r>
    </w:p>
    <w:p w14:paraId="46952187" w14:textId="3CE83312" w:rsidR="00144D1E" w:rsidRPr="00EA0DC7" w:rsidRDefault="00144D1E" w:rsidP="00144D1E">
      <w:pPr>
        <w:spacing w:after="160"/>
        <w:ind w:firstLine="720"/>
        <w:rPr>
          <w:rFonts w:eastAsia="Calibri" w:cs="Arial"/>
          <w:lang w:eastAsia="en-US"/>
        </w:rPr>
      </w:pPr>
      <w:r w:rsidRPr="00EA0DC7">
        <w:rPr>
          <w:rFonts w:eastAsia="Calibri" w:cs="Arial"/>
          <w:lang w:eastAsia="en-US"/>
        </w:rPr>
        <w:t xml:space="preserve">Specific methodological issues with supervision research have been highlighted in previous reviews </w:t>
      </w:r>
      <w:r w:rsidRPr="00EA0DC7">
        <w:rPr>
          <w:rFonts w:eastAsia="Calibri" w:cs="Arial"/>
          <w:noProof/>
          <w:lang w:eastAsia="en-US"/>
        </w:rPr>
        <w:t>(</w:t>
      </w:r>
      <w:commentRangeStart w:id="132"/>
      <w:r w:rsidRPr="00EA0DC7">
        <w:rPr>
          <w:rFonts w:eastAsia="Calibri" w:cs="Arial"/>
          <w:noProof/>
          <w:lang w:eastAsia="en-US"/>
        </w:rPr>
        <w:t>e.g.</w:t>
      </w:r>
      <w:r w:rsidR="00A069AD">
        <w:rPr>
          <w:rFonts w:eastAsia="Calibri" w:cs="Arial"/>
          <w:noProof/>
          <w:lang w:eastAsia="en-US"/>
        </w:rPr>
        <w:t>,</w:t>
      </w:r>
      <w:r>
        <w:rPr>
          <w:rFonts w:eastAsia="Calibri" w:cs="Arial"/>
          <w:noProof/>
          <w:lang w:eastAsia="en-US"/>
        </w:rPr>
        <w:t xml:space="preserve"> Type I and Type II errors, unreliability or invalidity of independent and dependent measures, non-random samples;</w:t>
      </w:r>
      <w:r w:rsidRPr="00EA0DC7">
        <w:rPr>
          <w:rFonts w:eastAsia="Calibri" w:cs="Arial"/>
          <w:noProof/>
          <w:lang w:eastAsia="en-US"/>
        </w:rPr>
        <w:t xml:space="preserve"> Ellis et al., 1996; Watkins, 2011)</w:t>
      </w:r>
      <w:commentRangeEnd w:id="132"/>
      <w:r w:rsidR="008E0C1C">
        <w:rPr>
          <w:rStyle w:val="CommentReference"/>
          <w:rFonts w:eastAsiaTheme="minorHAnsi"/>
          <w:lang w:eastAsia="en-US"/>
        </w:rPr>
        <w:commentReference w:id="132"/>
      </w:r>
      <w:r w:rsidRPr="00EA0DC7">
        <w:rPr>
          <w:rFonts w:eastAsia="Calibri" w:cs="Arial"/>
          <w:lang w:eastAsia="en-US"/>
        </w:rPr>
        <w:t>. The current review found some additional issues, many of which can be described as a lack of clarity in methodological descriptions. For example, a lack of information describing the populations from which participants were recruited (e.g. Crutchfield &amp; Borders, 1997; Fenell et al., 1986), or a failure to make randomisation and blinding procedures clear (e.g., Berg &amp; Stone, 1980). In addition, a key element that all studies lacked is a power analysis.</w:t>
      </w:r>
    </w:p>
    <w:p w14:paraId="623419AC" w14:textId="77777777" w:rsidR="00144D1E" w:rsidRPr="00EA0DC7" w:rsidRDefault="00144D1E" w:rsidP="00144D1E">
      <w:pPr>
        <w:pStyle w:val="Heading3"/>
        <w:numPr>
          <w:ilvl w:val="2"/>
          <w:numId w:val="45"/>
        </w:numPr>
        <w:rPr>
          <w:lang w:eastAsia="en-US"/>
        </w:rPr>
      </w:pPr>
      <w:r w:rsidRPr="00EA0DC7">
        <w:rPr>
          <w:lang w:eastAsia="en-US"/>
        </w:rPr>
        <w:t>3.4.3 Limitations of this review</w:t>
      </w:r>
    </w:p>
    <w:p w14:paraId="03C9CF54" w14:textId="77777777" w:rsidR="00144D1E" w:rsidRPr="00EA0DC7" w:rsidRDefault="00144D1E" w:rsidP="00144D1E">
      <w:pPr>
        <w:spacing w:after="160"/>
        <w:rPr>
          <w:rFonts w:eastAsia="Calibri" w:cs="Arial"/>
          <w:lang w:eastAsia="en-US"/>
        </w:rPr>
      </w:pPr>
      <w:r w:rsidRPr="00EA0DC7">
        <w:rPr>
          <w:rFonts w:eastAsia="Calibri" w:cs="Arial"/>
          <w:lang w:eastAsia="en-US"/>
        </w:rPr>
        <w:tab/>
        <w:t xml:space="preserve">When conducting the current review, some general issues surrounding the supervision literature became apparent that limited the scope of the review. The first is that there are relatively few studies investigating the effects of clinical supervision. Therefore, it is difficult to reach definitive conclusions about the area as a whole. The lack of studies becomes particularly </w:t>
      </w:r>
      <w:r w:rsidRPr="00EA0DC7">
        <w:rPr>
          <w:rFonts w:eastAsia="Calibri" w:cs="Arial"/>
          <w:lang w:eastAsia="en-US"/>
        </w:rPr>
        <w:lastRenderedPageBreak/>
        <w:t xml:space="preserve">problematic when investigating moderators and subgroups (Cochrane Collaboration, 2011). High heterogeneity and the small number of studies also makes drawing conclusions about publication bias challenging (Terrin, Schmid, Lau &amp; Olkin, 2003). </w:t>
      </w:r>
    </w:p>
    <w:p w14:paraId="702375F2" w14:textId="77777777" w:rsidR="00144D1E" w:rsidRPr="00EA0DC7" w:rsidRDefault="00144D1E" w:rsidP="00144D1E">
      <w:pPr>
        <w:spacing w:after="160"/>
        <w:rPr>
          <w:rFonts w:eastAsia="Calibri" w:cs="Arial"/>
          <w:lang w:eastAsia="en-US"/>
        </w:rPr>
      </w:pPr>
      <w:r w:rsidRPr="00EA0DC7">
        <w:rPr>
          <w:rFonts w:eastAsia="Calibri" w:cs="Arial"/>
          <w:lang w:eastAsia="en-US"/>
        </w:rPr>
        <w:tab/>
        <w:t xml:space="preserve">Due to the lack of studies in this area, all were combined within a single meta-analysis (regardless of whether the study had a control group). This required the use of pre-post effect sizes and pre-post correction estimates. While standard procedures were used for these analyses (e.g., </w:t>
      </w:r>
      <w:r w:rsidRPr="00EA0DC7">
        <w:rPr>
          <w:rFonts w:cs="Arial"/>
          <w:szCs w:val="24"/>
          <w:shd w:val="clear" w:color="auto" w:fill="FFFFFF"/>
        </w:rPr>
        <w:t xml:space="preserve">Borenstein et al., 2009; </w:t>
      </w:r>
      <w:r w:rsidRPr="00EA0DC7">
        <w:rPr>
          <w:rFonts w:eastAsia="Calibri" w:cs="Arial"/>
          <w:szCs w:val="24"/>
          <w:lang w:eastAsia="en-US"/>
        </w:rPr>
        <w:t>Hunter et al., 2014)</w:t>
      </w:r>
      <w:r w:rsidRPr="00EA0DC7">
        <w:rPr>
          <w:rFonts w:eastAsia="Calibri" w:cs="Arial"/>
          <w:lang w:eastAsia="en-US"/>
        </w:rPr>
        <w:t>, the use of pre-post effect sizes has been criticised by Cuijpers, Weitz, Cristea and Twisk (2017). They argue that pre-post effect sizes are uncontrolled and are vulnerable to variables such as recruitment strategies and expectations. Such uncontrolled variables might be one reason for the high levels of heterogeneity in these two groups of studies.</w:t>
      </w:r>
    </w:p>
    <w:p w14:paraId="1B70BA1B" w14:textId="77777777" w:rsidR="00144D1E" w:rsidRPr="00EA0DC7" w:rsidRDefault="00144D1E" w:rsidP="00144D1E">
      <w:pPr>
        <w:spacing w:after="160"/>
        <w:rPr>
          <w:rFonts w:eastAsia="Calibri" w:cs="Arial"/>
          <w:lang w:eastAsia="en-US"/>
        </w:rPr>
      </w:pPr>
      <w:r w:rsidRPr="00EA0DC7">
        <w:rPr>
          <w:rFonts w:eastAsia="Calibri" w:cs="Arial"/>
          <w:lang w:eastAsia="en-US"/>
        </w:rPr>
        <w:tab/>
        <w:t xml:space="preserve">Turning to the content of the studies themselves, much of the research into the impact of supervision does not address outcomes – particularly patient outcomes </w:t>
      </w:r>
      <w:r w:rsidRPr="00EA0DC7">
        <w:rPr>
          <w:rFonts w:eastAsia="Calibri" w:cs="Arial"/>
          <w:noProof/>
          <w:lang w:eastAsia="en-US"/>
        </w:rPr>
        <w:t>(Lichtenberg, 2007)</w:t>
      </w:r>
      <w:r w:rsidRPr="00EA0DC7">
        <w:rPr>
          <w:rFonts w:eastAsia="Calibri" w:cs="Arial"/>
          <w:lang w:eastAsia="en-US"/>
        </w:rPr>
        <w:t xml:space="preserve">. A number of studies focus on specific events or people in supervision, but without first establishing the general impact of supervision, and therefore could not be included in this review (e.g., Dodenhoff, 1981; Lizzio, Wilson, &amp; Que, 2009; Pierce &amp; Schauble, 1970). Another group of studies that could not be included are those that did not provide enough data for an effect size to be calculated (e.g., </w:t>
      </w:r>
      <w:r w:rsidRPr="00EA0DC7">
        <w:rPr>
          <w:rFonts w:eastAsia="Calibri" w:cs="Arial"/>
          <w:noProof/>
          <w:lang w:eastAsia="en-US"/>
        </w:rPr>
        <w:t>Cashwell &amp; Dooley, 2001; Rousmaniere, Swift, Babins-Wagner, Whipple, &amp; Berzins, 2016)</w:t>
      </w:r>
      <w:r w:rsidRPr="00EA0DC7">
        <w:rPr>
          <w:rFonts w:eastAsia="Calibri" w:cs="Arial"/>
          <w:lang w:eastAsia="en-US"/>
        </w:rPr>
        <w:t xml:space="preserve">. </w:t>
      </w:r>
    </w:p>
    <w:p w14:paraId="4EA05495" w14:textId="77777777" w:rsidR="00144D1E" w:rsidRPr="00EA0DC7" w:rsidRDefault="00144D1E" w:rsidP="00216A42">
      <w:pPr>
        <w:pStyle w:val="Heading3"/>
        <w:keepNext/>
        <w:numPr>
          <w:ilvl w:val="2"/>
          <w:numId w:val="45"/>
        </w:numPr>
        <w:rPr>
          <w:lang w:eastAsia="en-US"/>
        </w:rPr>
      </w:pPr>
      <w:r w:rsidRPr="00EA0DC7">
        <w:rPr>
          <w:lang w:eastAsia="en-US"/>
        </w:rPr>
        <w:lastRenderedPageBreak/>
        <w:t>3.4.4 Implications of this review</w:t>
      </w:r>
    </w:p>
    <w:p w14:paraId="77D9A97F" w14:textId="77777777" w:rsidR="00144D1E" w:rsidRPr="00EA0DC7" w:rsidRDefault="00144D1E" w:rsidP="00144D1E">
      <w:pPr>
        <w:spacing w:after="160"/>
        <w:ind w:firstLine="720"/>
        <w:rPr>
          <w:rFonts w:eastAsia="Calibri" w:cs="Arial"/>
          <w:lang w:eastAsia="en-US"/>
        </w:rPr>
      </w:pPr>
      <w:r w:rsidRPr="00EA0DC7">
        <w:rPr>
          <w:rFonts w:eastAsia="Calibri" w:cs="Arial"/>
          <w:lang w:eastAsia="en-US"/>
        </w:rPr>
        <w:t>A number of implications for both research and clinical practice are highlighted by this review. Regarding future research, a key area to explore is how the positive effect of supervision on supervisees might be translated to patients. Possible indirect effects of supervision on patients need to be investigated. For example, supervision might benefit patients through a reduction in supervisee burnout or an increase in supervisee job satisfaction – both of which are associated with more positive patient outcomes (Delgadillo, Saxon &amp; Barkham, 2018).</w:t>
      </w:r>
    </w:p>
    <w:p w14:paraId="74487760" w14:textId="77777777" w:rsidR="00144D1E" w:rsidRPr="00EA0DC7" w:rsidRDefault="00144D1E" w:rsidP="00144D1E">
      <w:pPr>
        <w:spacing w:after="160"/>
        <w:ind w:firstLine="720"/>
        <w:rPr>
          <w:rFonts w:eastAsia="Calibri" w:cs="Arial"/>
          <w:lang w:eastAsia="en-US"/>
        </w:rPr>
      </w:pPr>
      <w:r w:rsidRPr="00EA0DC7">
        <w:rPr>
          <w:rFonts w:eastAsia="Calibri" w:cs="Arial"/>
          <w:lang w:eastAsia="en-US"/>
        </w:rPr>
        <w:t>Given that there are potential outcome differences across various settings, future research specifically needs to investigate what happens in standard clinical settings (where the majority of patients are treated). We need to know how research outcomes translate to standard clinical practice. To do this we need to find out what is happening in clinical practice and how this might differ from research settings. Potential areas to explore are supervision model use, supervision focus, and the impact of supervisor and supervisee characteristics (e.g., experience level).</w:t>
      </w:r>
    </w:p>
    <w:p w14:paraId="1B18A306" w14:textId="77777777" w:rsidR="00144D1E" w:rsidRPr="00EA0DC7" w:rsidRDefault="00144D1E" w:rsidP="00144D1E">
      <w:pPr>
        <w:spacing w:after="160"/>
        <w:ind w:firstLine="720"/>
        <w:rPr>
          <w:rFonts w:eastAsia="Calibri" w:cs="Arial"/>
          <w:lang w:eastAsia="en-US"/>
        </w:rPr>
      </w:pPr>
      <w:r w:rsidRPr="00EA0DC7">
        <w:rPr>
          <w:rFonts w:eastAsia="Calibri" w:cs="Arial"/>
          <w:lang w:eastAsia="en-US"/>
        </w:rPr>
        <w:t xml:space="preserve">Finally, due to the limited number of studies investigating clinical supervision outcomes, this meta-analysis covered the full range of </w:t>
      </w:r>
      <w:r>
        <w:rPr>
          <w:rFonts w:eastAsia="Calibri" w:cs="Arial"/>
          <w:lang w:eastAsia="en-US"/>
        </w:rPr>
        <w:t xml:space="preserve">presenting </w:t>
      </w:r>
      <w:r w:rsidRPr="00EA0DC7">
        <w:rPr>
          <w:rFonts w:eastAsia="Calibri" w:cs="Arial"/>
          <w:lang w:eastAsia="en-US"/>
        </w:rPr>
        <w:t xml:space="preserve">psychological problems. However, it will be important to understand how supervision might work for specific disorders and therapies. </w:t>
      </w:r>
    </w:p>
    <w:p w14:paraId="1B32EE7B" w14:textId="77777777" w:rsidR="00144D1E" w:rsidRPr="00EA0DC7" w:rsidRDefault="00144D1E" w:rsidP="00144D1E">
      <w:pPr>
        <w:spacing w:after="160"/>
        <w:ind w:firstLine="720"/>
        <w:rPr>
          <w:rFonts w:eastAsia="Calibri" w:cs="Arial"/>
          <w:lang w:eastAsia="en-US"/>
        </w:rPr>
      </w:pPr>
      <w:r w:rsidRPr="00EA0DC7">
        <w:rPr>
          <w:rFonts w:eastAsia="Calibri" w:cs="Arial"/>
          <w:lang w:eastAsia="en-US"/>
        </w:rPr>
        <w:t xml:space="preserve">A few implications can be drawn regarding clinical practice. First, supervision is a worthwhile element of clinical practice for supervisees, though its links to clinical outcomes need to be considered more fully. Perhaps </w:t>
      </w:r>
      <w:r w:rsidRPr="00EA0DC7">
        <w:rPr>
          <w:rFonts w:eastAsia="Calibri" w:cs="Arial"/>
          <w:lang w:eastAsia="en-US"/>
        </w:rPr>
        <w:lastRenderedPageBreak/>
        <w:t>supervisors should be placing a greater focus on patient outcomes when conducting supervision, to determine whether supervision is progressing in a useful way. Second, although there are many clinical supervision models, very few have been tested in empirical research (Simpson-Southward et al., 2017). To ensure effective supervision, clinical practice might aim to follow research protocols for supervision, rather than untested models. Finally, we could look to focus supervision resources on trainee supervisees. Supervision potentially has a greater benefit with this population, and can be used to produce treatment effects that are on a par with those of qualified supervis</w:t>
      </w:r>
      <w:r>
        <w:rPr>
          <w:rFonts w:eastAsia="Calibri" w:cs="Arial"/>
          <w:lang w:eastAsia="en-US"/>
        </w:rPr>
        <w:t>e</w:t>
      </w:r>
      <w:r w:rsidRPr="00EA0DC7">
        <w:rPr>
          <w:rFonts w:eastAsia="Calibri" w:cs="Arial"/>
          <w:lang w:eastAsia="en-US"/>
        </w:rPr>
        <w:t>es (Ost et al., 2012).</w:t>
      </w:r>
    </w:p>
    <w:p w14:paraId="0BF39B3C" w14:textId="77777777" w:rsidR="00144D1E" w:rsidRPr="00EA0DC7" w:rsidRDefault="00144D1E" w:rsidP="00144D1E">
      <w:pPr>
        <w:pStyle w:val="Heading2"/>
        <w:numPr>
          <w:ilvl w:val="1"/>
          <w:numId w:val="45"/>
        </w:numPr>
        <w:rPr>
          <w:lang w:eastAsia="en-US"/>
        </w:rPr>
      </w:pPr>
      <w:bookmarkStart w:id="133" w:name="_Toc47039839"/>
      <w:r w:rsidRPr="00EA0DC7">
        <w:rPr>
          <w:lang w:eastAsia="en-US"/>
        </w:rPr>
        <w:t>3.5 Conclusions</w:t>
      </w:r>
      <w:bookmarkEnd w:id="133"/>
    </w:p>
    <w:p w14:paraId="1B970944" w14:textId="77777777" w:rsidR="00144D1E" w:rsidRPr="00EA0DC7" w:rsidRDefault="00144D1E" w:rsidP="00144D1E">
      <w:pPr>
        <w:spacing w:before="240" w:after="160"/>
        <w:ind w:firstLine="720"/>
        <w:rPr>
          <w:rFonts w:eastAsia="Calibri" w:cs="Arial"/>
          <w:lang w:eastAsia="en-US"/>
        </w:rPr>
      </w:pPr>
      <w:r w:rsidRPr="00EA0DC7">
        <w:rPr>
          <w:rFonts w:eastAsia="Calibri" w:cs="Arial"/>
          <w:lang w:eastAsia="en-US"/>
        </w:rPr>
        <w:t xml:space="preserve">This review has investigated the impact of clinical supervision on both supervisees and patients. There is less research attention paid to patient outcomes (as reflected in the supervision manuals that exist – Simpson-Southward et al., 2017). Where patient outcomes (symptoms and working alliance) are considered, there is no evidence that supervision is effective. In contrast, supervision has a moderate, positive effect on supervisee outcomes </w:t>
      </w:r>
      <w:r w:rsidRPr="00EA0DC7">
        <w:rPr>
          <w:rFonts w:eastAsia="Calibri" w:cs="Arial"/>
          <w:szCs w:val="24"/>
          <w:lang w:eastAsia="en-US"/>
        </w:rPr>
        <w:t>(skill acquisition, reflection, self-awareness, self-efficacy, competence, and adherence)</w:t>
      </w:r>
      <w:r w:rsidRPr="00EA0DC7">
        <w:rPr>
          <w:rFonts w:eastAsia="Calibri" w:cs="Arial"/>
          <w:lang w:eastAsia="en-US"/>
        </w:rPr>
        <w:t xml:space="preserve">. Therefore, clinical supervision can be supported on one level, but not when it comes to patient improvements. It is clear that there is a need for a much wider understanding of how to get this positive effect for supervisees to translate to patient benefit. Any such impact of supervision also needs to be explored across settings and disorders. Most importantly, supervisors and teams need to attend to whether supervision is demonstrably effective, rather </w:t>
      </w:r>
      <w:r w:rsidRPr="00EA0DC7">
        <w:rPr>
          <w:rFonts w:eastAsia="Calibri" w:cs="Arial"/>
          <w:lang w:eastAsia="en-US"/>
        </w:rPr>
        <w:lastRenderedPageBreak/>
        <w:t>than just assuming this to be the case. If it is not shown to be effective in this way, then alternative supervision models need to be considered, with more of a focus on patient outcomes.</w:t>
      </w:r>
    </w:p>
    <w:p w14:paraId="0C4B3F96" w14:textId="77777777" w:rsidR="00144D1E" w:rsidRDefault="00144D1E" w:rsidP="00144D1E"/>
    <w:p w14:paraId="0FB139A7" w14:textId="77777777" w:rsidR="00992A39" w:rsidRPr="00EA0DC7" w:rsidRDefault="00992A39">
      <w:pPr>
        <w:spacing w:line="276" w:lineRule="auto"/>
        <w:jc w:val="left"/>
        <w:rPr>
          <w:rFonts w:cs="Arial"/>
          <w:b/>
          <w:sz w:val="32"/>
          <w:szCs w:val="32"/>
        </w:rPr>
      </w:pPr>
      <w:r w:rsidRPr="00EA0DC7">
        <w:br w:type="page"/>
      </w:r>
    </w:p>
    <w:p w14:paraId="4D83F711" w14:textId="21748F7C" w:rsidR="00FD2A1D" w:rsidRPr="00EA0DC7" w:rsidRDefault="00FD311B" w:rsidP="003447C9">
      <w:pPr>
        <w:pStyle w:val="Heading1"/>
        <w:ind w:left="0"/>
      </w:pPr>
      <w:r w:rsidRPr="00EA0DC7">
        <w:lastRenderedPageBreak/>
        <w:t xml:space="preserve"> </w:t>
      </w:r>
      <w:bookmarkStart w:id="134" w:name="_Toc47039840"/>
      <w:r w:rsidRPr="00EA0DC7">
        <w:t xml:space="preserve">– </w:t>
      </w:r>
      <w:r w:rsidR="00FD2A1D" w:rsidRPr="00EA0DC7">
        <w:t>Supervisor practice when guiding therapists working with depression:</w:t>
      </w:r>
      <w:r w:rsidRPr="00EA0DC7">
        <w:t xml:space="preserve"> </w:t>
      </w:r>
      <w:r w:rsidR="00FD2A1D" w:rsidRPr="00EA0DC7">
        <w:t>The impact of supervisor and patient characteristics</w:t>
      </w:r>
      <w:bookmarkEnd w:id="134"/>
    </w:p>
    <w:p w14:paraId="5AAA1B8B" w14:textId="77777777" w:rsidR="00FD2A1D" w:rsidRPr="00EA0DC7" w:rsidRDefault="00FD2A1D" w:rsidP="00FD2A1D">
      <w:pPr>
        <w:widowControl w:val="0"/>
        <w:spacing w:after="0"/>
        <w:jc w:val="center"/>
        <w:rPr>
          <w:rFonts w:cs="Arial"/>
          <w:b/>
        </w:rPr>
      </w:pPr>
    </w:p>
    <w:p w14:paraId="63B03AFF" w14:textId="2A5EE104" w:rsidR="00FD2A1D" w:rsidRDefault="00FD2A1D" w:rsidP="00FD2A1D">
      <w:pPr>
        <w:widowControl w:val="0"/>
        <w:spacing w:after="0"/>
        <w:rPr>
          <w:rFonts w:cs="Arial"/>
          <w:noProof/>
          <w:szCs w:val="24"/>
        </w:rPr>
      </w:pPr>
      <w:r w:rsidRPr="00EA0DC7">
        <w:rPr>
          <w:rFonts w:cs="Arial"/>
          <w:szCs w:val="24"/>
        </w:rPr>
        <w:t>This chapter is adapted from Simpson-Southward, C., W</w:t>
      </w:r>
      <w:r w:rsidR="00584A06" w:rsidRPr="00EA0DC7">
        <w:rPr>
          <w:rFonts w:cs="Arial"/>
          <w:szCs w:val="24"/>
        </w:rPr>
        <w:t>aller, G., &amp; Hardy, G. (2018</w:t>
      </w:r>
      <w:r w:rsidRPr="00EA0DC7">
        <w:rPr>
          <w:rFonts w:cs="Arial"/>
          <w:szCs w:val="24"/>
        </w:rPr>
        <w:t>). Supervisor practice when guiding therapists working with depression: The impact of supervisor and patient characteristics</w:t>
      </w:r>
      <w:r w:rsidR="00B8565D" w:rsidRPr="00EA0DC7">
        <w:rPr>
          <w:rFonts w:cs="Arial"/>
          <w:i/>
          <w:noProof/>
          <w:szCs w:val="24"/>
        </w:rPr>
        <w:t xml:space="preserve"> The Cognitive Behaviour Therapist, 11, </w:t>
      </w:r>
      <w:r w:rsidR="00B8565D" w:rsidRPr="00EA0DC7">
        <w:rPr>
          <w:rFonts w:cs="Arial"/>
          <w:noProof/>
          <w:szCs w:val="24"/>
        </w:rPr>
        <w:t>E9.</w:t>
      </w:r>
    </w:p>
    <w:p w14:paraId="173BEDB8" w14:textId="77777777" w:rsidR="0088671F" w:rsidRDefault="0088671F" w:rsidP="0088671F">
      <w:pPr>
        <w:widowControl w:val="0"/>
        <w:spacing w:after="0"/>
        <w:rPr>
          <w:rFonts w:cs="Arial"/>
          <w:noProof/>
          <w:szCs w:val="24"/>
        </w:rPr>
      </w:pPr>
    </w:p>
    <w:p w14:paraId="48597C14" w14:textId="31EDD656" w:rsidR="0088671F" w:rsidRPr="0088671F" w:rsidRDefault="0088671F" w:rsidP="00341F9C">
      <w:pPr>
        <w:widowControl w:val="0"/>
        <w:spacing w:after="0"/>
        <w:rPr>
          <w:rFonts w:cs="Arial"/>
          <w:noProof/>
          <w:szCs w:val="24"/>
        </w:rPr>
      </w:pPr>
      <w:commentRangeStart w:id="135"/>
      <w:r w:rsidRPr="00443353">
        <w:rPr>
          <w:rFonts w:cs="Arial"/>
          <w:b/>
          <w:noProof/>
          <w:szCs w:val="24"/>
        </w:rPr>
        <w:t>Abstract</w:t>
      </w:r>
      <w:commentRangeEnd w:id="135"/>
      <w:r w:rsidR="00C864F7">
        <w:rPr>
          <w:rStyle w:val="CommentReference"/>
          <w:rFonts w:eastAsiaTheme="minorHAnsi"/>
          <w:lang w:eastAsia="en-US"/>
        </w:rPr>
        <w:commentReference w:id="135"/>
      </w:r>
      <w:r w:rsidRPr="00443353">
        <w:rPr>
          <w:rFonts w:cs="Arial"/>
          <w:b/>
          <w:noProof/>
          <w:szCs w:val="24"/>
        </w:rPr>
        <w:t>.</w:t>
      </w:r>
      <w:r>
        <w:rPr>
          <w:rFonts w:cs="Arial"/>
          <w:noProof/>
          <w:szCs w:val="24"/>
        </w:rPr>
        <w:t xml:space="preserve"> </w:t>
      </w:r>
      <w:r w:rsidRPr="0088671F">
        <w:rPr>
          <w:rFonts w:cs="Arial"/>
          <w:noProof/>
          <w:szCs w:val="24"/>
        </w:rPr>
        <w:t>Currently recommended psychotherapie</w:t>
      </w:r>
      <w:r>
        <w:rPr>
          <w:rFonts w:cs="Arial"/>
          <w:noProof/>
          <w:szCs w:val="24"/>
        </w:rPr>
        <w:t xml:space="preserve">s for depression are not always </w:t>
      </w:r>
      <w:r w:rsidRPr="0088671F">
        <w:rPr>
          <w:rFonts w:cs="Arial"/>
          <w:noProof/>
          <w:szCs w:val="24"/>
        </w:rPr>
        <w:t>delivered in a consistent manner. There is an assumption tha</w:t>
      </w:r>
      <w:r>
        <w:rPr>
          <w:rFonts w:cs="Arial"/>
          <w:noProof/>
          <w:szCs w:val="24"/>
        </w:rPr>
        <w:t xml:space="preserve">t the use of clinical </w:t>
      </w:r>
      <w:r w:rsidRPr="0088671F">
        <w:rPr>
          <w:rFonts w:cs="Arial"/>
          <w:noProof/>
          <w:szCs w:val="24"/>
        </w:rPr>
        <w:t>supervision will ensure reliable treatment and pati</w:t>
      </w:r>
      <w:r>
        <w:rPr>
          <w:rFonts w:cs="Arial"/>
          <w:noProof/>
          <w:szCs w:val="24"/>
        </w:rPr>
        <w:t xml:space="preserve">ent recovery. However, there is </w:t>
      </w:r>
      <w:r w:rsidRPr="0088671F">
        <w:rPr>
          <w:rFonts w:cs="Arial"/>
          <w:noProof/>
          <w:szCs w:val="24"/>
        </w:rPr>
        <w:t>limited research supporting this assumption. This study e</w:t>
      </w:r>
      <w:r>
        <w:rPr>
          <w:rFonts w:cs="Arial"/>
          <w:noProof/>
          <w:szCs w:val="24"/>
        </w:rPr>
        <w:t xml:space="preserve">xplored the role of supervision </w:t>
      </w:r>
      <w:r w:rsidRPr="0088671F">
        <w:rPr>
          <w:rFonts w:cs="Arial"/>
          <w:noProof/>
          <w:szCs w:val="24"/>
        </w:rPr>
        <w:t>in the treatment of depression. In particular, it examined how</w:t>
      </w:r>
      <w:r>
        <w:rPr>
          <w:rFonts w:cs="Arial"/>
          <w:noProof/>
          <w:szCs w:val="24"/>
        </w:rPr>
        <w:t xml:space="preserve"> supervisors’ own </w:t>
      </w:r>
      <w:r w:rsidRPr="0088671F">
        <w:rPr>
          <w:rFonts w:cs="Arial"/>
          <w:noProof/>
          <w:szCs w:val="24"/>
        </w:rPr>
        <w:t>characteristics and those of patients can influence the</w:t>
      </w:r>
      <w:r>
        <w:rPr>
          <w:rFonts w:cs="Arial"/>
          <w:noProof/>
          <w:szCs w:val="24"/>
        </w:rPr>
        <w:t xml:space="preserve"> focus of supervision sessions. </w:t>
      </w:r>
      <w:r w:rsidRPr="0088671F">
        <w:rPr>
          <w:rFonts w:cs="Arial"/>
          <w:noProof/>
          <w:szCs w:val="24"/>
        </w:rPr>
        <w:t>Clinical supervisors who worked with cognitive behav</w:t>
      </w:r>
      <w:r>
        <w:rPr>
          <w:rFonts w:cs="Arial"/>
          <w:noProof/>
          <w:szCs w:val="24"/>
        </w:rPr>
        <w:t xml:space="preserve">ioural therapy (CBT) therapists </w:t>
      </w:r>
      <w:r w:rsidRPr="0088671F">
        <w:rPr>
          <w:rFonts w:cs="Arial"/>
          <w:noProof/>
          <w:szCs w:val="24"/>
        </w:rPr>
        <w:t xml:space="preserve">treating depression cases were asked to indicate their supervision </w:t>
      </w:r>
      <w:r>
        <w:rPr>
          <w:rFonts w:cs="Arial"/>
          <w:noProof/>
          <w:szCs w:val="24"/>
        </w:rPr>
        <w:t xml:space="preserve">focus for three </w:t>
      </w:r>
      <w:r w:rsidRPr="0088671F">
        <w:rPr>
          <w:rFonts w:cs="Arial"/>
          <w:noProof/>
          <w:szCs w:val="24"/>
        </w:rPr>
        <w:t>different patient vignettes. These vignettes varied in cli</w:t>
      </w:r>
      <w:r>
        <w:rPr>
          <w:rFonts w:cs="Arial"/>
          <w:noProof/>
          <w:szCs w:val="24"/>
        </w:rPr>
        <w:t xml:space="preserve">nical complexity. Participants’ </w:t>
      </w:r>
      <w:r w:rsidRPr="0088671F">
        <w:rPr>
          <w:rFonts w:cs="Arial"/>
          <w:noProof/>
          <w:szCs w:val="24"/>
        </w:rPr>
        <w:t xml:space="preserve">intolerance to uncertainty and their </w:t>
      </w:r>
      <w:r>
        <w:rPr>
          <w:rFonts w:cs="Arial"/>
          <w:noProof/>
          <w:szCs w:val="24"/>
        </w:rPr>
        <w:t xml:space="preserve">self-esteem were also assessed. Supervisors tended </w:t>
      </w:r>
      <w:r w:rsidRPr="0088671F">
        <w:rPr>
          <w:rFonts w:cs="Arial"/>
          <w:noProof/>
          <w:szCs w:val="24"/>
        </w:rPr>
        <w:t>to focus their supervisees on the use of evidence-b</w:t>
      </w:r>
      <w:r>
        <w:rPr>
          <w:rFonts w:cs="Arial"/>
          <w:noProof/>
          <w:szCs w:val="24"/>
        </w:rPr>
        <w:t xml:space="preserve">ased therapeutic techniques for </w:t>
      </w:r>
      <w:r w:rsidRPr="0088671F">
        <w:rPr>
          <w:rFonts w:cs="Arial"/>
          <w:noProof/>
          <w:szCs w:val="24"/>
        </w:rPr>
        <w:t xml:space="preserve">both straightforward and complex cases. However, their </w:t>
      </w:r>
      <w:r>
        <w:rPr>
          <w:rFonts w:cs="Arial"/>
          <w:noProof/>
          <w:szCs w:val="24"/>
        </w:rPr>
        <w:t xml:space="preserve">approach was less evidencebased </w:t>
      </w:r>
      <w:r w:rsidRPr="0088671F">
        <w:rPr>
          <w:rFonts w:cs="Arial"/>
          <w:noProof/>
          <w:szCs w:val="24"/>
        </w:rPr>
        <w:t>for diffuse cases. Three supervisory types emerge</w:t>
      </w:r>
      <w:r>
        <w:rPr>
          <w:rFonts w:cs="Arial"/>
          <w:noProof/>
          <w:szCs w:val="24"/>
        </w:rPr>
        <w:t>d: an ‘Alliance- and Technique-</w:t>
      </w:r>
      <w:r w:rsidRPr="0088671F">
        <w:rPr>
          <w:rFonts w:cs="Arial"/>
          <w:noProof/>
          <w:szCs w:val="24"/>
        </w:rPr>
        <w:t xml:space="preserve">Focused’ group, a ‘Case </w:t>
      </w:r>
      <w:r w:rsidRPr="0088671F">
        <w:rPr>
          <w:rFonts w:cs="Arial"/>
          <w:noProof/>
          <w:szCs w:val="24"/>
        </w:rPr>
        <w:lastRenderedPageBreak/>
        <w:t>Management-Focused’ group, and an ‘Unfocused’ group.</w:t>
      </w:r>
      <w:r>
        <w:rPr>
          <w:rFonts w:cs="Arial"/>
          <w:noProof/>
          <w:szCs w:val="24"/>
        </w:rPr>
        <w:t xml:space="preserve"> </w:t>
      </w:r>
      <w:r w:rsidRPr="0088671F">
        <w:rPr>
          <w:rFonts w:cs="Arial"/>
          <w:noProof/>
          <w:szCs w:val="24"/>
        </w:rPr>
        <w:t>Personal characteristics of the supervisors varied across the groups. The content of</w:t>
      </w:r>
    </w:p>
    <w:p w14:paraId="14EB2C53" w14:textId="6995F6BB" w:rsidR="0088671F" w:rsidRPr="00EA0DC7" w:rsidRDefault="0088671F" w:rsidP="0088671F">
      <w:pPr>
        <w:widowControl w:val="0"/>
        <w:spacing w:after="0"/>
        <w:rPr>
          <w:rFonts w:cs="Arial"/>
          <w:noProof/>
          <w:szCs w:val="24"/>
        </w:rPr>
      </w:pPr>
      <w:r w:rsidRPr="0088671F">
        <w:rPr>
          <w:rFonts w:cs="Arial"/>
          <w:noProof/>
          <w:szCs w:val="24"/>
        </w:rPr>
        <w:t>supervision sessions is influenced by factors from out</w:t>
      </w:r>
      <w:r>
        <w:rPr>
          <w:rFonts w:cs="Arial"/>
          <w:noProof/>
          <w:szCs w:val="24"/>
        </w:rPr>
        <w:t xml:space="preserve">side the therapy process. These </w:t>
      </w:r>
      <w:r w:rsidRPr="0088671F">
        <w:rPr>
          <w:rFonts w:cs="Arial"/>
          <w:noProof/>
          <w:szCs w:val="24"/>
        </w:rPr>
        <w:t>factors might cause supervisors to avoid focusing on evi</w:t>
      </w:r>
      <w:r>
        <w:rPr>
          <w:rFonts w:cs="Arial"/>
          <w:noProof/>
          <w:szCs w:val="24"/>
        </w:rPr>
        <w:t xml:space="preserve">dence-based aspects of therapy, </w:t>
      </w:r>
      <w:r w:rsidRPr="0088671F">
        <w:rPr>
          <w:rFonts w:cs="Arial"/>
          <w:noProof/>
          <w:szCs w:val="24"/>
        </w:rPr>
        <w:t>thus feeding therapist drift. Suggestions are made for</w:t>
      </w:r>
      <w:r>
        <w:rPr>
          <w:rFonts w:cs="Arial"/>
          <w:noProof/>
          <w:szCs w:val="24"/>
        </w:rPr>
        <w:t xml:space="preserve"> new supervision protocols that </w:t>
      </w:r>
      <w:r w:rsidRPr="0088671F">
        <w:rPr>
          <w:rFonts w:cs="Arial"/>
          <w:noProof/>
          <w:szCs w:val="24"/>
        </w:rPr>
        <w:t>consider the supervisor’s personal characteristics.</w:t>
      </w:r>
    </w:p>
    <w:p w14:paraId="4204AE26" w14:textId="77777777" w:rsidR="00B8565D" w:rsidRPr="00EA0DC7" w:rsidRDefault="00B8565D" w:rsidP="00FD2A1D">
      <w:pPr>
        <w:widowControl w:val="0"/>
        <w:spacing w:after="0"/>
        <w:rPr>
          <w:rFonts w:cs="Arial"/>
          <w:b/>
          <w:szCs w:val="24"/>
        </w:rPr>
      </w:pPr>
    </w:p>
    <w:p w14:paraId="7AD421E0" w14:textId="08CCA828" w:rsidR="00FD2A1D" w:rsidRPr="00EA0DC7" w:rsidRDefault="00E702AF" w:rsidP="00E702AF">
      <w:pPr>
        <w:pStyle w:val="Heading2"/>
      </w:pPr>
      <w:bookmarkStart w:id="136" w:name="_Toc47039841"/>
      <w:r w:rsidRPr="00EA0DC7">
        <w:t xml:space="preserve">4.1 </w:t>
      </w:r>
      <w:r w:rsidR="00FD2A1D" w:rsidRPr="00EA0DC7">
        <w:t xml:space="preserve">Overview </w:t>
      </w:r>
      <w:r w:rsidR="00927002" w:rsidRPr="00EA0DC7">
        <w:t>of empirical chapters</w:t>
      </w:r>
      <w:bookmarkEnd w:id="136"/>
    </w:p>
    <w:p w14:paraId="7BEC6B11" w14:textId="1D30AA9E" w:rsidR="00C86E5F" w:rsidRPr="00EA0DC7" w:rsidRDefault="00C86E5F" w:rsidP="00992A39">
      <w:pPr>
        <w:widowControl w:val="0"/>
        <w:spacing w:after="0"/>
        <w:ind w:firstLine="720"/>
        <w:rPr>
          <w:rFonts w:cs="Arial"/>
          <w:szCs w:val="24"/>
        </w:rPr>
      </w:pPr>
      <w:r w:rsidRPr="00EA0DC7">
        <w:rPr>
          <w:rFonts w:cs="Arial"/>
          <w:szCs w:val="24"/>
        </w:rPr>
        <w:t xml:space="preserve">The content analysis in Chapter 2 indicated that there is a lack of consistency across supervision models and it is unclear which (if any) outline effective supervision due to the lack of empirical evidence. The meta-analyses in Chapter 3 indicate that supervision has a positive impact on supervisees, but no impact on patients. It is possible that supervision has an indirect positive effect on patients through the effect on the supervisee. </w:t>
      </w:r>
      <w:r w:rsidR="00622BBE" w:rsidRPr="00EA0DC7">
        <w:rPr>
          <w:rFonts w:cs="Arial"/>
          <w:szCs w:val="24"/>
        </w:rPr>
        <w:t xml:space="preserve">The value of supervision might </w:t>
      </w:r>
      <w:r w:rsidR="00992A39" w:rsidRPr="00EA0DC7">
        <w:rPr>
          <w:rFonts w:cs="Arial"/>
          <w:szCs w:val="24"/>
        </w:rPr>
        <w:t>lie in</w:t>
      </w:r>
      <w:r w:rsidR="00672D1C">
        <w:rPr>
          <w:rFonts w:cs="Arial"/>
          <w:szCs w:val="24"/>
        </w:rPr>
        <w:t xml:space="preserve"> preventing</w:t>
      </w:r>
      <w:r w:rsidR="00992A39" w:rsidRPr="00EA0DC7">
        <w:rPr>
          <w:rFonts w:cs="Arial"/>
          <w:szCs w:val="24"/>
        </w:rPr>
        <w:t xml:space="preserve"> therapist deterioration</w:t>
      </w:r>
      <w:r w:rsidR="00622BBE" w:rsidRPr="00EA0DC7">
        <w:rPr>
          <w:rFonts w:cs="Arial"/>
          <w:szCs w:val="24"/>
        </w:rPr>
        <w:t>.</w:t>
      </w:r>
      <w:r w:rsidR="00992A39" w:rsidRPr="00EA0DC7">
        <w:rPr>
          <w:rFonts w:cs="Arial"/>
          <w:szCs w:val="24"/>
        </w:rPr>
        <w:t xml:space="preserve"> If supervisors are to ensure therapists stay on track, </w:t>
      </w:r>
      <w:r w:rsidR="00622BBE" w:rsidRPr="00EA0DC7">
        <w:rPr>
          <w:rFonts w:cs="Arial"/>
          <w:szCs w:val="24"/>
        </w:rPr>
        <w:t xml:space="preserve">it is key that supervisors do not drift </w:t>
      </w:r>
      <w:r w:rsidR="00536D84" w:rsidRPr="00EA0DC7">
        <w:rPr>
          <w:rFonts w:cs="Arial"/>
          <w:szCs w:val="24"/>
        </w:rPr>
        <w:t>in the same way as therapists</w:t>
      </w:r>
      <w:r w:rsidR="00622BBE" w:rsidRPr="00EA0DC7">
        <w:rPr>
          <w:rFonts w:cs="Arial"/>
          <w:szCs w:val="24"/>
        </w:rPr>
        <w:t xml:space="preserve">. </w:t>
      </w:r>
    </w:p>
    <w:p w14:paraId="37247507" w14:textId="4FCF3DE4" w:rsidR="00FD2A1D" w:rsidRPr="00EA0DC7" w:rsidRDefault="00FD2A1D" w:rsidP="00FD2A1D">
      <w:pPr>
        <w:widowControl w:val="0"/>
        <w:spacing w:after="0"/>
        <w:ind w:firstLine="720"/>
        <w:rPr>
          <w:rFonts w:cs="Arial"/>
          <w:szCs w:val="24"/>
        </w:rPr>
      </w:pPr>
      <w:r w:rsidRPr="00EA0DC7">
        <w:rPr>
          <w:rFonts w:cs="Arial"/>
          <w:szCs w:val="24"/>
        </w:rPr>
        <w:t>The next three chapters will present empirical studies looking to explore what happens in supervision sessions</w:t>
      </w:r>
      <w:r w:rsidR="00622BBE" w:rsidRPr="00EA0DC7">
        <w:rPr>
          <w:rFonts w:cs="Arial"/>
          <w:szCs w:val="24"/>
        </w:rPr>
        <w:t xml:space="preserve">, and whether </w:t>
      </w:r>
      <w:r w:rsidR="00992A39" w:rsidRPr="00EA0DC7">
        <w:rPr>
          <w:rFonts w:cs="Arial"/>
          <w:szCs w:val="24"/>
        </w:rPr>
        <w:t>supervisors</w:t>
      </w:r>
      <w:r w:rsidR="00622BBE" w:rsidRPr="00EA0DC7">
        <w:rPr>
          <w:rFonts w:cs="Arial"/>
          <w:szCs w:val="24"/>
        </w:rPr>
        <w:t xml:space="preserve"> drift in their practice for similar reasons to therapists</w:t>
      </w:r>
      <w:r w:rsidRPr="00EA0DC7">
        <w:rPr>
          <w:rFonts w:cs="Arial"/>
          <w:szCs w:val="24"/>
        </w:rPr>
        <w:t xml:space="preserve">. The current chapter outlines an empirical study investigating whether the </w:t>
      </w:r>
      <w:r w:rsidR="00992A39" w:rsidRPr="00EA0DC7">
        <w:rPr>
          <w:rFonts w:cs="Arial"/>
          <w:szCs w:val="24"/>
        </w:rPr>
        <w:t xml:space="preserve">complexity of the </w:t>
      </w:r>
      <w:r w:rsidRPr="00EA0DC7">
        <w:rPr>
          <w:rFonts w:cs="Arial"/>
          <w:szCs w:val="24"/>
        </w:rPr>
        <w:t>patient in therapy dictates supervisory recommendations or whether aspects of the supervisor themselves drive the content of the sessions.</w:t>
      </w:r>
      <w:r w:rsidR="00927002" w:rsidRPr="00EA0DC7">
        <w:rPr>
          <w:rFonts w:cs="Arial"/>
          <w:szCs w:val="24"/>
        </w:rPr>
        <w:t xml:space="preserve"> Chapter 5 explores whether aspects of the therapist affect the supervision content, and Chapter 6 explores non-</w:t>
      </w:r>
      <w:r w:rsidR="00D25108" w:rsidRPr="00EA0DC7">
        <w:rPr>
          <w:rFonts w:cs="Arial"/>
          <w:szCs w:val="24"/>
        </w:rPr>
        <w:t>adherence</w:t>
      </w:r>
      <w:r w:rsidR="00927002" w:rsidRPr="00EA0DC7">
        <w:rPr>
          <w:rFonts w:cs="Arial"/>
          <w:szCs w:val="24"/>
        </w:rPr>
        <w:t xml:space="preserve"> in therapy and how this</w:t>
      </w:r>
      <w:r w:rsidR="004B62E7" w:rsidRPr="00EA0DC7">
        <w:rPr>
          <w:rFonts w:cs="Arial"/>
          <w:szCs w:val="24"/>
        </w:rPr>
        <w:t>,</w:t>
      </w:r>
      <w:r w:rsidR="00992A39" w:rsidRPr="00EA0DC7">
        <w:rPr>
          <w:rFonts w:cs="Arial"/>
          <w:szCs w:val="24"/>
        </w:rPr>
        <w:t xml:space="preserve"> alongside patient and therapist </w:t>
      </w:r>
      <w:r w:rsidR="00992A39" w:rsidRPr="00EA0DC7">
        <w:rPr>
          <w:rFonts w:cs="Arial"/>
          <w:szCs w:val="24"/>
        </w:rPr>
        <w:lastRenderedPageBreak/>
        <w:t>characteristics</w:t>
      </w:r>
      <w:r w:rsidR="004B62E7" w:rsidRPr="00EA0DC7">
        <w:rPr>
          <w:rFonts w:cs="Arial"/>
          <w:szCs w:val="24"/>
        </w:rPr>
        <w:t>,</w:t>
      </w:r>
      <w:r w:rsidR="00927002" w:rsidRPr="00EA0DC7">
        <w:rPr>
          <w:rFonts w:cs="Arial"/>
          <w:szCs w:val="24"/>
        </w:rPr>
        <w:t xml:space="preserve"> affect supervision content. </w:t>
      </w:r>
    </w:p>
    <w:p w14:paraId="0CAA61B1" w14:textId="77777777" w:rsidR="00FD2A1D" w:rsidRPr="00EA0DC7" w:rsidRDefault="00FD2A1D" w:rsidP="00FD2A1D">
      <w:pPr>
        <w:widowControl w:val="0"/>
        <w:spacing w:after="0"/>
        <w:jc w:val="center"/>
        <w:rPr>
          <w:rFonts w:cs="Arial"/>
          <w:b/>
        </w:rPr>
      </w:pPr>
    </w:p>
    <w:p w14:paraId="1FE2F733" w14:textId="01EF833C" w:rsidR="00DF7066" w:rsidRPr="00EA0DC7" w:rsidRDefault="00E702AF" w:rsidP="00992A39">
      <w:pPr>
        <w:pStyle w:val="Heading2"/>
      </w:pPr>
      <w:bookmarkStart w:id="137" w:name="_Toc47039842"/>
      <w:r w:rsidRPr="00EA0DC7">
        <w:t>4.2 Background and aims</w:t>
      </w:r>
      <w:bookmarkEnd w:id="137"/>
    </w:p>
    <w:p w14:paraId="6B98162C" w14:textId="66756895" w:rsidR="007E1449" w:rsidRPr="00EA0DC7" w:rsidRDefault="00DF7066" w:rsidP="007E1449">
      <w:pPr>
        <w:widowControl w:val="0"/>
        <w:spacing w:after="0"/>
        <w:ind w:firstLine="720"/>
        <w:rPr>
          <w:rFonts w:cs="Arial"/>
        </w:rPr>
      </w:pPr>
      <w:r w:rsidRPr="00EA0DC7">
        <w:rPr>
          <w:rFonts w:cs="Arial"/>
        </w:rPr>
        <w:t xml:space="preserve">The availability of effective treatments for depression is essential. While such psychological treatments do exist, they are not universally effective. Nor are they always delivered effectively or consistently </w:t>
      </w:r>
      <w:r w:rsidRPr="00EA0DC7">
        <w:rPr>
          <w:rFonts w:cs="Arial"/>
          <w:noProof/>
        </w:rPr>
        <w:t>(e.g., Wang, Demler, &amp; Kessler, 2002)</w:t>
      </w:r>
      <w:r w:rsidRPr="00EA0DC7">
        <w:rPr>
          <w:rFonts w:cs="Arial"/>
        </w:rPr>
        <w:t xml:space="preserve">. </w:t>
      </w:r>
      <w:r w:rsidR="007E1449" w:rsidRPr="00EA0DC7">
        <w:rPr>
          <w:rFonts w:cs="Arial"/>
        </w:rPr>
        <w:t xml:space="preserve">There is an assumption that supervision of therapists will ensure adequate, accurate delivery of psychological therapies </w:t>
      </w:r>
      <w:r w:rsidR="007E1449" w:rsidRPr="00EA0DC7">
        <w:rPr>
          <w:rFonts w:cs="Arial"/>
          <w:noProof/>
        </w:rPr>
        <w:t>(Lambert &amp; Ogles, 1997; Milne &amp; James, 2000; Wampold &amp; Holloway, 1997)</w:t>
      </w:r>
      <w:r w:rsidR="007E1449" w:rsidRPr="00EA0DC7">
        <w:rPr>
          <w:rFonts w:cs="Arial"/>
        </w:rPr>
        <w:t>.</w:t>
      </w:r>
      <w:r w:rsidR="00992A39" w:rsidRPr="00EA0DC7">
        <w:rPr>
          <w:rFonts w:cs="Arial"/>
        </w:rPr>
        <w:t xml:space="preserve"> The meta-an</w:t>
      </w:r>
      <w:r w:rsidR="00645D91" w:rsidRPr="00EA0DC7">
        <w:rPr>
          <w:rFonts w:cs="Arial"/>
        </w:rPr>
        <w:t>a</w:t>
      </w:r>
      <w:r w:rsidR="00992A39" w:rsidRPr="00EA0DC7">
        <w:rPr>
          <w:rFonts w:cs="Arial"/>
        </w:rPr>
        <w:t xml:space="preserve">lyses in the previous chapter </w:t>
      </w:r>
      <w:r w:rsidR="00645D91" w:rsidRPr="00EA0DC7">
        <w:rPr>
          <w:rFonts w:cs="Arial"/>
        </w:rPr>
        <w:t>indicated</w:t>
      </w:r>
      <w:r w:rsidR="00992A39" w:rsidRPr="00EA0DC7">
        <w:rPr>
          <w:rFonts w:cs="Arial"/>
        </w:rPr>
        <w:t xml:space="preserve"> that supervision has a moderate, positive effect on supervisees but no effect on patients.</w:t>
      </w:r>
      <w:r w:rsidR="007E1449" w:rsidRPr="00EA0DC7">
        <w:rPr>
          <w:rFonts w:cs="Arial"/>
        </w:rPr>
        <w:t xml:space="preserve"> </w:t>
      </w:r>
      <w:r w:rsidR="00645D91" w:rsidRPr="00EA0DC7">
        <w:rPr>
          <w:rFonts w:cs="Arial"/>
        </w:rPr>
        <w:t>In addition,</w:t>
      </w:r>
      <w:r w:rsidR="007E1449" w:rsidRPr="00EA0DC7">
        <w:rPr>
          <w:rFonts w:cs="Arial"/>
        </w:rPr>
        <w:t xml:space="preserve"> few empirical studies detailed the content </w:t>
      </w:r>
      <w:r w:rsidR="00645D91" w:rsidRPr="00EA0DC7">
        <w:rPr>
          <w:rFonts w:cs="Arial"/>
        </w:rPr>
        <w:t>of the supervision provided, and</w:t>
      </w:r>
      <w:r w:rsidR="006D5A15" w:rsidRPr="00EA0DC7">
        <w:rPr>
          <w:rFonts w:cs="Arial"/>
        </w:rPr>
        <w:t xml:space="preserve"> </w:t>
      </w:r>
      <w:r w:rsidR="00645D91" w:rsidRPr="00EA0DC7">
        <w:rPr>
          <w:rFonts w:cs="Arial"/>
        </w:rPr>
        <w:t>the suggested content of supervision varies</w:t>
      </w:r>
      <w:r w:rsidR="006D5A15" w:rsidRPr="00EA0DC7">
        <w:rPr>
          <w:rFonts w:cs="Arial"/>
        </w:rPr>
        <w:t xml:space="preserve"> across </w:t>
      </w:r>
      <w:r w:rsidR="000E073B" w:rsidRPr="00EA0DC7">
        <w:rPr>
          <w:rFonts w:cs="Arial"/>
        </w:rPr>
        <w:t xml:space="preserve">theoretical </w:t>
      </w:r>
      <w:r w:rsidR="006D5A15" w:rsidRPr="00EA0DC7">
        <w:rPr>
          <w:rFonts w:cs="Arial"/>
        </w:rPr>
        <w:t>models</w:t>
      </w:r>
      <w:r w:rsidR="00645D91" w:rsidRPr="00EA0DC7">
        <w:rPr>
          <w:rFonts w:cs="Arial"/>
        </w:rPr>
        <w:t xml:space="preserve"> (Chapter 2). Therefore,</w:t>
      </w:r>
      <w:r w:rsidR="007E1449" w:rsidRPr="00EA0DC7">
        <w:rPr>
          <w:rFonts w:cs="Arial"/>
        </w:rPr>
        <w:t xml:space="preserve"> it is difficult to know what </w:t>
      </w:r>
      <w:r w:rsidR="000E073B" w:rsidRPr="00EA0DC7">
        <w:rPr>
          <w:rFonts w:cs="Arial"/>
        </w:rPr>
        <w:t>happens in the</w:t>
      </w:r>
      <w:r w:rsidR="006D5A15" w:rsidRPr="00EA0DC7">
        <w:rPr>
          <w:rFonts w:cs="Arial"/>
        </w:rPr>
        <w:t xml:space="preserve"> </w:t>
      </w:r>
      <w:r w:rsidR="009E4FC9" w:rsidRPr="00EA0DC7">
        <w:rPr>
          <w:rFonts w:cs="Arial"/>
        </w:rPr>
        <w:t xml:space="preserve">successful </w:t>
      </w:r>
      <w:r w:rsidR="006D5A15" w:rsidRPr="00EA0DC7">
        <w:rPr>
          <w:rFonts w:cs="Arial"/>
        </w:rPr>
        <w:t>delivery of supervision.</w:t>
      </w:r>
      <w:r w:rsidRPr="00EA0DC7">
        <w:rPr>
          <w:rFonts w:cs="Arial"/>
        </w:rPr>
        <w:t xml:space="preserve"> </w:t>
      </w:r>
      <w:r w:rsidR="007E1449" w:rsidRPr="00EA0DC7">
        <w:rPr>
          <w:rFonts w:cs="Arial"/>
        </w:rPr>
        <w:t xml:space="preserve">This study will consider the role of supervision in ensuring that treatments for depression are delivered in a consistent manner. In particular, it will examine whether supervisors’ own characteristics and those of patients with depression combine to influence the </w:t>
      </w:r>
      <w:r w:rsidR="006D5A15" w:rsidRPr="00EA0DC7">
        <w:rPr>
          <w:rFonts w:cs="Arial"/>
        </w:rPr>
        <w:t xml:space="preserve">content of supervision sessions and </w:t>
      </w:r>
      <w:r w:rsidR="007E1449" w:rsidRPr="00EA0DC7">
        <w:rPr>
          <w:rFonts w:cs="Arial"/>
        </w:rPr>
        <w:t>recommendations that supervisors give to their supervisees.</w:t>
      </w:r>
    </w:p>
    <w:p w14:paraId="3197DFBE" w14:textId="729A58E7" w:rsidR="00F10268" w:rsidRPr="00EA0DC7" w:rsidRDefault="0060566C" w:rsidP="00E776BF">
      <w:pPr>
        <w:spacing w:after="0"/>
        <w:ind w:firstLine="720"/>
        <w:rPr>
          <w:rFonts w:eastAsia="Times New Roman" w:cs="Arial"/>
          <w:szCs w:val="24"/>
        </w:rPr>
      </w:pPr>
      <w:r w:rsidRPr="00EA0DC7">
        <w:rPr>
          <w:rFonts w:cs="Arial"/>
        </w:rPr>
        <w:t xml:space="preserve">There are several proposed models of supervision, including: developmental models </w:t>
      </w:r>
      <w:r w:rsidRPr="00EA0DC7">
        <w:rPr>
          <w:rFonts w:cs="Arial"/>
          <w:noProof/>
        </w:rPr>
        <w:t>(Stoltenberg &amp; Delworth, 1987; van Ooijen, 2000; Worthington, 1987)</w:t>
      </w:r>
      <w:r w:rsidRPr="00EA0DC7">
        <w:rPr>
          <w:rFonts w:cs="Arial"/>
        </w:rPr>
        <w:t xml:space="preserve">; competency-based models </w:t>
      </w:r>
      <w:r w:rsidRPr="00EA0DC7">
        <w:rPr>
          <w:rFonts w:cs="Arial"/>
          <w:noProof/>
        </w:rPr>
        <w:t>(Bernard &amp; Goodyear, 2004; Mead, 1990);</w:t>
      </w:r>
      <w:r w:rsidRPr="00EA0DC7">
        <w:rPr>
          <w:rFonts w:cs="Arial"/>
        </w:rPr>
        <w:t xml:space="preserve"> and process models</w:t>
      </w:r>
      <w:r w:rsidRPr="00EA0DC7">
        <w:rPr>
          <w:rFonts w:cs="Arial"/>
          <w:noProof/>
        </w:rPr>
        <w:t xml:space="preserve"> (Hawkins &amp; Shohet, 1989; van Ooijen, 2000)</w:t>
      </w:r>
      <w:r w:rsidRPr="00EA0DC7">
        <w:rPr>
          <w:rFonts w:cs="Arial"/>
        </w:rPr>
        <w:t xml:space="preserve">. </w:t>
      </w:r>
      <w:r w:rsidR="008111F5" w:rsidRPr="00EA0DC7">
        <w:rPr>
          <w:rFonts w:cs="Arial"/>
        </w:rPr>
        <w:t>S</w:t>
      </w:r>
      <w:r w:rsidR="00C34DD9" w:rsidRPr="00EA0DC7">
        <w:rPr>
          <w:rFonts w:eastAsia="Times New Roman" w:cs="Times New Roman"/>
        </w:rPr>
        <w:t xml:space="preserve">upervision </w:t>
      </w:r>
      <w:r w:rsidRPr="00EA0DC7">
        <w:rPr>
          <w:rFonts w:eastAsia="Times New Roman" w:cs="Times New Roman"/>
        </w:rPr>
        <w:t>is considered to have</w:t>
      </w:r>
      <w:r w:rsidR="00C34DD9" w:rsidRPr="00EA0DC7">
        <w:rPr>
          <w:rFonts w:eastAsia="Times New Roman" w:cs="Times New Roman"/>
        </w:rPr>
        <w:t xml:space="preserve"> three core functions: ‘normative’ (managerial and ethical responsibilities), ‘formative’ (education and </w:t>
      </w:r>
      <w:r w:rsidR="00C34DD9" w:rsidRPr="00EA0DC7">
        <w:rPr>
          <w:rFonts w:eastAsia="Times New Roman" w:cs="Times New Roman"/>
        </w:rPr>
        <w:lastRenderedPageBreak/>
        <w:t>development of the supervisee), and ‘restorative’ (emotional aspects of work</w:t>
      </w:r>
      <w:r w:rsidRPr="00EA0DC7">
        <w:rPr>
          <w:rFonts w:eastAsia="Times New Roman" w:cs="Times New Roman"/>
        </w:rPr>
        <w:t xml:space="preserve">; </w:t>
      </w:r>
      <w:r w:rsidR="00C34DD9" w:rsidRPr="00EA0DC7">
        <w:rPr>
          <w:rFonts w:eastAsia="Times New Roman" w:cs="Times New Roman"/>
        </w:rPr>
        <w:t>Proctor, 1988)</w:t>
      </w:r>
      <w:r w:rsidR="008111F5" w:rsidRPr="00EA0DC7">
        <w:rPr>
          <w:rFonts w:eastAsia="Times New Roman" w:cs="Times New Roman"/>
        </w:rPr>
        <w:t>. However,</w:t>
      </w:r>
      <w:r w:rsidRPr="00EA0DC7">
        <w:rPr>
          <w:rFonts w:eastAsia="Times New Roman" w:cs="Times New Roman"/>
        </w:rPr>
        <w:t xml:space="preserve"> only</w:t>
      </w:r>
      <w:r w:rsidRPr="00EA0DC7">
        <w:rPr>
          <w:rFonts w:eastAsia="Times New Roman" w:cs="Arial"/>
          <w:szCs w:val="24"/>
        </w:rPr>
        <w:t xml:space="preserve"> 38.41% of models emphasise a focus on all three core elements</w:t>
      </w:r>
      <w:r w:rsidR="00E776BF" w:rsidRPr="00EA0DC7">
        <w:rPr>
          <w:rFonts w:eastAsia="Times New Roman" w:cs="Arial"/>
          <w:szCs w:val="24"/>
        </w:rPr>
        <w:t xml:space="preserve">. In addition, very few supervisory models focus on the patient in therapy, </w:t>
      </w:r>
      <w:r w:rsidR="00D45DF6" w:rsidRPr="00EA0DC7">
        <w:rPr>
          <w:rFonts w:eastAsia="Times New Roman" w:cs="Arial"/>
          <w:szCs w:val="24"/>
        </w:rPr>
        <w:t>instead they focus</w:t>
      </w:r>
      <w:r w:rsidR="00E776BF" w:rsidRPr="00EA0DC7">
        <w:rPr>
          <w:rFonts w:eastAsia="Times New Roman" w:cs="Arial"/>
          <w:szCs w:val="24"/>
        </w:rPr>
        <w:t xml:space="preserve"> on the supervisees or the supervisors (Simpson-Southward et al., 2017).</w:t>
      </w:r>
      <w:r w:rsidR="004E2EED" w:rsidRPr="00EA0DC7">
        <w:rPr>
          <w:rFonts w:eastAsia="Times New Roman" w:cs="Arial"/>
          <w:szCs w:val="24"/>
        </w:rPr>
        <w:t xml:space="preserve"> </w:t>
      </w:r>
      <w:r w:rsidR="00F10268" w:rsidRPr="00EA0DC7">
        <w:rPr>
          <w:rFonts w:eastAsia="Times New Roman" w:cs="Arial"/>
          <w:szCs w:val="24"/>
        </w:rPr>
        <w:t>Research has found that t</w:t>
      </w:r>
      <w:r w:rsidR="007A1AE5" w:rsidRPr="00EA0DC7">
        <w:rPr>
          <w:rFonts w:eastAsia="Times New Roman" w:cs="Arial"/>
          <w:szCs w:val="24"/>
        </w:rPr>
        <w:t>herapist effect</w:t>
      </w:r>
      <w:r w:rsidR="00F10268" w:rsidRPr="00EA0DC7">
        <w:rPr>
          <w:rFonts w:eastAsia="Times New Roman" w:cs="Arial"/>
          <w:szCs w:val="24"/>
        </w:rPr>
        <w:t>s</w:t>
      </w:r>
      <w:r w:rsidR="007A1AE5" w:rsidRPr="00EA0DC7">
        <w:rPr>
          <w:rFonts w:eastAsia="Times New Roman" w:cs="Arial"/>
          <w:szCs w:val="24"/>
        </w:rPr>
        <w:t xml:space="preserve"> on clinical outcomes </w:t>
      </w:r>
      <w:r w:rsidR="00F10268" w:rsidRPr="00EA0DC7">
        <w:rPr>
          <w:rFonts w:eastAsia="Times New Roman" w:cs="Arial"/>
          <w:szCs w:val="24"/>
        </w:rPr>
        <w:t>are</w:t>
      </w:r>
      <w:r w:rsidR="007A1AE5" w:rsidRPr="00EA0DC7">
        <w:rPr>
          <w:rFonts w:eastAsia="Times New Roman" w:cs="Arial"/>
          <w:szCs w:val="24"/>
        </w:rPr>
        <w:t xml:space="preserve"> impacted by patient complexity (Saxon &amp; Barkham, 2012)</w:t>
      </w:r>
      <w:r w:rsidR="008111F5" w:rsidRPr="00EA0DC7">
        <w:rPr>
          <w:rFonts w:eastAsia="Times New Roman" w:cs="Arial"/>
          <w:szCs w:val="24"/>
        </w:rPr>
        <w:t>. H</w:t>
      </w:r>
      <w:r w:rsidR="007A1AE5" w:rsidRPr="00EA0DC7">
        <w:rPr>
          <w:rFonts w:eastAsia="Times New Roman" w:cs="Arial"/>
          <w:szCs w:val="24"/>
        </w:rPr>
        <w:t>owever, it is unclear how patient complexity</w:t>
      </w:r>
      <w:r w:rsidR="00F10268" w:rsidRPr="00EA0DC7">
        <w:rPr>
          <w:rFonts w:eastAsia="Times New Roman" w:cs="Arial"/>
          <w:szCs w:val="24"/>
        </w:rPr>
        <w:t xml:space="preserve"> might </w:t>
      </w:r>
      <w:r w:rsidR="009E4FC9" w:rsidRPr="00EA0DC7">
        <w:rPr>
          <w:rFonts w:eastAsia="Times New Roman" w:cs="Arial"/>
          <w:szCs w:val="24"/>
        </w:rPr>
        <w:t>influence</w:t>
      </w:r>
      <w:r w:rsidR="007A1AE5" w:rsidRPr="00EA0DC7">
        <w:rPr>
          <w:rFonts w:eastAsia="Times New Roman" w:cs="Arial"/>
          <w:szCs w:val="24"/>
        </w:rPr>
        <w:t xml:space="preserve"> the therapeutic process and the advice given by supervisors.</w:t>
      </w:r>
    </w:p>
    <w:p w14:paraId="3C5F6E59" w14:textId="7264831D" w:rsidR="00EA68AE" w:rsidRPr="00EA0DC7" w:rsidRDefault="00F10268" w:rsidP="00992A39">
      <w:pPr>
        <w:widowControl w:val="0"/>
        <w:spacing w:after="0"/>
        <w:ind w:firstLine="720"/>
        <w:rPr>
          <w:rFonts w:cs="Arial"/>
        </w:rPr>
      </w:pPr>
      <w:r w:rsidRPr="00EA0DC7">
        <w:rPr>
          <w:rFonts w:cs="Arial"/>
        </w:rPr>
        <w:t>The</w:t>
      </w:r>
      <w:r w:rsidR="004E2EED" w:rsidRPr="00EA0DC7">
        <w:rPr>
          <w:rFonts w:cs="Arial"/>
        </w:rPr>
        <w:t xml:space="preserve"> objectivity of clinical supervision is questionable, given evidence that supervisors of therapists substantially overestimate the ability of their supervisees </w:t>
      </w:r>
      <w:r w:rsidR="004E2EED" w:rsidRPr="00EA0DC7">
        <w:rPr>
          <w:rFonts w:cs="Arial"/>
          <w:noProof/>
        </w:rPr>
        <w:t>(Dennhag</w:t>
      </w:r>
      <w:r w:rsidR="00C12C1F" w:rsidRPr="00EA0DC7">
        <w:rPr>
          <w:rFonts w:cs="Arial"/>
          <w:noProof/>
        </w:rPr>
        <w:t xml:space="preserve"> et al.</w:t>
      </w:r>
      <w:r w:rsidR="004E2EED" w:rsidRPr="00EA0DC7">
        <w:rPr>
          <w:rFonts w:cs="Arial"/>
          <w:noProof/>
        </w:rPr>
        <w:t>, 2012)</w:t>
      </w:r>
      <w:r w:rsidR="004E2EED" w:rsidRPr="00EA0DC7">
        <w:rPr>
          <w:rFonts w:cs="Arial"/>
        </w:rPr>
        <w:t xml:space="preserve">. </w:t>
      </w:r>
      <w:r w:rsidR="004E2EED" w:rsidRPr="00EA0DC7">
        <w:rPr>
          <w:rFonts w:cs="Arial"/>
          <w:noProof/>
        </w:rPr>
        <w:t>This overestimation makes it likely that supervisors will be less demanding than they should be in routine settings</w:t>
      </w:r>
      <w:r w:rsidR="004E2EED" w:rsidRPr="00EA0DC7">
        <w:rPr>
          <w:rFonts w:cs="Arial"/>
        </w:rPr>
        <w:t>. Therefore, it is possible that supervisors’ own practices could permit supervisees to stray from effective practice. In other words, supervisor drift could pe</w:t>
      </w:r>
      <w:r w:rsidR="00992A39" w:rsidRPr="00EA0DC7">
        <w:rPr>
          <w:rFonts w:cs="Arial"/>
        </w:rPr>
        <w:t xml:space="preserve">rmit or drive therapist drift. </w:t>
      </w:r>
      <w:r w:rsidR="004E2EED" w:rsidRPr="00EA0DC7">
        <w:rPr>
          <w:rFonts w:cs="Arial"/>
        </w:rPr>
        <w:t xml:space="preserve">While the emotional, behavioural and cognitive factors that are associated with therapist drift are increasingly well understood </w:t>
      </w:r>
      <w:r w:rsidR="004E2EED" w:rsidRPr="00EA0DC7">
        <w:rPr>
          <w:rFonts w:cs="Arial"/>
          <w:noProof/>
        </w:rPr>
        <w:t>(e.g., anxiety, safety behaviours, dismissal of manuals – Lilenfeld, Ritschel, Lynn, Cautin, &amp; Latzman, 2013; Waller, 2009)</w:t>
      </w:r>
      <w:r w:rsidR="004E2EED" w:rsidRPr="00EA0DC7">
        <w:rPr>
          <w:rFonts w:cs="Arial"/>
        </w:rPr>
        <w:t xml:space="preserve">, little is known about the reasons why supervisors might or might not </w:t>
      </w:r>
      <w:r w:rsidR="00EA68AE" w:rsidRPr="00EA0DC7">
        <w:rPr>
          <w:rFonts w:cs="Arial"/>
        </w:rPr>
        <w:t>drift in this way.</w:t>
      </w:r>
    </w:p>
    <w:p w14:paraId="3E51298C" w14:textId="77777777" w:rsidR="00E47303" w:rsidRPr="00EA0DC7" w:rsidRDefault="004E2EED" w:rsidP="00992A39">
      <w:pPr>
        <w:widowControl w:val="0"/>
        <w:ind w:firstLine="720"/>
        <w:rPr>
          <w:rFonts w:cs="Arial"/>
          <w:bCs/>
        </w:rPr>
      </w:pPr>
      <w:r w:rsidRPr="00EA0DC7">
        <w:rPr>
          <w:rFonts w:cs="Arial"/>
        </w:rPr>
        <w:t>Therefore, this study will explore, experimentally, a key element in what influences supervisors of</w:t>
      </w:r>
      <w:r w:rsidR="00EA68AE" w:rsidRPr="00EA0DC7">
        <w:rPr>
          <w:rFonts w:cs="Arial"/>
        </w:rPr>
        <w:t xml:space="preserve"> CBT</w:t>
      </w:r>
      <w:r w:rsidRPr="00EA0DC7">
        <w:rPr>
          <w:rFonts w:cs="Arial"/>
        </w:rPr>
        <w:t xml:space="preserve"> clinicians working with depression - the nature of the clinical case being presented - and how that element interacts with the supervisor’s own characteristics. </w:t>
      </w:r>
      <w:r w:rsidR="00EA68AE" w:rsidRPr="00EA0DC7">
        <w:rPr>
          <w:rFonts w:cs="Arial"/>
          <w:bCs/>
        </w:rPr>
        <w:t xml:space="preserve">The study focuses on supervision for CBT specifically, rather than other therapies. This is not only because it is the recommended treatment for depression (NICE, 2011), but also because it has </w:t>
      </w:r>
      <w:r w:rsidR="00EA68AE" w:rsidRPr="00EA0DC7">
        <w:rPr>
          <w:rFonts w:cs="Arial"/>
          <w:bCs/>
        </w:rPr>
        <w:lastRenderedPageBreak/>
        <w:t>a rigorous protocol (Beck</w:t>
      </w:r>
      <w:r w:rsidR="00C12C1F" w:rsidRPr="00EA0DC7">
        <w:rPr>
          <w:rFonts w:cs="Arial"/>
          <w:bCs/>
        </w:rPr>
        <w:t xml:space="preserve"> et al.,</w:t>
      </w:r>
      <w:r w:rsidR="00EA68AE" w:rsidRPr="00EA0DC7">
        <w:rPr>
          <w:rFonts w:cs="Arial"/>
          <w:bCs/>
          <w:noProof/>
        </w:rPr>
        <w:t xml:space="preserve"> </w:t>
      </w:r>
      <w:r w:rsidR="00EA68AE" w:rsidRPr="00EA0DC7">
        <w:rPr>
          <w:rFonts w:cs="Arial"/>
          <w:bCs/>
        </w:rPr>
        <w:t xml:space="preserve">1979). Therefore, departure from that protocol might, arguably, have a greater effect on this therapy than it would on others. </w:t>
      </w:r>
    </w:p>
    <w:p w14:paraId="7A2286A6" w14:textId="071B2ED1" w:rsidR="00CE63CD" w:rsidRPr="00EA0DC7" w:rsidRDefault="004E2EED" w:rsidP="00CE63CD">
      <w:pPr>
        <w:widowControl w:val="0"/>
        <w:ind w:firstLine="720"/>
        <w:rPr>
          <w:rFonts w:cs="Arial"/>
        </w:rPr>
      </w:pPr>
      <w:r w:rsidRPr="00EA0DC7">
        <w:rPr>
          <w:rFonts w:cs="Arial"/>
        </w:rPr>
        <w:t>This study has two aims. First, it will investigate how the content of supervision sessions varies depending on the clinical case that is presented in the supervision. Second, it will determine whether those patterns of supervisor focus fall into natural groupings (e.g., do clinicians report focusing on therapeutic alliance or evidence-based techniques, but not both?), and whether those patterns are related to supervisors’ other characteristics. Specifically, this will consider those characteristics that have previously been linked to therapist drift e.g., tolerance of uncertainty (Turner, Tatham, Lant, Mountford, &amp; Waller, 2014), age, and clinical experience (Waller</w:t>
      </w:r>
      <w:r w:rsidR="00330621" w:rsidRPr="00EA0DC7">
        <w:rPr>
          <w:rFonts w:cs="Arial"/>
        </w:rPr>
        <w:t xml:space="preserve"> et al., </w:t>
      </w:r>
      <w:r w:rsidRPr="00EA0DC7">
        <w:rPr>
          <w:rFonts w:cs="Arial"/>
        </w:rPr>
        <w:t>2012).</w:t>
      </w:r>
    </w:p>
    <w:p w14:paraId="1ACB67A9" w14:textId="0F37B1E4" w:rsidR="00FD2A1D" w:rsidRPr="00EA0DC7" w:rsidRDefault="00E702AF" w:rsidP="00E702AF">
      <w:pPr>
        <w:pStyle w:val="Heading2"/>
      </w:pPr>
      <w:bookmarkStart w:id="138" w:name="_Toc47039843"/>
      <w:r w:rsidRPr="00EA0DC7">
        <w:t xml:space="preserve">4.3 </w:t>
      </w:r>
      <w:r w:rsidR="00FD2A1D" w:rsidRPr="00EA0DC7">
        <w:t>Method</w:t>
      </w:r>
      <w:bookmarkEnd w:id="138"/>
    </w:p>
    <w:p w14:paraId="08548355" w14:textId="54A04056" w:rsidR="00FD2A1D" w:rsidRPr="00EA0DC7" w:rsidRDefault="00B854C2">
      <w:pPr>
        <w:pStyle w:val="Heading3"/>
      </w:pPr>
      <w:r w:rsidRPr="00EA0DC7">
        <w:t xml:space="preserve">4.3.1 </w:t>
      </w:r>
      <w:r w:rsidR="00FD2A1D" w:rsidRPr="00EA0DC7">
        <w:t>Design</w:t>
      </w:r>
    </w:p>
    <w:p w14:paraId="2D3F0B8D" w14:textId="77777777" w:rsidR="00FD2A1D" w:rsidRPr="00EA0DC7" w:rsidRDefault="00FD2A1D" w:rsidP="00FD2A1D">
      <w:pPr>
        <w:widowControl w:val="0"/>
        <w:spacing w:after="0"/>
        <w:ind w:firstLine="720"/>
        <w:rPr>
          <w:rFonts w:cs="Arial"/>
          <w:b/>
        </w:rPr>
      </w:pPr>
      <w:r w:rsidRPr="00EA0DC7">
        <w:rPr>
          <w:rFonts w:cs="Arial"/>
        </w:rPr>
        <w:t xml:space="preserve">This was a within-subject, survey-based, experimental design, with all participants undertaking all conditions. The independent variable was the variation in patient vignettes, and the dependent variable was supervisor reaction (guidance given to supervisees working with patients with depression).  </w:t>
      </w:r>
    </w:p>
    <w:p w14:paraId="66AAF87C" w14:textId="61E5531C" w:rsidR="00FD2A1D" w:rsidRPr="00EA0DC7" w:rsidRDefault="00B854C2" w:rsidP="003D674B">
      <w:pPr>
        <w:pStyle w:val="Heading3"/>
        <w:keepNext/>
      </w:pPr>
      <w:r w:rsidRPr="00EA0DC7">
        <w:t xml:space="preserve">4.3.2 </w:t>
      </w:r>
      <w:r w:rsidR="00FD2A1D" w:rsidRPr="00EA0DC7">
        <w:t>Participants</w:t>
      </w:r>
    </w:p>
    <w:p w14:paraId="480BAC33" w14:textId="6B5433BF" w:rsidR="00FD2A1D" w:rsidRPr="00EA0DC7" w:rsidRDefault="00FD2A1D" w:rsidP="00FD2A1D">
      <w:pPr>
        <w:widowControl w:val="0"/>
        <w:spacing w:after="0"/>
        <w:ind w:firstLine="720"/>
        <w:rPr>
          <w:rFonts w:cs="Arial"/>
        </w:rPr>
      </w:pPr>
      <w:r w:rsidRPr="00EA0DC7">
        <w:rPr>
          <w:rFonts w:cs="Arial"/>
        </w:rPr>
        <w:t xml:space="preserve">The participants were a sample of 42 clinical supervisors, guiding clinicians in the delivery of CBT for depression. Although all worked as clinical supervisors, only 27 were accredited supervisors (64.3%). The mean age of the group </w:t>
      </w:r>
      <w:commentRangeStart w:id="139"/>
      <w:r w:rsidRPr="00EA0DC7">
        <w:rPr>
          <w:rFonts w:cs="Arial"/>
        </w:rPr>
        <w:t>was 50.2 years (</w:t>
      </w:r>
      <w:r w:rsidRPr="00EA0DC7">
        <w:rPr>
          <w:rFonts w:cs="Arial"/>
          <w:i/>
        </w:rPr>
        <w:t>SD</w:t>
      </w:r>
      <w:r w:rsidRPr="00EA0DC7">
        <w:rPr>
          <w:rFonts w:cs="Arial"/>
        </w:rPr>
        <w:t xml:space="preserve"> = 10.6</w:t>
      </w:r>
      <w:r w:rsidR="00544BEF">
        <w:rPr>
          <w:rFonts w:cs="Arial"/>
        </w:rPr>
        <w:t xml:space="preserve"> years</w:t>
      </w:r>
      <w:r w:rsidRPr="00EA0DC7">
        <w:rPr>
          <w:rFonts w:cs="Arial"/>
        </w:rPr>
        <w:t>, range = 35-67</w:t>
      </w:r>
      <w:r w:rsidR="00544BEF">
        <w:rPr>
          <w:rFonts w:cs="Arial"/>
        </w:rPr>
        <w:t xml:space="preserve"> years</w:t>
      </w:r>
      <w:r w:rsidRPr="00EA0DC7">
        <w:rPr>
          <w:rFonts w:cs="Arial"/>
        </w:rPr>
        <w:t>), a</w:t>
      </w:r>
      <w:commentRangeEnd w:id="139"/>
      <w:r w:rsidR="00364213">
        <w:rPr>
          <w:rStyle w:val="CommentReference"/>
          <w:rFonts w:eastAsiaTheme="minorHAnsi"/>
          <w:lang w:eastAsia="en-US"/>
        </w:rPr>
        <w:commentReference w:id="139"/>
      </w:r>
      <w:r w:rsidRPr="00EA0DC7">
        <w:rPr>
          <w:rFonts w:cs="Arial"/>
        </w:rPr>
        <w:t xml:space="preserve">nd 61.9% </w:t>
      </w:r>
      <w:r w:rsidRPr="00EA0DC7">
        <w:rPr>
          <w:rFonts w:cs="Arial"/>
        </w:rPr>
        <w:lastRenderedPageBreak/>
        <w:t>were female. The supervisors were members of organisations that were part of the European Association for Behavioural and Cognitive Therapies. They were from eight different countries across Europe, with the largest number working in the UK (47%) and the second largest in the Netherlands (16.7%). The mean amount of time they had been using cognitive behavioural therapy (</w:t>
      </w:r>
      <w:commentRangeStart w:id="140"/>
      <w:r w:rsidRPr="00EA0DC7">
        <w:rPr>
          <w:rFonts w:cs="Arial"/>
        </w:rPr>
        <w:t>CBT) was 15.9 years (</w:t>
      </w:r>
      <w:r w:rsidRPr="00EA0DC7">
        <w:rPr>
          <w:rFonts w:cs="Arial"/>
          <w:i/>
        </w:rPr>
        <w:t>SD</w:t>
      </w:r>
      <w:r w:rsidRPr="00EA0DC7">
        <w:rPr>
          <w:rFonts w:cs="Arial"/>
        </w:rPr>
        <w:t xml:space="preserve"> = 8.90</w:t>
      </w:r>
      <w:r w:rsidR="00544BEF">
        <w:rPr>
          <w:rFonts w:cs="Arial"/>
        </w:rPr>
        <w:t xml:space="preserve"> years</w:t>
      </w:r>
      <w:r w:rsidRPr="00EA0DC7">
        <w:rPr>
          <w:rFonts w:cs="Arial"/>
        </w:rPr>
        <w:t>, range = 0-38</w:t>
      </w:r>
      <w:r w:rsidR="00443353">
        <w:rPr>
          <w:rFonts w:cs="Arial"/>
        </w:rPr>
        <w:t xml:space="preserve"> </w:t>
      </w:r>
      <w:r w:rsidR="00544BEF">
        <w:rPr>
          <w:rFonts w:cs="Arial"/>
        </w:rPr>
        <w:t>years</w:t>
      </w:r>
      <w:r w:rsidRPr="00EA0DC7">
        <w:rPr>
          <w:rFonts w:cs="Arial"/>
        </w:rPr>
        <w:t xml:space="preserve">). </w:t>
      </w:r>
      <w:commentRangeEnd w:id="140"/>
      <w:r w:rsidR="00364213">
        <w:rPr>
          <w:rStyle w:val="CommentReference"/>
          <w:rFonts w:eastAsiaTheme="minorHAnsi"/>
          <w:lang w:eastAsia="en-US"/>
        </w:rPr>
        <w:commentReference w:id="140"/>
      </w:r>
      <w:r w:rsidRPr="00EA0DC7">
        <w:rPr>
          <w:rFonts w:cs="Arial"/>
        </w:rPr>
        <w:t>The background professions of the supervisors were: clinical psychologists (</w:t>
      </w:r>
      <w:r w:rsidRPr="00EA0DC7">
        <w:rPr>
          <w:rFonts w:cs="Arial"/>
          <w:i/>
        </w:rPr>
        <w:t>N</w:t>
      </w:r>
      <w:r w:rsidRPr="00EA0DC7">
        <w:rPr>
          <w:rFonts w:cs="Arial"/>
        </w:rPr>
        <w:t xml:space="preserve"> = 20), nurses (</w:t>
      </w:r>
      <w:r w:rsidRPr="00EA0DC7">
        <w:rPr>
          <w:rFonts w:cs="Arial"/>
          <w:i/>
        </w:rPr>
        <w:t>N</w:t>
      </w:r>
      <w:r w:rsidRPr="00EA0DC7">
        <w:rPr>
          <w:rFonts w:cs="Arial"/>
        </w:rPr>
        <w:t xml:space="preserve"> = 5), counselling psychologists (</w:t>
      </w:r>
      <w:r w:rsidRPr="00EA0DC7">
        <w:rPr>
          <w:rFonts w:cs="Arial"/>
          <w:i/>
        </w:rPr>
        <w:t>N</w:t>
      </w:r>
      <w:r w:rsidRPr="00EA0DC7">
        <w:rPr>
          <w:rFonts w:cs="Arial"/>
        </w:rPr>
        <w:t xml:space="preserve"> = 3), social workers (</w:t>
      </w:r>
      <w:r w:rsidRPr="00EA0DC7">
        <w:rPr>
          <w:rFonts w:cs="Arial"/>
          <w:i/>
        </w:rPr>
        <w:t>N</w:t>
      </w:r>
      <w:r w:rsidRPr="00EA0DC7">
        <w:rPr>
          <w:rFonts w:cs="Arial"/>
        </w:rPr>
        <w:t xml:space="preserve"> = 2), occupational therapists (</w:t>
      </w:r>
      <w:r w:rsidRPr="00EA0DC7">
        <w:rPr>
          <w:rFonts w:cs="Arial"/>
          <w:i/>
        </w:rPr>
        <w:t>N</w:t>
      </w:r>
      <w:r w:rsidRPr="00EA0DC7">
        <w:rPr>
          <w:rFonts w:cs="Arial"/>
        </w:rPr>
        <w:t xml:space="preserve"> = 2), psychiatrists (</w:t>
      </w:r>
      <w:r w:rsidRPr="00EA0DC7">
        <w:rPr>
          <w:rFonts w:cs="Arial"/>
          <w:i/>
        </w:rPr>
        <w:t>N</w:t>
      </w:r>
      <w:r w:rsidRPr="00EA0DC7">
        <w:rPr>
          <w:rFonts w:cs="Arial"/>
        </w:rPr>
        <w:t xml:space="preserve"> = 2), high intensity Improving Access to Psychological Therapies workers (IAPT; </w:t>
      </w:r>
      <w:r w:rsidRPr="00EA0DC7">
        <w:rPr>
          <w:rFonts w:cs="Arial"/>
          <w:i/>
        </w:rPr>
        <w:t>N</w:t>
      </w:r>
      <w:r w:rsidRPr="00EA0DC7">
        <w:rPr>
          <w:rFonts w:cs="Arial"/>
        </w:rPr>
        <w:t xml:space="preserve"> = 2), psychotherapists (</w:t>
      </w:r>
      <w:r w:rsidRPr="00EA0DC7">
        <w:rPr>
          <w:rFonts w:cs="Arial"/>
          <w:i/>
        </w:rPr>
        <w:t>N</w:t>
      </w:r>
      <w:r w:rsidRPr="00EA0DC7">
        <w:rPr>
          <w:rFonts w:cs="Arial"/>
        </w:rPr>
        <w:t xml:space="preserve"> = 2), </w:t>
      </w:r>
      <w:r w:rsidR="00D5176F" w:rsidRPr="00EA0DC7">
        <w:rPr>
          <w:rFonts w:cs="Arial"/>
        </w:rPr>
        <w:t xml:space="preserve">a </w:t>
      </w:r>
      <w:r w:rsidRPr="00EA0DC7">
        <w:rPr>
          <w:rFonts w:cs="Arial"/>
        </w:rPr>
        <w:t>health clinical psychologist (</w:t>
      </w:r>
      <w:r w:rsidRPr="00EA0DC7">
        <w:rPr>
          <w:rFonts w:cs="Arial"/>
          <w:i/>
        </w:rPr>
        <w:t xml:space="preserve">N </w:t>
      </w:r>
      <w:r w:rsidRPr="00EA0DC7">
        <w:rPr>
          <w:rFonts w:cs="Arial"/>
        </w:rPr>
        <w:t xml:space="preserve">= 1), </w:t>
      </w:r>
      <w:r w:rsidR="00D5176F" w:rsidRPr="00EA0DC7">
        <w:rPr>
          <w:rFonts w:cs="Arial"/>
        </w:rPr>
        <w:t xml:space="preserve">a </w:t>
      </w:r>
      <w:r w:rsidRPr="00EA0DC7">
        <w:rPr>
          <w:rFonts w:cs="Arial"/>
        </w:rPr>
        <w:t>psychotherapist and medical doctor (</w:t>
      </w:r>
      <w:r w:rsidRPr="00EA0DC7">
        <w:rPr>
          <w:rFonts w:cs="Arial"/>
          <w:i/>
        </w:rPr>
        <w:t>N</w:t>
      </w:r>
      <w:r w:rsidRPr="00EA0DC7">
        <w:rPr>
          <w:rFonts w:cs="Arial"/>
        </w:rPr>
        <w:t xml:space="preserve"> = 1), and a mental health practitioner (</w:t>
      </w:r>
      <w:r w:rsidRPr="00EA0DC7">
        <w:rPr>
          <w:rFonts w:cs="Arial"/>
          <w:i/>
        </w:rPr>
        <w:t>N</w:t>
      </w:r>
      <w:r w:rsidRPr="00EA0DC7">
        <w:rPr>
          <w:rFonts w:cs="Arial"/>
        </w:rPr>
        <w:t xml:space="preserve"> = 1). One supervisor gave no background profession. </w:t>
      </w:r>
    </w:p>
    <w:p w14:paraId="39DE78BF" w14:textId="26459A95" w:rsidR="008E3912" w:rsidRPr="00EA0DC7" w:rsidRDefault="008E3912" w:rsidP="008E3912">
      <w:pPr>
        <w:pStyle w:val="Heading4"/>
        <w:numPr>
          <w:ilvl w:val="3"/>
          <w:numId w:val="45"/>
        </w:numPr>
      </w:pPr>
      <w:r w:rsidRPr="00EA0DC7">
        <w:rPr>
          <w:rStyle w:val="Heading4Char"/>
          <w:bCs/>
          <w:i/>
          <w:iCs/>
        </w:rPr>
        <w:t>4.3.2.1 Sample size estimation</w:t>
      </w:r>
    </w:p>
    <w:p w14:paraId="62A9EB08" w14:textId="5EF7E298" w:rsidR="008E3912" w:rsidRPr="00EA0DC7" w:rsidRDefault="008E3912" w:rsidP="008E3912">
      <w:pPr>
        <w:widowControl w:val="0"/>
        <w:spacing w:after="0"/>
        <w:ind w:firstLine="720"/>
        <w:rPr>
          <w:rFonts w:cs="Arial"/>
        </w:rPr>
      </w:pPr>
      <w:r w:rsidRPr="00EA0DC7">
        <w:rPr>
          <w:rFonts w:cs="Arial"/>
        </w:rPr>
        <w:t xml:space="preserve">A sample size analysis was performed using G*Power (Faul, Erdfelder, Lang, &amp; Buchner, 2007) to determine the number of participants needed. For a medium to large effect size (with an alpha of .05 and power of 0.80), the sample size required was between </w:t>
      </w:r>
      <w:r w:rsidR="009A0882" w:rsidRPr="00EA0DC7">
        <w:rPr>
          <w:rFonts w:cs="Arial"/>
        </w:rPr>
        <w:t>17 and 40</w:t>
      </w:r>
      <w:r w:rsidRPr="00EA0DC7">
        <w:rPr>
          <w:rFonts w:cs="Arial"/>
        </w:rPr>
        <w:t>.</w:t>
      </w:r>
    </w:p>
    <w:p w14:paraId="02DA03BD" w14:textId="7B2E8B00" w:rsidR="00FD2A1D" w:rsidRPr="00EA0DC7" w:rsidRDefault="00B854C2" w:rsidP="003D674B">
      <w:pPr>
        <w:pStyle w:val="Heading3"/>
        <w:keepNext/>
      </w:pPr>
      <w:r w:rsidRPr="00EA0DC7">
        <w:t xml:space="preserve">4.3.3 </w:t>
      </w:r>
      <w:r w:rsidR="00FD2A1D" w:rsidRPr="00EA0DC7">
        <w:t>Ethics</w:t>
      </w:r>
    </w:p>
    <w:p w14:paraId="00CE09A9" w14:textId="378C1640" w:rsidR="00FD2A1D" w:rsidRPr="00EA0DC7" w:rsidRDefault="00FD2A1D" w:rsidP="00FD2A1D">
      <w:pPr>
        <w:widowControl w:val="0"/>
        <w:spacing w:after="0"/>
        <w:ind w:firstLine="720"/>
        <w:rPr>
          <w:rFonts w:cs="Arial"/>
        </w:rPr>
      </w:pPr>
      <w:r w:rsidRPr="00EA0DC7">
        <w:rPr>
          <w:rFonts w:eastAsiaTheme="minorHAnsi" w:cs="Arial"/>
          <w:lang w:eastAsia="en-US"/>
        </w:rPr>
        <w:t>This research was approved by the University of Sheffield's Department of Psychology Research Ethics Committee</w:t>
      </w:r>
      <w:r w:rsidR="00077D45" w:rsidRPr="00EA0DC7">
        <w:rPr>
          <w:rFonts w:eastAsiaTheme="minorHAnsi" w:cs="Arial"/>
          <w:lang w:eastAsia="en-US"/>
        </w:rPr>
        <w:t xml:space="preserve"> (see Appendix 4A for ethics approval)</w:t>
      </w:r>
      <w:r w:rsidRPr="00EA0DC7">
        <w:rPr>
          <w:rFonts w:eastAsiaTheme="minorHAnsi" w:cs="Arial"/>
          <w:lang w:eastAsia="en-US"/>
        </w:rPr>
        <w:t>.</w:t>
      </w:r>
    </w:p>
    <w:p w14:paraId="7B553B03" w14:textId="10C15523" w:rsidR="00FD2A1D" w:rsidRPr="00EA0DC7" w:rsidRDefault="00B854C2" w:rsidP="00D5176F">
      <w:pPr>
        <w:pStyle w:val="Heading3"/>
      </w:pPr>
      <w:r w:rsidRPr="00EA0DC7">
        <w:t xml:space="preserve">4.3.4 </w:t>
      </w:r>
      <w:r w:rsidR="00FD2A1D" w:rsidRPr="00EA0DC7">
        <w:t>Measures and Procedure</w:t>
      </w:r>
    </w:p>
    <w:p w14:paraId="0FC5CFC8" w14:textId="74C07235" w:rsidR="00FD2A1D" w:rsidRPr="00EA0DC7" w:rsidRDefault="00FD2A1D" w:rsidP="00FD2A1D">
      <w:pPr>
        <w:widowControl w:val="0"/>
        <w:spacing w:after="0"/>
        <w:ind w:firstLine="709"/>
        <w:rPr>
          <w:rFonts w:cs="Arial"/>
        </w:rPr>
      </w:pPr>
      <w:r w:rsidRPr="00EA0DC7">
        <w:rPr>
          <w:rFonts w:cs="Arial"/>
        </w:rPr>
        <w:t xml:space="preserve">All participants were sent an email containing a link to an online </w:t>
      </w:r>
      <w:r w:rsidRPr="00EA0DC7">
        <w:rPr>
          <w:rFonts w:cs="Arial"/>
        </w:rPr>
        <w:lastRenderedPageBreak/>
        <w:t>questionnaire (adapted from Simpson-Southward, Waller, &amp; Hardy, 2016), hosted by the website Qualtrics.</w:t>
      </w:r>
      <w:r w:rsidR="00B73A3B">
        <w:rPr>
          <w:rFonts w:cs="Arial"/>
        </w:rPr>
        <w:t xml:space="preserve"> </w:t>
      </w:r>
      <w:commentRangeStart w:id="141"/>
      <w:r w:rsidR="00B73A3B">
        <w:rPr>
          <w:rFonts w:cs="Arial"/>
        </w:rPr>
        <w:t xml:space="preserve">A copy of the questionnaire can be found in </w:t>
      </w:r>
      <w:r w:rsidR="00B73A3B" w:rsidRPr="00724F44">
        <w:rPr>
          <w:rFonts w:cs="Arial"/>
        </w:rPr>
        <w:t>Appendix</w:t>
      </w:r>
      <w:r w:rsidR="00916EEA">
        <w:rPr>
          <w:rFonts w:cs="Arial"/>
        </w:rPr>
        <w:t xml:space="preserve"> 4B</w:t>
      </w:r>
      <w:commentRangeEnd w:id="141"/>
      <w:r w:rsidR="00364213">
        <w:rPr>
          <w:rStyle w:val="CommentReference"/>
          <w:rFonts w:eastAsiaTheme="minorHAnsi"/>
          <w:lang w:eastAsia="en-US"/>
        </w:rPr>
        <w:commentReference w:id="141"/>
      </w:r>
      <w:r w:rsidR="00B73A3B">
        <w:rPr>
          <w:rFonts w:cs="Arial"/>
        </w:rPr>
        <w:t>.</w:t>
      </w:r>
      <w:r w:rsidRPr="00EA0DC7">
        <w:rPr>
          <w:rFonts w:cs="Arial"/>
        </w:rPr>
        <w:t xml:space="preserve"> Participants indicated consent and provided demographic information. Three case vignettes were then presented, each relating to individuals with depression with whom their supervisees would be working. The vignettes were based on the clinical experience of two of the authors (GH and GW), to ensure that it represented a realistic scenario that the supervisor would be likely to attend to and might respond to.</w:t>
      </w:r>
      <w:r w:rsidR="0093261C">
        <w:rPr>
          <w:rFonts w:cs="Arial"/>
        </w:rPr>
        <w:t xml:space="preserve"> </w:t>
      </w:r>
      <w:commentRangeStart w:id="142"/>
      <w:r w:rsidR="0093261C">
        <w:rPr>
          <w:rFonts w:cs="Arial"/>
        </w:rPr>
        <w:t xml:space="preserve">These vignettes were based on case examples that supervisors would be used to seeing in supervision manuals. </w:t>
      </w:r>
      <w:r w:rsidRPr="00EA0DC7">
        <w:rPr>
          <w:rFonts w:cs="Arial"/>
        </w:rPr>
        <w:t xml:space="preserve"> These were presented in random order. The vignettes varied in terms of patients’ clinical severity - one </w:t>
      </w:r>
      <w:r w:rsidR="008143D2">
        <w:rPr>
          <w:rFonts w:cs="Arial"/>
        </w:rPr>
        <w:t>“</w:t>
      </w:r>
      <w:r w:rsidRPr="00EA0DC7">
        <w:rPr>
          <w:rFonts w:cs="Arial"/>
        </w:rPr>
        <w:t>straightforward case</w:t>
      </w:r>
      <w:r w:rsidR="008143D2">
        <w:rPr>
          <w:rFonts w:cs="Arial"/>
        </w:rPr>
        <w:t>”</w:t>
      </w:r>
      <w:r w:rsidRPr="00EA0DC7">
        <w:rPr>
          <w:rFonts w:cs="Arial"/>
        </w:rPr>
        <w:t xml:space="preserve"> of depression, one </w:t>
      </w:r>
      <w:r w:rsidR="008143D2">
        <w:rPr>
          <w:rFonts w:cs="Arial"/>
        </w:rPr>
        <w:t>“</w:t>
      </w:r>
      <w:r w:rsidRPr="00EA0DC7">
        <w:rPr>
          <w:rFonts w:cs="Arial"/>
        </w:rPr>
        <w:t>diffuse case</w:t>
      </w:r>
      <w:r w:rsidR="008143D2">
        <w:rPr>
          <w:rFonts w:cs="Arial"/>
        </w:rPr>
        <w:t>”</w:t>
      </w:r>
      <w:r w:rsidRPr="00EA0DC7">
        <w:rPr>
          <w:rFonts w:cs="Arial"/>
        </w:rPr>
        <w:t xml:space="preserve">, and one </w:t>
      </w:r>
      <w:r w:rsidR="008143D2">
        <w:rPr>
          <w:rFonts w:cs="Arial"/>
        </w:rPr>
        <w:t>“</w:t>
      </w:r>
      <w:r w:rsidRPr="00EA0DC7">
        <w:rPr>
          <w:rFonts w:cs="Arial"/>
        </w:rPr>
        <w:t>complex case</w:t>
      </w:r>
      <w:r w:rsidR="008143D2">
        <w:rPr>
          <w:rFonts w:cs="Arial"/>
        </w:rPr>
        <w:t>”</w:t>
      </w:r>
      <w:r w:rsidR="00BF0088" w:rsidRPr="00EA0DC7">
        <w:rPr>
          <w:rFonts w:cs="Arial"/>
        </w:rPr>
        <w:t xml:space="preserve"> (see Appendix </w:t>
      </w:r>
      <w:r w:rsidR="00077D45" w:rsidRPr="00EA0DC7">
        <w:rPr>
          <w:rFonts w:cs="Arial"/>
        </w:rPr>
        <w:t>4B</w:t>
      </w:r>
      <w:r w:rsidRPr="00EA0DC7">
        <w:rPr>
          <w:rFonts w:cs="Arial"/>
        </w:rPr>
        <w:t xml:space="preserve"> for full vignettes). </w:t>
      </w:r>
      <w:r w:rsidR="0093261C">
        <w:rPr>
          <w:rFonts w:cs="Arial"/>
        </w:rPr>
        <w:t xml:space="preserve">The vignettes indicate the severity of each case </w:t>
      </w:r>
      <w:r w:rsidR="00923BF8">
        <w:rPr>
          <w:rFonts w:cs="Arial"/>
        </w:rPr>
        <w:t xml:space="preserve">through the symptoms and social factors outlined. For example, the “diffuse case” has social support and is lacking any clear symptoms of depression, other than feeling ‘down’. Whereas, the “complex case” is isolated with a number of biological symptoms as so appears more ‘risky’. </w:t>
      </w:r>
      <w:commentRangeEnd w:id="142"/>
      <w:r w:rsidR="00364213">
        <w:rPr>
          <w:rStyle w:val="CommentReference"/>
          <w:rFonts w:eastAsiaTheme="minorHAnsi"/>
          <w:lang w:eastAsia="en-US"/>
        </w:rPr>
        <w:commentReference w:id="142"/>
      </w:r>
      <w:r w:rsidRPr="00EA0DC7">
        <w:rPr>
          <w:rFonts w:cs="Arial"/>
        </w:rPr>
        <w:t>Each was relatively brief, to ensure that the supervisor</w:t>
      </w:r>
      <w:r w:rsidR="00E47303" w:rsidRPr="00EA0DC7">
        <w:rPr>
          <w:rFonts w:cs="Arial"/>
        </w:rPr>
        <w:t>’s</w:t>
      </w:r>
      <w:r w:rsidRPr="00EA0DC7">
        <w:rPr>
          <w:rFonts w:cs="Arial"/>
        </w:rPr>
        <w:t xml:space="preserve"> reaction to the nature of the case was not related to or obscured by superfluous information.</w:t>
      </w:r>
    </w:p>
    <w:p w14:paraId="32C0EF78" w14:textId="77777777" w:rsidR="00FD2A1D" w:rsidRPr="00EA0DC7" w:rsidRDefault="00FD2A1D" w:rsidP="00FD2A1D">
      <w:pPr>
        <w:keepNext/>
        <w:widowControl w:val="0"/>
        <w:spacing w:after="0"/>
        <w:ind w:firstLine="709"/>
        <w:rPr>
          <w:rFonts w:cs="Arial"/>
        </w:rPr>
      </w:pPr>
      <w:r w:rsidRPr="00EA0DC7">
        <w:rPr>
          <w:rFonts w:cs="Arial"/>
        </w:rPr>
        <w:t xml:space="preserve">Following each vignette, the participant was asked what they would focus on in supervision for each case.  Focus was measured using sliding scales, ranging from 0 (‘I would not focus on this’) to 100 (‘I would focus entirely on this’). The questions referred to three general areas of supervision focus: therapeutic technique, therapeutic alliance, and case management issues. These areas of focus were based on the three main functions of supervision </w:t>
      </w:r>
      <w:r w:rsidRPr="00EA0DC7">
        <w:rPr>
          <w:rFonts w:cs="Arial"/>
        </w:rPr>
        <w:lastRenderedPageBreak/>
        <w:t>often described in the literature. Proctor (1988) refers to these functions as ‘formative’ (education and development of the supervisee), ‘restorative’ (emotional aspects of work), and ‘normative’ (managerial and ethical responsibilities). The same functions are referred to as ‘educational’, ‘supportive’, and ‘managerial’ by Kadushin (1976). Further detail was requested to clarify which specific supervision methods the supervisors would focus on. Methods relating to the therapeutic alliance were: developing and maintaining the therapeutic bond with the patient; agreement on therapy tasks; and agreement on therapy goals. Those relating to the therapeutic techniques were: reviewing depression levels; CBT model education; agenda setting; Socratic questioning; linking cognitions, emotions, and behaviour; recording of negative automatic thoughts; clarifying dysfunctional assumptions; developing alternative hypotheses; behavioural activation; mindfulness; eye movement desensitisation and reprocessing; responding to patient feedback; discussion of thought records; reviewing homework tasks; behavioural experiments; cognitive rehearsal; assertiveness training; use of reattribution; and relapse prevention techniques. Case management issues covered: risk focus; focus on the patient’s capacity to use and benefit from treatment; focus on the patient’s week; and encouragement of the therapist to remain on track.</w:t>
      </w:r>
    </w:p>
    <w:p w14:paraId="116422CD" w14:textId="07929E9A" w:rsidR="001E21F9" w:rsidRDefault="00FD2A1D" w:rsidP="00FD2A1D">
      <w:pPr>
        <w:widowControl w:val="0"/>
        <w:spacing w:after="0"/>
        <w:ind w:firstLine="720"/>
        <w:rPr>
          <w:rFonts w:cs="Arial"/>
        </w:rPr>
      </w:pPr>
      <w:r w:rsidRPr="00EA0DC7">
        <w:rPr>
          <w:rFonts w:cs="Arial"/>
        </w:rPr>
        <w:t>Participants were then asked to fill out two measures. These measures were presented after the vignettes to reduce demand characteristics. Participants’ reactions to uncertainty, ambiguous situations, and the future w</w:t>
      </w:r>
      <w:r w:rsidR="00F57C32" w:rsidRPr="00EA0DC7">
        <w:rPr>
          <w:rFonts w:cs="Arial"/>
        </w:rPr>
        <w:t>ere</w:t>
      </w:r>
      <w:r w:rsidRPr="00EA0DC7">
        <w:rPr>
          <w:rFonts w:cs="Arial"/>
        </w:rPr>
        <w:t xml:space="preserve"> measured using the 12-item version of the Intolerance of Uncertainty Scale </w:t>
      </w:r>
      <w:r w:rsidRPr="00EA0DC7">
        <w:rPr>
          <w:rFonts w:cs="Arial"/>
          <w:noProof/>
        </w:rPr>
        <w:t>(IUS; Carleton, Norton, &amp; Asmundson, 2007)</w:t>
      </w:r>
      <w:r w:rsidRPr="00EA0DC7">
        <w:rPr>
          <w:rFonts w:cs="Arial"/>
        </w:rPr>
        <w:t xml:space="preserve">. The IUS measures two aspects of intolerance of uncertainty – ‘prospective anxiety’ (fear and anxiety </w:t>
      </w:r>
      <w:r w:rsidRPr="00EA0DC7">
        <w:rPr>
          <w:rFonts w:cs="Arial"/>
        </w:rPr>
        <w:lastRenderedPageBreak/>
        <w:t>relating to future events), and ‘inhibitory anxiety’ (uncertainty that inhibits action). The IUS has high internal consistency (full scale α = .91, prospective anxiety α = .85, and inhibitory anxiety α =.85</w:t>
      </w:r>
      <w:commentRangeStart w:id="143"/>
      <w:r w:rsidRPr="00EA0DC7">
        <w:rPr>
          <w:rFonts w:cs="Arial"/>
        </w:rPr>
        <w:t xml:space="preserve">). </w:t>
      </w:r>
      <w:r w:rsidR="001E21F9">
        <w:rPr>
          <w:rFonts w:cs="Arial"/>
        </w:rPr>
        <w:t xml:space="preserve">The IUS is highly correlated with </w:t>
      </w:r>
      <w:r w:rsidR="000C761D">
        <w:rPr>
          <w:rFonts w:cs="Arial"/>
        </w:rPr>
        <w:t xml:space="preserve">established </w:t>
      </w:r>
      <w:r w:rsidR="001E21F9">
        <w:rPr>
          <w:rFonts w:cs="Arial"/>
        </w:rPr>
        <w:t>anxiety scales</w:t>
      </w:r>
      <w:r w:rsidR="000C761D">
        <w:rPr>
          <w:rFonts w:cs="Arial"/>
        </w:rPr>
        <w:t xml:space="preserve"> (e.g., Beck Anxiety Inventory, B</w:t>
      </w:r>
      <w:r w:rsidR="0059381D">
        <w:rPr>
          <w:rFonts w:cs="Arial"/>
        </w:rPr>
        <w:t>eck, Epstein, Brown &amp; Steer</w:t>
      </w:r>
      <w:r w:rsidR="000C761D">
        <w:rPr>
          <w:rFonts w:cs="Arial"/>
        </w:rPr>
        <w:t xml:space="preserve">, 1988; Generalised Anxiety Disorder Questionnaire, Newman et al., 2002; Carleton et al., 2007). The IUS-12 </w:t>
      </w:r>
      <w:r w:rsidR="001E21F9">
        <w:rPr>
          <w:rFonts w:cs="Arial"/>
        </w:rPr>
        <w:t>was chosen over other anxiety measures as clinicians are likely</w:t>
      </w:r>
      <w:r w:rsidR="000C761D">
        <w:rPr>
          <w:rFonts w:cs="Arial"/>
        </w:rPr>
        <w:t xml:space="preserve"> to be</w:t>
      </w:r>
      <w:r w:rsidR="001E21F9">
        <w:rPr>
          <w:rFonts w:cs="Arial"/>
        </w:rPr>
        <w:t xml:space="preserve"> less familiar with the scale and so demand characteristics are reduced.</w:t>
      </w:r>
    </w:p>
    <w:p w14:paraId="2EAF90D5" w14:textId="2FA4E159" w:rsidR="00FD2A1D" w:rsidRPr="00EA0DC7" w:rsidRDefault="00FD2A1D" w:rsidP="00FD2A1D">
      <w:pPr>
        <w:widowControl w:val="0"/>
        <w:spacing w:after="0"/>
        <w:ind w:firstLine="720"/>
        <w:rPr>
          <w:rFonts w:cs="Arial"/>
        </w:rPr>
      </w:pPr>
      <w:r w:rsidRPr="00EA0DC7">
        <w:rPr>
          <w:rFonts w:cs="Arial"/>
        </w:rPr>
        <w:t>Finally,</w:t>
      </w:r>
      <w:r w:rsidR="0093261C" w:rsidRPr="0093261C">
        <w:rPr>
          <w:rFonts w:cs="Arial"/>
        </w:rPr>
        <w:t xml:space="preserve"> </w:t>
      </w:r>
      <w:r w:rsidR="0093261C">
        <w:rPr>
          <w:rFonts w:cs="Arial"/>
        </w:rPr>
        <w:t xml:space="preserve">a self-esteem measure was </w:t>
      </w:r>
      <w:r w:rsidR="008B4F79">
        <w:rPr>
          <w:rFonts w:cs="Arial"/>
        </w:rPr>
        <w:t>used, because</w:t>
      </w:r>
      <w:r w:rsidR="0093261C">
        <w:rPr>
          <w:rFonts w:cs="Arial"/>
        </w:rPr>
        <w:t xml:space="preserve"> higher self-acceptance and self-efficacy of supervisors is associated with more positive trainee outcomes (Moldovan &amp; David, 2012)</w:t>
      </w:r>
      <w:commentRangeEnd w:id="143"/>
      <w:r w:rsidR="00364213">
        <w:rPr>
          <w:rStyle w:val="CommentReference"/>
          <w:rFonts w:eastAsiaTheme="minorHAnsi"/>
          <w:lang w:eastAsia="en-US"/>
        </w:rPr>
        <w:commentReference w:id="143"/>
      </w:r>
      <w:r w:rsidR="0093261C">
        <w:rPr>
          <w:rFonts w:cs="Arial"/>
        </w:rPr>
        <w:t>. P</w:t>
      </w:r>
      <w:r w:rsidRPr="00EA0DC7">
        <w:rPr>
          <w:rFonts w:cs="Arial"/>
        </w:rPr>
        <w:t xml:space="preserve">articipants’ self-esteem was measured using the Rosenberg Self-Esteem Scale </w:t>
      </w:r>
      <w:r w:rsidRPr="00EA0DC7">
        <w:rPr>
          <w:rFonts w:cs="Arial"/>
          <w:noProof/>
        </w:rPr>
        <w:t>(RSE; Rosenberg, 1965)</w:t>
      </w:r>
      <w:r w:rsidRPr="00EA0DC7">
        <w:rPr>
          <w:rFonts w:cs="Arial"/>
        </w:rPr>
        <w:t>. The RSE measures both positive and negative views of the self, and has well-established psychometric properties (α ranging from .72 to .88; Gray-Little, Williams, &amp; Hancock, 1997). Due to a technical error, scores were collected for only nine of the ten items, so the score was prorated.</w:t>
      </w:r>
      <w:r w:rsidR="00D1749D">
        <w:rPr>
          <w:rFonts w:cs="Arial"/>
        </w:rPr>
        <w:t xml:space="preserve"> </w:t>
      </w:r>
    </w:p>
    <w:p w14:paraId="205404BC" w14:textId="687E8316" w:rsidR="00FD2A1D" w:rsidRPr="00EA0DC7" w:rsidRDefault="00B854C2" w:rsidP="00D5176F">
      <w:pPr>
        <w:pStyle w:val="Heading3"/>
      </w:pPr>
      <w:r w:rsidRPr="00EA0DC7">
        <w:t xml:space="preserve">4.3.5 </w:t>
      </w:r>
      <w:r w:rsidR="00FD2A1D" w:rsidRPr="00EA0DC7">
        <w:t>Data analysis</w:t>
      </w:r>
    </w:p>
    <w:p w14:paraId="73C88DE5" w14:textId="749C1784" w:rsidR="00FD2A1D" w:rsidRPr="00EA0DC7" w:rsidRDefault="00FD2A1D" w:rsidP="00B920D4">
      <w:pPr>
        <w:widowControl w:val="0"/>
        <w:ind w:firstLine="720"/>
        <w:rPr>
          <w:rFonts w:cs="Arial"/>
        </w:rPr>
      </w:pPr>
      <w:r w:rsidRPr="00EA0DC7">
        <w:rPr>
          <w:rFonts w:cs="Arial"/>
        </w:rPr>
        <w:t>To address the first aim, a repeated measures analysis of variance (ANOVA) was used to assess the reactions of the supervisors to each vignette. The within-subject factor was the different clinical condition (presentation type), and the dependent variables were the levels of focus on each supervision topic. To address the second aim, two-step cluster analysis was used to identify naturally-occurring supervisor ‘types’, and these were validated against other measures using one-way ANOVAs and chi-squared tests.</w:t>
      </w:r>
    </w:p>
    <w:p w14:paraId="6FF87915" w14:textId="018D4519" w:rsidR="00FD2A1D" w:rsidRPr="00EA0DC7" w:rsidRDefault="00E702AF" w:rsidP="00E702AF">
      <w:pPr>
        <w:pStyle w:val="Heading2"/>
      </w:pPr>
      <w:bookmarkStart w:id="144" w:name="_Toc47039844"/>
      <w:r w:rsidRPr="00EA0DC7">
        <w:lastRenderedPageBreak/>
        <w:t xml:space="preserve">4.4 </w:t>
      </w:r>
      <w:r w:rsidR="00FD2A1D" w:rsidRPr="00EA0DC7">
        <w:t>Results</w:t>
      </w:r>
      <w:bookmarkEnd w:id="144"/>
    </w:p>
    <w:p w14:paraId="2A4A143D" w14:textId="1EBA4EB5" w:rsidR="00FD2A1D" w:rsidRPr="00EA0DC7" w:rsidRDefault="00B854C2" w:rsidP="00D5176F">
      <w:pPr>
        <w:pStyle w:val="Heading3"/>
      </w:pPr>
      <w:r w:rsidRPr="00EA0DC7">
        <w:t xml:space="preserve">4.4.1 </w:t>
      </w:r>
      <w:r w:rsidR="00FD2A1D" w:rsidRPr="00EA0DC7">
        <w:t>‘Supervision focus’ scale reliability</w:t>
      </w:r>
    </w:p>
    <w:p w14:paraId="76F73A81" w14:textId="77777777" w:rsidR="00FD2A1D" w:rsidRPr="00EA0DC7" w:rsidRDefault="00FD2A1D" w:rsidP="00FD2A1D">
      <w:pPr>
        <w:keepNext/>
        <w:widowControl w:val="0"/>
        <w:spacing w:after="0"/>
        <w:ind w:firstLine="709"/>
        <w:rPr>
          <w:rFonts w:cs="Arial"/>
        </w:rPr>
      </w:pPr>
      <w:r w:rsidRPr="00EA0DC7">
        <w:rPr>
          <w:rFonts w:cs="Arial"/>
          <w:b/>
        </w:rPr>
        <w:tab/>
      </w:r>
      <w:r w:rsidRPr="00EA0DC7">
        <w:rPr>
          <w:rFonts w:cs="Arial"/>
        </w:rPr>
        <w:t>The Cronbach’s alphas of the three scales were (in the order ‘straightforward’, ‘diffuse’ and ‘complex’ each time): 0.701, 0.511, and 0.642 for therapeutic alliance; 0.893, 0.908, and 0.878 for therapeutic techniques; and 0.641, 0.583, 0.742 for case management. It is likely that the low alpha levels for some of the therapeutic alliance and case management scores are because the number of items in each is too low to allow for reliable calculation of Cronbach’s alpha. However, the alphas for the therapeutic techniques scale suggest that the items reflect a single construct rather than containing divergent techniques.</w:t>
      </w:r>
    </w:p>
    <w:p w14:paraId="058C589C" w14:textId="006BB3BE" w:rsidR="00FD2A1D" w:rsidRPr="00EA0DC7" w:rsidRDefault="00B854C2" w:rsidP="00D5176F">
      <w:pPr>
        <w:pStyle w:val="Heading3"/>
      </w:pPr>
      <w:r w:rsidRPr="00EA0DC7">
        <w:t xml:space="preserve">4.4.2 </w:t>
      </w:r>
      <w:r w:rsidR="00FD2A1D" w:rsidRPr="00EA0DC7">
        <w:t>Supervision focus for different clinical conditions</w:t>
      </w:r>
    </w:p>
    <w:p w14:paraId="743001F4" w14:textId="2C8C404B" w:rsidR="00FD2A1D" w:rsidRPr="00EA0DC7" w:rsidRDefault="00FD2A1D" w:rsidP="00FD2A1D">
      <w:pPr>
        <w:widowControl w:val="0"/>
        <w:spacing w:after="0"/>
        <w:ind w:firstLine="720"/>
        <w:rPr>
          <w:rFonts w:cs="Arial"/>
        </w:rPr>
      </w:pPr>
      <w:r w:rsidRPr="00EA0DC7">
        <w:rPr>
          <w:rFonts w:cs="Arial"/>
        </w:rPr>
        <w:t xml:space="preserve">Addressing the first aim, overall patterns of supervision focus (alliance, CBT techniques, and case management issues) are shown in Table </w:t>
      </w:r>
      <w:r w:rsidR="00E702AF" w:rsidRPr="00EA0DC7">
        <w:rPr>
          <w:rFonts w:cs="Arial"/>
        </w:rPr>
        <w:t>4.</w:t>
      </w:r>
      <w:r w:rsidRPr="00EA0DC7">
        <w:rPr>
          <w:rFonts w:cs="Arial"/>
        </w:rPr>
        <w:t xml:space="preserve">1 for each case presentation.  The overall pattern was that the supervisors stated that they would focus their supervisees most on techniques and least on case management issues, with the level of focus on the alliance lying between those two. The ANOVAs showed that the type of case made no significant difference to the level of focus on the alliance or case management issues (all </w:t>
      </w:r>
      <w:r w:rsidRPr="00EA0DC7">
        <w:rPr>
          <w:rFonts w:cs="Arial"/>
          <w:i/>
        </w:rPr>
        <w:t>p</w:t>
      </w:r>
      <w:r w:rsidRPr="00EA0DC7">
        <w:rPr>
          <w:rFonts w:cs="Arial"/>
        </w:rPr>
        <w:t xml:space="preserve"> &gt; .05). However, there was a significant difference in the level of focus on evidence-based techniques, which the supervisors reported stressing least when the case presentation was relatively diffuse (</w:t>
      </w:r>
      <w:r w:rsidRPr="00EA0DC7">
        <w:rPr>
          <w:rFonts w:cs="Arial"/>
          <w:i/>
        </w:rPr>
        <w:t>F</w:t>
      </w:r>
      <w:r w:rsidRPr="00EA0DC7">
        <w:rPr>
          <w:rFonts w:cs="Arial"/>
        </w:rPr>
        <w:t xml:space="preserve">(2, 84) = 5.19, </w:t>
      </w:r>
      <w:r w:rsidRPr="00EA0DC7">
        <w:rPr>
          <w:rFonts w:cs="Arial"/>
          <w:i/>
        </w:rPr>
        <w:t>p</w:t>
      </w:r>
      <w:r w:rsidRPr="00EA0DC7">
        <w:rPr>
          <w:rFonts w:cs="Arial"/>
        </w:rPr>
        <w:t xml:space="preserve"> = .008</w:t>
      </w:r>
      <w:r w:rsidR="00AE3BA0" w:rsidRPr="00EA0DC7">
        <w:rPr>
          <w:rFonts w:cs="Arial"/>
        </w:rPr>
        <w:t xml:space="preserve">, partial </w:t>
      </w:r>
      <w:r w:rsidR="00AE3BA0" w:rsidRPr="00EA0DC7">
        <w:rPr>
          <w:rFonts w:cs="Arial"/>
          <w:i/>
        </w:rPr>
        <w:t>ɳ</w:t>
      </w:r>
      <w:r w:rsidR="00AE3BA0" w:rsidRPr="00EA0DC7">
        <w:rPr>
          <w:rFonts w:cs="Arial"/>
          <w:i/>
          <w:vertAlign w:val="superscript"/>
        </w:rPr>
        <w:t>2</w:t>
      </w:r>
      <w:r w:rsidR="00AE3BA0" w:rsidRPr="00EA0DC7">
        <w:rPr>
          <w:rFonts w:cs="Arial"/>
        </w:rPr>
        <w:t xml:space="preserve"> = .110</w:t>
      </w:r>
      <w:r w:rsidRPr="00EA0DC7">
        <w:rPr>
          <w:rFonts w:cs="Arial"/>
        </w:rPr>
        <w:t xml:space="preserve">). </w:t>
      </w:r>
    </w:p>
    <w:p w14:paraId="28CA147E" w14:textId="77777777" w:rsidR="00CA2F14" w:rsidRPr="00EA0DC7" w:rsidRDefault="00CA2F14">
      <w:pPr>
        <w:spacing w:line="276" w:lineRule="auto"/>
        <w:jc w:val="left"/>
        <w:rPr>
          <w:rFonts w:cs="Arial"/>
          <w:szCs w:val="24"/>
        </w:rPr>
      </w:pPr>
      <w:bookmarkStart w:id="145" w:name="_Ref395625263"/>
      <w:r w:rsidRPr="00EA0DC7">
        <w:rPr>
          <w:rFonts w:cs="Arial"/>
          <w:szCs w:val="24"/>
        </w:rPr>
        <w:br w:type="page"/>
      </w:r>
    </w:p>
    <w:p w14:paraId="4E5C8E17" w14:textId="77777777" w:rsidR="00CA2F14" w:rsidRPr="00EA0DC7" w:rsidRDefault="00CA2F14" w:rsidP="00E702AF">
      <w:pPr>
        <w:pStyle w:val="NoSpacing"/>
        <w:widowControl w:val="0"/>
        <w:rPr>
          <w:rFonts w:ascii="Arial" w:hAnsi="Arial" w:cs="Arial"/>
          <w:sz w:val="24"/>
          <w:szCs w:val="24"/>
        </w:rPr>
        <w:sectPr w:rsidR="00CA2F14" w:rsidRPr="00EA0DC7" w:rsidSect="005F181E">
          <w:headerReference w:type="default" r:id="rId26"/>
          <w:pgSz w:w="11906" w:h="16838"/>
          <w:pgMar w:top="1440" w:right="1440" w:bottom="1440" w:left="2268" w:header="709" w:footer="709" w:gutter="0"/>
          <w:cols w:space="708"/>
          <w:docGrid w:linePitch="360"/>
        </w:sectPr>
      </w:pPr>
    </w:p>
    <w:p w14:paraId="1FC9A176" w14:textId="20C14F65" w:rsidR="00E702AF" w:rsidRPr="00EA0DC7" w:rsidRDefault="008A7246" w:rsidP="008A7246">
      <w:pPr>
        <w:pStyle w:val="Captions"/>
        <w:rPr>
          <w:rFonts w:cs="Arial"/>
          <w:szCs w:val="24"/>
        </w:rPr>
      </w:pPr>
      <w:bookmarkStart w:id="146" w:name="_Toc47039927"/>
      <w:bookmarkEnd w:id="145"/>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4</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ANOVAs showing differences in overall supervision focus per case.</w:t>
      </w:r>
      <w:bookmarkEnd w:id="146"/>
    </w:p>
    <w:tbl>
      <w:tblPr>
        <w:tblW w:w="5000" w:type="pct"/>
        <w:tblLook w:val="04A0" w:firstRow="1" w:lastRow="0" w:firstColumn="1" w:lastColumn="0" w:noHBand="0" w:noVBand="1"/>
      </w:tblPr>
      <w:tblGrid>
        <w:gridCol w:w="2824"/>
        <w:gridCol w:w="2521"/>
        <w:gridCol w:w="1734"/>
        <w:gridCol w:w="1734"/>
        <w:gridCol w:w="860"/>
        <w:gridCol w:w="860"/>
        <w:gridCol w:w="3425"/>
      </w:tblGrid>
      <w:tr w:rsidR="00E702AF" w:rsidRPr="00EA0DC7" w14:paraId="07C9D9B0" w14:textId="77777777" w:rsidTr="003D674B">
        <w:trPr>
          <w:trHeight w:val="285"/>
        </w:trPr>
        <w:tc>
          <w:tcPr>
            <w:tcW w:w="1012" w:type="pct"/>
            <w:tcBorders>
              <w:top w:val="single" w:sz="4" w:space="0" w:color="auto"/>
              <w:left w:val="nil"/>
              <w:bottom w:val="nil"/>
              <w:right w:val="nil"/>
            </w:tcBorders>
            <w:shd w:val="clear" w:color="auto" w:fill="auto"/>
            <w:noWrap/>
            <w:vAlign w:val="bottom"/>
          </w:tcPr>
          <w:p w14:paraId="1543F1DA" w14:textId="77777777" w:rsidR="00E702AF" w:rsidRPr="00EA0DC7" w:rsidRDefault="00E702AF" w:rsidP="003D674B">
            <w:pPr>
              <w:widowControl w:val="0"/>
              <w:spacing w:before="240"/>
              <w:jc w:val="center"/>
              <w:rPr>
                <w:rFonts w:eastAsia="Times New Roman" w:cs="Arial"/>
                <w:szCs w:val="24"/>
              </w:rPr>
            </w:pPr>
            <w:r w:rsidRPr="00EA0DC7">
              <w:rPr>
                <w:rFonts w:eastAsia="Times New Roman" w:cs="Arial"/>
                <w:szCs w:val="24"/>
              </w:rPr>
              <w:t> </w:t>
            </w:r>
          </w:p>
        </w:tc>
        <w:tc>
          <w:tcPr>
            <w:tcW w:w="2144" w:type="pct"/>
            <w:gridSpan w:val="3"/>
            <w:tcBorders>
              <w:top w:val="single" w:sz="4" w:space="0" w:color="auto"/>
              <w:left w:val="nil"/>
              <w:bottom w:val="single" w:sz="4" w:space="0" w:color="auto"/>
              <w:right w:val="nil"/>
            </w:tcBorders>
            <w:shd w:val="clear" w:color="auto" w:fill="auto"/>
            <w:noWrap/>
            <w:vAlign w:val="bottom"/>
          </w:tcPr>
          <w:p w14:paraId="6AA204B2"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Patient Type</w:t>
            </w:r>
          </w:p>
        </w:tc>
        <w:tc>
          <w:tcPr>
            <w:tcW w:w="308" w:type="pct"/>
            <w:tcBorders>
              <w:top w:val="single" w:sz="4" w:space="0" w:color="auto"/>
              <w:left w:val="nil"/>
              <w:bottom w:val="single" w:sz="4" w:space="0" w:color="auto"/>
              <w:right w:val="nil"/>
            </w:tcBorders>
            <w:shd w:val="clear" w:color="auto" w:fill="auto"/>
            <w:noWrap/>
            <w:vAlign w:val="bottom"/>
          </w:tcPr>
          <w:p w14:paraId="649B0BF6"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 </w:t>
            </w:r>
          </w:p>
        </w:tc>
        <w:tc>
          <w:tcPr>
            <w:tcW w:w="1536" w:type="pct"/>
            <w:gridSpan w:val="2"/>
            <w:tcBorders>
              <w:top w:val="single" w:sz="4" w:space="0" w:color="auto"/>
              <w:left w:val="nil"/>
              <w:bottom w:val="single" w:sz="4" w:space="0" w:color="auto"/>
              <w:right w:val="nil"/>
            </w:tcBorders>
            <w:shd w:val="clear" w:color="auto" w:fill="auto"/>
            <w:noWrap/>
            <w:vAlign w:val="bottom"/>
          </w:tcPr>
          <w:p w14:paraId="2B26BA67"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ANOVA</w:t>
            </w:r>
          </w:p>
        </w:tc>
      </w:tr>
      <w:tr w:rsidR="00E702AF" w:rsidRPr="00EA0DC7" w14:paraId="1EF05E3B" w14:textId="77777777" w:rsidTr="003D674B">
        <w:trPr>
          <w:trHeight w:val="300"/>
        </w:trPr>
        <w:tc>
          <w:tcPr>
            <w:tcW w:w="1012" w:type="pct"/>
            <w:tcBorders>
              <w:top w:val="nil"/>
              <w:left w:val="nil"/>
              <w:bottom w:val="single" w:sz="4" w:space="0" w:color="auto"/>
              <w:right w:val="nil"/>
            </w:tcBorders>
            <w:shd w:val="clear" w:color="auto" w:fill="auto"/>
            <w:noWrap/>
            <w:vAlign w:val="bottom"/>
          </w:tcPr>
          <w:p w14:paraId="65B0E75D" w14:textId="77777777" w:rsidR="00E702AF" w:rsidRPr="00EA0DC7" w:rsidRDefault="00E702AF" w:rsidP="003D674B">
            <w:pPr>
              <w:widowControl w:val="0"/>
              <w:spacing w:before="240"/>
              <w:jc w:val="center"/>
              <w:rPr>
                <w:rFonts w:eastAsia="Times New Roman" w:cs="Arial"/>
                <w:szCs w:val="24"/>
              </w:rPr>
            </w:pPr>
            <w:r w:rsidRPr="00EA0DC7">
              <w:rPr>
                <w:rFonts w:eastAsia="Times New Roman" w:cs="Arial"/>
                <w:szCs w:val="24"/>
              </w:rPr>
              <w:t> </w:t>
            </w:r>
          </w:p>
        </w:tc>
        <w:tc>
          <w:tcPr>
            <w:tcW w:w="903" w:type="pct"/>
            <w:tcBorders>
              <w:top w:val="nil"/>
              <w:left w:val="nil"/>
              <w:bottom w:val="single" w:sz="4" w:space="0" w:color="auto"/>
              <w:right w:val="nil"/>
            </w:tcBorders>
            <w:shd w:val="clear" w:color="auto" w:fill="auto"/>
            <w:noWrap/>
            <w:vAlign w:val="bottom"/>
          </w:tcPr>
          <w:p w14:paraId="4EA8BDFD"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Straightforward</w:t>
            </w:r>
          </w:p>
          <w:p w14:paraId="3A8D7FA2"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(1)</w:t>
            </w:r>
          </w:p>
        </w:tc>
        <w:tc>
          <w:tcPr>
            <w:tcW w:w="621" w:type="pct"/>
            <w:tcBorders>
              <w:top w:val="nil"/>
              <w:left w:val="nil"/>
              <w:bottom w:val="single" w:sz="4" w:space="0" w:color="auto"/>
              <w:right w:val="nil"/>
            </w:tcBorders>
            <w:shd w:val="clear" w:color="auto" w:fill="auto"/>
            <w:noWrap/>
            <w:vAlign w:val="bottom"/>
          </w:tcPr>
          <w:p w14:paraId="616632D4"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Diffuse</w:t>
            </w:r>
          </w:p>
          <w:p w14:paraId="28B8EC13"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(2)</w:t>
            </w:r>
          </w:p>
        </w:tc>
        <w:tc>
          <w:tcPr>
            <w:tcW w:w="621" w:type="pct"/>
            <w:tcBorders>
              <w:top w:val="nil"/>
              <w:left w:val="nil"/>
              <w:bottom w:val="single" w:sz="4" w:space="0" w:color="auto"/>
              <w:right w:val="nil"/>
            </w:tcBorders>
            <w:shd w:val="clear" w:color="auto" w:fill="auto"/>
            <w:noWrap/>
            <w:vAlign w:val="bottom"/>
          </w:tcPr>
          <w:p w14:paraId="59454E72"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Complex</w:t>
            </w:r>
          </w:p>
          <w:p w14:paraId="52DF586F"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(3)</w:t>
            </w:r>
          </w:p>
        </w:tc>
        <w:tc>
          <w:tcPr>
            <w:tcW w:w="308" w:type="pct"/>
            <w:tcBorders>
              <w:top w:val="nil"/>
              <w:left w:val="nil"/>
              <w:bottom w:val="single" w:sz="4" w:space="0" w:color="auto"/>
              <w:right w:val="nil"/>
            </w:tcBorders>
            <w:shd w:val="clear" w:color="auto" w:fill="auto"/>
            <w:noWrap/>
            <w:vAlign w:val="bottom"/>
          </w:tcPr>
          <w:p w14:paraId="5D507F2D" w14:textId="77777777" w:rsidR="00E702AF" w:rsidRPr="00EA0DC7" w:rsidRDefault="00E702AF" w:rsidP="003D674B">
            <w:pPr>
              <w:widowControl w:val="0"/>
              <w:spacing w:before="240"/>
              <w:jc w:val="center"/>
              <w:rPr>
                <w:rFonts w:eastAsia="Times New Roman" w:cs="Arial"/>
                <w:b/>
                <w:i/>
                <w:szCs w:val="24"/>
              </w:rPr>
            </w:pPr>
            <w:r w:rsidRPr="00EA0DC7">
              <w:rPr>
                <w:rFonts w:eastAsia="Times New Roman" w:cs="Arial"/>
                <w:b/>
                <w:i/>
                <w:szCs w:val="24"/>
              </w:rPr>
              <w:t>F</w:t>
            </w:r>
          </w:p>
        </w:tc>
        <w:tc>
          <w:tcPr>
            <w:tcW w:w="308" w:type="pct"/>
            <w:tcBorders>
              <w:top w:val="nil"/>
              <w:left w:val="nil"/>
              <w:bottom w:val="single" w:sz="4" w:space="0" w:color="auto"/>
              <w:right w:val="nil"/>
            </w:tcBorders>
            <w:shd w:val="clear" w:color="auto" w:fill="auto"/>
            <w:noWrap/>
            <w:vAlign w:val="bottom"/>
          </w:tcPr>
          <w:p w14:paraId="742BCDEA" w14:textId="6AF9D892" w:rsidR="00E702AF" w:rsidRPr="00EA0DC7" w:rsidRDefault="00B854C2" w:rsidP="003D674B">
            <w:pPr>
              <w:widowControl w:val="0"/>
              <w:spacing w:before="240"/>
              <w:jc w:val="center"/>
              <w:rPr>
                <w:rFonts w:eastAsia="Times New Roman" w:cs="Arial"/>
                <w:b/>
                <w:i/>
                <w:szCs w:val="24"/>
              </w:rPr>
            </w:pPr>
            <w:r w:rsidRPr="00EA0DC7">
              <w:rPr>
                <w:rFonts w:eastAsia="Times New Roman" w:cs="Arial"/>
                <w:b/>
                <w:i/>
                <w:szCs w:val="24"/>
              </w:rPr>
              <w:t>p</w:t>
            </w:r>
          </w:p>
        </w:tc>
        <w:tc>
          <w:tcPr>
            <w:tcW w:w="1227" w:type="pct"/>
            <w:tcBorders>
              <w:top w:val="nil"/>
              <w:left w:val="nil"/>
              <w:bottom w:val="single" w:sz="4" w:space="0" w:color="auto"/>
              <w:right w:val="nil"/>
            </w:tcBorders>
            <w:shd w:val="clear" w:color="auto" w:fill="auto"/>
            <w:noWrap/>
            <w:vAlign w:val="bottom"/>
          </w:tcPr>
          <w:p w14:paraId="4F8791C7" w14:textId="77777777" w:rsidR="00E702AF" w:rsidRPr="00EA0DC7" w:rsidRDefault="00E702AF" w:rsidP="003D674B">
            <w:pPr>
              <w:widowControl w:val="0"/>
              <w:spacing w:before="240"/>
              <w:jc w:val="center"/>
              <w:rPr>
                <w:rFonts w:eastAsia="Times New Roman" w:cs="Arial"/>
                <w:b/>
                <w:szCs w:val="24"/>
              </w:rPr>
            </w:pPr>
            <w:r w:rsidRPr="00EA0DC7">
              <w:rPr>
                <w:rFonts w:eastAsia="Times New Roman" w:cs="Arial"/>
                <w:b/>
                <w:szCs w:val="24"/>
              </w:rPr>
              <w:t>Multiple Comparisons</w:t>
            </w:r>
          </w:p>
        </w:tc>
      </w:tr>
      <w:tr w:rsidR="00E702AF" w:rsidRPr="00EA0DC7" w14:paraId="41E96CEE" w14:textId="77777777" w:rsidTr="003D674B">
        <w:trPr>
          <w:trHeight w:val="330"/>
        </w:trPr>
        <w:tc>
          <w:tcPr>
            <w:tcW w:w="1012" w:type="pct"/>
            <w:tcBorders>
              <w:top w:val="nil"/>
              <w:left w:val="nil"/>
              <w:bottom w:val="nil"/>
              <w:right w:val="nil"/>
            </w:tcBorders>
            <w:shd w:val="clear" w:color="auto" w:fill="auto"/>
            <w:noWrap/>
            <w:vAlign w:val="bottom"/>
          </w:tcPr>
          <w:p w14:paraId="065BB63C" w14:textId="77777777" w:rsidR="00E702AF" w:rsidRPr="00EA0DC7" w:rsidRDefault="00E702AF" w:rsidP="003D674B">
            <w:pPr>
              <w:widowControl w:val="0"/>
              <w:spacing w:before="240" w:after="0"/>
              <w:rPr>
                <w:rFonts w:eastAsia="Times New Roman" w:cs="Arial"/>
                <w:szCs w:val="24"/>
              </w:rPr>
            </w:pPr>
            <w:r w:rsidRPr="00EA0DC7">
              <w:rPr>
                <w:rFonts w:eastAsia="Times New Roman" w:cs="Arial"/>
                <w:szCs w:val="24"/>
              </w:rPr>
              <w:t>Alliance</w:t>
            </w:r>
          </w:p>
        </w:tc>
        <w:tc>
          <w:tcPr>
            <w:tcW w:w="903" w:type="pct"/>
            <w:tcBorders>
              <w:top w:val="nil"/>
              <w:left w:val="nil"/>
              <w:bottom w:val="nil"/>
              <w:right w:val="nil"/>
            </w:tcBorders>
            <w:shd w:val="clear" w:color="auto" w:fill="auto"/>
            <w:noWrap/>
            <w:vAlign w:val="bottom"/>
          </w:tcPr>
          <w:p w14:paraId="076AC323"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50.0 (25.9)</w:t>
            </w:r>
          </w:p>
        </w:tc>
        <w:tc>
          <w:tcPr>
            <w:tcW w:w="621" w:type="pct"/>
            <w:tcBorders>
              <w:top w:val="nil"/>
              <w:left w:val="nil"/>
              <w:bottom w:val="nil"/>
              <w:right w:val="nil"/>
            </w:tcBorders>
            <w:shd w:val="clear" w:color="auto" w:fill="auto"/>
            <w:noWrap/>
            <w:vAlign w:val="bottom"/>
          </w:tcPr>
          <w:p w14:paraId="25CCD70E"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46.4 (24.2)</w:t>
            </w:r>
          </w:p>
        </w:tc>
        <w:tc>
          <w:tcPr>
            <w:tcW w:w="621" w:type="pct"/>
            <w:tcBorders>
              <w:top w:val="nil"/>
              <w:left w:val="nil"/>
              <w:bottom w:val="nil"/>
              <w:right w:val="nil"/>
            </w:tcBorders>
            <w:shd w:val="clear" w:color="auto" w:fill="auto"/>
            <w:noWrap/>
            <w:vAlign w:val="bottom"/>
          </w:tcPr>
          <w:p w14:paraId="3E62F68C"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54.9 (27.1)</w:t>
            </w:r>
          </w:p>
        </w:tc>
        <w:tc>
          <w:tcPr>
            <w:tcW w:w="308" w:type="pct"/>
            <w:tcBorders>
              <w:top w:val="nil"/>
              <w:left w:val="nil"/>
              <w:bottom w:val="nil"/>
              <w:right w:val="nil"/>
            </w:tcBorders>
            <w:shd w:val="clear" w:color="auto" w:fill="auto"/>
            <w:noWrap/>
            <w:vAlign w:val="bottom"/>
          </w:tcPr>
          <w:p w14:paraId="7599371E"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2.92</w:t>
            </w:r>
          </w:p>
        </w:tc>
        <w:tc>
          <w:tcPr>
            <w:tcW w:w="308" w:type="pct"/>
            <w:tcBorders>
              <w:top w:val="nil"/>
              <w:left w:val="nil"/>
              <w:bottom w:val="nil"/>
              <w:right w:val="nil"/>
            </w:tcBorders>
            <w:shd w:val="clear" w:color="auto" w:fill="auto"/>
            <w:noWrap/>
            <w:vAlign w:val="bottom"/>
          </w:tcPr>
          <w:p w14:paraId="11E46712"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.071</w:t>
            </w:r>
          </w:p>
        </w:tc>
        <w:tc>
          <w:tcPr>
            <w:tcW w:w="1227" w:type="pct"/>
            <w:tcBorders>
              <w:top w:val="nil"/>
              <w:left w:val="nil"/>
              <w:bottom w:val="nil"/>
              <w:right w:val="nil"/>
            </w:tcBorders>
            <w:shd w:val="clear" w:color="auto" w:fill="auto"/>
            <w:noWrap/>
            <w:vAlign w:val="bottom"/>
          </w:tcPr>
          <w:p w14:paraId="0252EA0C"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w:t>
            </w:r>
          </w:p>
        </w:tc>
      </w:tr>
      <w:tr w:rsidR="00E702AF" w:rsidRPr="00EA0DC7" w14:paraId="017C083A" w14:textId="77777777" w:rsidTr="003D674B">
        <w:trPr>
          <w:trHeight w:val="300"/>
        </w:trPr>
        <w:tc>
          <w:tcPr>
            <w:tcW w:w="1012" w:type="pct"/>
            <w:tcBorders>
              <w:top w:val="nil"/>
              <w:left w:val="nil"/>
              <w:bottom w:val="nil"/>
              <w:right w:val="nil"/>
            </w:tcBorders>
            <w:shd w:val="clear" w:color="auto" w:fill="auto"/>
            <w:noWrap/>
            <w:vAlign w:val="bottom"/>
          </w:tcPr>
          <w:p w14:paraId="3304C480" w14:textId="77777777" w:rsidR="00E702AF" w:rsidRPr="00EA0DC7" w:rsidRDefault="00E702AF" w:rsidP="00C66F02">
            <w:pPr>
              <w:widowControl w:val="0"/>
              <w:spacing w:after="0"/>
              <w:rPr>
                <w:rFonts w:eastAsia="Times New Roman" w:cs="Arial"/>
                <w:szCs w:val="24"/>
              </w:rPr>
            </w:pPr>
            <w:r w:rsidRPr="00EA0DC7">
              <w:rPr>
                <w:rFonts w:eastAsia="Times New Roman" w:cs="Arial"/>
                <w:szCs w:val="24"/>
              </w:rPr>
              <w:t>Techniques</w:t>
            </w:r>
          </w:p>
        </w:tc>
        <w:tc>
          <w:tcPr>
            <w:tcW w:w="903" w:type="pct"/>
            <w:tcBorders>
              <w:top w:val="nil"/>
              <w:left w:val="nil"/>
              <w:bottom w:val="nil"/>
              <w:right w:val="nil"/>
            </w:tcBorders>
            <w:shd w:val="clear" w:color="auto" w:fill="auto"/>
            <w:noWrap/>
            <w:vAlign w:val="bottom"/>
          </w:tcPr>
          <w:p w14:paraId="58F32B67"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70.0 (22.0)</w:t>
            </w:r>
          </w:p>
        </w:tc>
        <w:tc>
          <w:tcPr>
            <w:tcW w:w="621" w:type="pct"/>
            <w:tcBorders>
              <w:top w:val="nil"/>
              <w:left w:val="nil"/>
              <w:bottom w:val="nil"/>
              <w:right w:val="nil"/>
            </w:tcBorders>
            <w:shd w:val="clear" w:color="auto" w:fill="auto"/>
            <w:noWrap/>
            <w:vAlign w:val="bottom"/>
          </w:tcPr>
          <w:p w14:paraId="03D50482"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58.6 (27.0)</w:t>
            </w:r>
          </w:p>
        </w:tc>
        <w:tc>
          <w:tcPr>
            <w:tcW w:w="621" w:type="pct"/>
            <w:tcBorders>
              <w:top w:val="nil"/>
              <w:left w:val="nil"/>
              <w:bottom w:val="nil"/>
              <w:right w:val="nil"/>
            </w:tcBorders>
            <w:shd w:val="clear" w:color="auto" w:fill="auto"/>
            <w:noWrap/>
            <w:vAlign w:val="bottom"/>
          </w:tcPr>
          <w:p w14:paraId="1E1AACE5"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68.6 (24.7)</w:t>
            </w:r>
          </w:p>
        </w:tc>
        <w:tc>
          <w:tcPr>
            <w:tcW w:w="308" w:type="pct"/>
            <w:tcBorders>
              <w:top w:val="nil"/>
              <w:left w:val="nil"/>
              <w:bottom w:val="nil"/>
              <w:right w:val="nil"/>
            </w:tcBorders>
            <w:shd w:val="clear" w:color="auto" w:fill="auto"/>
            <w:noWrap/>
            <w:vAlign w:val="bottom"/>
          </w:tcPr>
          <w:p w14:paraId="0067937A"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5.19</w:t>
            </w:r>
          </w:p>
        </w:tc>
        <w:tc>
          <w:tcPr>
            <w:tcW w:w="308" w:type="pct"/>
            <w:tcBorders>
              <w:top w:val="nil"/>
              <w:left w:val="nil"/>
              <w:bottom w:val="nil"/>
              <w:right w:val="nil"/>
            </w:tcBorders>
            <w:shd w:val="clear" w:color="auto" w:fill="auto"/>
            <w:noWrap/>
            <w:vAlign w:val="bottom"/>
          </w:tcPr>
          <w:p w14:paraId="20917156"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.008</w:t>
            </w:r>
          </w:p>
        </w:tc>
        <w:tc>
          <w:tcPr>
            <w:tcW w:w="1227" w:type="pct"/>
            <w:tcBorders>
              <w:top w:val="nil"/>
              <w:left w:val="nil"/>
              <w:bottom w:val="nil"/>
              <w:right w:val="nil"/>
            </w:tcBorders>
            <w:shd w:val="clear" w:color="auto" w:fill="auto"/>
            <w:noWrap/>
            <w:vAlign w:val="bottom"/>
          </w:tcPr>
          <w:p w14:paraId="06B5A4B3"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1 = 3 &gt; 2</w:t>
            </w:r>
          </w:p>
        </w:tc>
      </w:tr>
      <w:tr w:rsidR="00E702AF" w:rsidRPr="00EA0DC7" w14:paraId="16C2F36A" w14:textId="77777777" w:rsidTr="003D674B">
        <w:trPr>
          <w:trHeight w:val="300"/>
        </w:trPr>
        <w:tc>
          <w:tcPr>
            <w:tcW w:w="1012" w:type="pct"/>
            <w:tcBorders>
              <w:top w:val="nil"/>
              <w:left w:val="nil"/>
              <w:bottom w:val="single" w:sz="4" w:space="0" w:color="auto"/>
              <w:right w:val="nil"/>
            </w:tcBorders>
            <w:shd w:val="clear" w:color="auto" w:fill="auto"/>
            <w:noWrap/>
            <w:vAlign w:val="bottom"/>
          </w:tcPr>
          <w:p w14:paraId="0E543818" w14:textId="580A52FD" w:rsidR="00E702AF" w:rsidRPr="00EA0DC7" w:rsidRDefault="00E702AF" w:rsidP="00C66F02">
            <w:pPr>
              <w:widowControl w:val="0"/>
              <w:spacing w:after="0"/>
              <w:rPr>
                <w:rFonts w:eastAsia="Times New Roman" w:cs="Arial"/>
                <w:szCs w:val="24"/>
              </w:rPr>
            </w:pPr>
            <w:r w:rsidRPr="00EA0DC7">
              <w:rPr>
                <w:rFonts w:eastAsia="Times New Roman" w:cs="Arial"/>
                <w:szCs w:val="24"/>
              </w:rPr>
              <w:t>Case</w:t>
            </w:r>
            <w:r w:rsidR="00E47303" w:rsidRPr="00EA0DC7">
              <w:rPr>
                <w:rFonts w:eastAsia="Times New Roman" w:cs="Arial"/>
                <w:szCs w:val="24"/>
              </w:rPr>
              <w:t xml:space="preserve"> </w:t>
            </w:r>
            <w:r w:rsidRPr="00EA0DC7">
              <w:rPr>
                <w:rFonts w:eastAsia="Times New Roman" w:cs="Arial"/>
                <w:szCs w:val="24"/>
              </w:rPr>
              <w:t>Management</w:t>
            </w:r>
          </w:p>
        </w:tc>
        <w:tc>
          <w:tcPr>
            <w:tcW w:w="903" w:type="pct"/>
            <w:tcBorders>
              <w:top w:val="nil"/>
              <w:left w:val="nil"/>
              <w:bottom w:val="single" w:sz="4" w:space="0" w:color="auto"/>
              <w:right w:val="nil"/>
            </w:tcBorders>
            <w:shd w:val="clear" w:color="auto" w:fill="auto"/>
            <w:noWrap/>
            <w:vAlign w:val="center"/>
          </w:tcPr>
          <w:p w14:paraId="4FF8ABD6"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35.1 (24.6)</w:t>
            </w:r>
          </w:p>
        </w:tc>
        <w:tc>
          <w:tcPr>
            <w:tcW w:w="621" w:type="pct"/>
            <w:tcBorders>
              <w:top w:val="nil"/>
              <w:left w:val="nil"/>
              <w:bottom w:val="single" w:sz="4" w:space="0" w:color="auto"/>
              <w:right w:val="nil"/>
            </w:tcBorders>
            <w:shd w:val="clear" w:color="auto" w:fill="auto"/>
            <w:noWrap/>
            <w:vAlign w:val="center"/>
          </w:tcPr>
          <w:p w14:paraId="11E52226"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44.6 (28.7)</w:t>
            </w:r>
          </w:p>
        </w:tc>
        <w:tc>
          <w:tcPr>
            <w:tcW w:w="621" w:type="pct"/>
            <w:tcBorders>
              <w:top w:val="nil"/>
              <w:left w:val="nil"/>
              <w:bottom w:val="single" w:sz="4" w:space="0" w:color="auto"/>
              <w:right w:val="nil"/>
            </w:tcBorders>
            <w:shd w:val="clear" w:color="auto" w:fill="auto"/>
            <w:noWrap/>
            <w:vAlign w:val="center"/>
          </w:tcPr>
          <w:p w14:paraId="1E5BCF18"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42.6 (23.7)</w:t>
            </w:r>
          </w:p>
        </w:tc>
        <w:tc>
          <w:tcPr>
            <w:tcW w:w="308" w:type="pct"/>
            <w:tcBorders>
              <w:top w:val="nil"/>
              <w:left w:val="nil"/>
              <w:bottom w:val="single" w:sz="4" w:space="0" w:color="auto"/>
              <w:right w:val="nil"/>
            </w:tcBorders>
            <w:shd w:val="clear" w:color="auto" w:fill="auto"/>
            <w:noWrap/>
            <w:vAlign w:val="center"/>
          </w:tcPr>
          <w:p w14:paraId="4324838A"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2.71</w:t>
            </w:r>
          </w:p>
        </w:tc>
        <w:tc>
          <w:tcPr>
            <w:tcW w:w="308" w:type="pct"/>
            <w:tcBorders>
              <w:top w:val="nil"/>
              <w:left w:val="nil"/>
              <w:bottom w:val="single" w:sz="4" w:space="0" w:color="auto"/>
              <w:right w:val="nil"/>
            </w:tcBorders>
            <w:shd w:val="clear" w:color="auto" w:fill="auto"/>
            <w:noWrap/>
            <w:vAlign w:val="center"/>
          </w:tcPr>
          <w:p w14:paraId="6AD72B55"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.073</w:t>
            </w:r>
          </w:p>
        </w:tc>
        <w:tc>
          <w:tcPr>
            <w:tcW w:w="1227" w:type="pct"/>
            <w:tcBorders>
              <w:top w:val="nil"/>
              <w:left w:val="nil"/>
              <w:bottom w:val="single" w:sz="4" w:space="0" w:color="auto"/>
              <w:right w:val="nil"/>
            </w:tcBorders>
            <w:shd w:val="clear" w:color="auto" w:fill="auto"/>
            <w:noWrap/>
            <w:vAlign w:val="center"/>
          </w:tcPr>
          <w:p w14:paraId="5BA652CA" w14:textId="77777777" w:rsidR="00E702AF" w:rsidRPr="00EA0DC7" w:rsidRDefault="00E702AF" w:rsidP="00C66F02">
            <w:pPr>
              <w:widowControl w:val="0"/>
              <w:spacing w:after="0"/>
              <w:jc w:val="center"/>
              <w:rPr>
                <w:rFonts w:eastAsia="Times New Roman" w:cs="Arial"/>
                <w:szCs w:val="24"/>
              </w:rPr>
            </w:pPr>
            <w:r w:rsidRPr="00EA0DC7">
              <w:rPr>
                <w:rFonts w:eastAsia="Times New Roman" w:cs="Arial"/>
                <w:szCs w:val="24"/>
              </w:rPr>
              <w:t>-</w:t>
            </w:r>
          </w:p>
        </w:tc>
      </w:tr>
    </w:tbl>
    <w:p w14:paraId="27849874" w14:textId="77777777" w:rsidR="00CA2F14" w:rsidRPr="00EA0DC7" w:rsidRDefault="00CA2F14" w:rsidP="000F2707">
      <w:pPr>
        <w:sectPr w:rsidR="00CA2F14" w:rsidRPr="00EA0DC7" w:rsidSect="00216A42">
          <w:pgSz w:w="16838" w:h="11906" w:orient="landscape"/>
          <w:pgMar w:top="1440" w:right="1440" w:bottom="2268" w:left="1440" w:header="709" w:footer="709" w:gutter="0"/>
          <w:cols w:space="708"/>
          <w:docGrid w:linePitch="360"/>
        </w:sectPr>
      </w:pPr>
    </w:p>
    <w:p w14:paraId="1D229B35" w14:textId="56B62E0A" w:rsidR="00FD2A1D" w:rsidRPr="00EA0DC7" w:rsidRDefault="00B854C2" w:rsidP="00D5176F">
      <w:pPr>
        <w:pStyle w:val="Heading3"/>
      </w:pPr>
      <w:r w:rsidRPr="00EA0DC7">
        <w:lastRenderedPageBreak/>
        <w:t xml:space="preserve">4.4.3 </w:t>
      </w:r>
      <w:r w:rsidR="00FD2A1D" w:rsidRPr="00EA0DC7">
        <w:t>Supervision styles when delivering CBT for depression</w:t>
      </w:r>
    </w:p>
    <w:p w14:paraId="53A901E4" w14:textId="0A365D70" w:rsidR="00FD2A1D" w:rsidRPr="00EA0DC7" w:rsidRDefault="00FD2A1D" w:rsidP="00FD2A1D">
      <w:pPr>
        <w:widowControl w:val="0"/>
        <w:spacing w:after="0"/>
        <w:ind w:firstLine="720"/>
        <w:rPr>
          <w:rFonts w:cs="Arial"/>
        </w:rPr>
      </w:pPr>
      <w:r w:rsidRPr="00EA0DC7">
        <w:rPr>
          <w:rFonts w:cs="Arial"/>
        </w:rPr>
        <w:t xml:space="preserve">The second aim was to </w:t>
      </w:r>
      <w:r w:rsidR="00E47303" w:rsidRPr="00EA0DC7">
        <w:rPr>
          <w:rFonts w:cs="Arial"/>
        </w:rPr>
        <w:t>determine</w:t>
      </w:r>
      <w:r w:rsidRPr="00EA0DC7">
        <w:rPr>
          <w:rFonts w:cs="Arial"/>
        </w:rPr>
        <w:t xml:space="preserve"> whether there are different natural patterns of supervisory practice. Using the supervisors’ overall scores on the degree to which they would focus on different therapy elements (alliance, techniques, case management), two-step cluster analysis provided a three-cluster solution. The first cluster (33.3% of the sample) were supervisors who indicated that they spend little time on any of the aspects of supervision. Therefore, they are referred to as </w:t>
      </w:r>
      <w:r w:rsidR="002412D3" w:rsidRPr="00EA0DC7">
        <w:rPr>
          <w:rFonts w:cs="Arial"/>
          <w:i/>
        </w:rPr>
        <w:t>Unfocused</w:t>
      </w:r>
      <w:r w:rsidRPr="00EA0DC7">
        <w:rPr>
          <w:rFonts w:cs="Arial"/>
        </w:rPr>
        <w:t xml:space="preserve">. The second cluster (23.8% of the sample) consisted of supervisors who mainly focused on topics of supervision other than alliance and technique. They are referred to as </w:t>
      </w:r>
      <w:r w:rsidRPr="00EA0DC7">
        <w:rPr>
          <w:rFonts w:cs="Arial"/>
          <w:i/>
        </w:rPr>
        <w:t>Case Management-Focused</w:t>
      </w:r>
      <w:r w:rsidRPr="00EA0DC7">
        <w:rPr>
          <w:rFonts w:cs="Arial"/>
        </w:rPr>
        <w:t>. The final, and largest, cluster (42.9% of the sample) consisted of supervisors who focused on both the therapeutic alliance and therapeutic technique</w:t>
      </w:r>
      <w:r w:rsidR="002412D3" w:rsidRPr="00EA0DC7">
        <w:rPr>
          <w:rFonts w:cs="Arial"/>
        </w:rPr>
        <w:t xml:space="preserve">s. They are therefore labelled </w:t>
      </w:r>
      <w:r w:rsidRPr="00EA0DC7">
        <w:rPr>
          <w:rFonts w:cs="Arial"/>
          <w:i/>
        </w:rPr>
        <w:t>Alliance- and Technique-Focused</w:t>
      </w:r>
      <w:r w:rsidRPr="00EA0DC7">
        <w:rPr>
          <w:rFonts w:cs="Arial"/>
        </w:rPr>
        <w:t>.</w:t>
      </w:r>
    </w:p>
    <w:p w14:paraId="2A27E1F4" w14:textId="3BA0AEB3" w:rsidR="008A7246" w:rsidRPr="00EA0DC7" w:rsidRDefault="008A7246" w:rsidP="008A7246">
      <w:pPr>
        <w:pStyle w:val="Heading4"/>
        <w:rPr>
          <w:rFonts w:cs="Arial"/>
        </w:rPr>
      </w:pPr>
      <w:r w:rsidRPr="00EA0DC7">
        <w:rPr>
          <w:rStyle w:val="Heading4Char"/>
          <w:i/>
        </w:rPr>
        <w:t xml:space="preserve">4.4.3.1 </w:t>
      </w:r>
      <w:r w:rsidR="00FD2A1D" w:rsidRPr="00EA0DC7">
        <w:rPr>
          <w:rStyle w:val="Heading4Char"/>
          <w:i/>
        </w:rPr>
        <w:t>Clinical validation of the clusters.</w:t>
      </w:r>
      <w:r w:rsidR="00FD2A1D" w:rsidRPr="00EA0DC7">
        <w:rPr>
          <w:rFonts w:cs="Arial"/>
        </w:rPr>
        <w:t xml:space="preserve"> </w:t>
      </w:r>
    </w:p>
    <w:p w14:paraId="15BA662A" w14:textId="01EADCDE" w:rsidR="00FD2A1D" w:rsidRPr="00EA0DC7" w:rsidRDefault="00FD2A1D" w:rsidP="00FD2A1D">
      <w:pPr>
        <w:spacing w:after="0"/>
        <w:ind w:firstLine="720"/>
        <w:rPr>
          <w:rFonts w:cs="Arial"/>
        </w:rPr>
      </w:pPr>
      <w:r w:rsidRPr="00EA0DC7">
        <w:rPr>
          <w:rFonts w:cs="Arial"/>
        </w:rPr>
        <w:t xml:space="preserve">Using one-way ANOVAs, the three clusters were compared on participant characteristics (Table </w:t>
      </w:r>
      <w:r w:rsidR="00E702AF" w:rsidRPr="00EA0DC7">
        <w:rPr>
          <w:rFonts w:cs="Arial"/>
        </w:rPr>
        <w:t>4.</w:t>
      </w:r>
      <w:r w:rsidRPr="00EA0DC7">
        <w:rPr>
          <w:rFonts w:cs="Arial"/>
        </w:rPr>
        <w:t xml:space="preserve">2). Relative to the </w:t>
      </w:r>
      <w:r w:rsidRPr="00EA0DC7">
        <w:rPr>
          <w:rFonts w:cs="Arial"/>
          <w:i/>
        </w:rPr>
        <w:t xml:space="preserve">Unfocused </w:t>
      </w:r>
      <w:r w:rsidRPr="00EA0DC7">
        <w:rPr>
          <w:rFonts w:cs="Arial"/>
        </w:rPr>
        <w:t xml:space="preserve">group, the individuals who were </w:t>
      </w:r>
      <w:r w:rsidRPr="00EA0DC7">
        <w:rPr>
          <w:rFonts w:cs="Arial"/>
          <w:i/>
        </w:rPr>
        <w:t>Case Management-Focused</w:t>
      </w:r>
      <w:r w:rsidRPr="00EA0DC7">
        <w:rPr>
          <w:rFonts w:cs="Arial"/>
        </w:rPr>
        <w:t xml:space="preserve"> had been qualified (</w:t>
      </w:r>
      <w:r w:rsidRPr="00EA0DC7">
        <w:rPr>
          <w:rFonts w:cs="Arial"/>
          <w:i/>
        </w:rPr>
        <w:t>F</w:t>
      </w:r>
      <w:r w:rsidRPr="00EA0DC7">
        <w:rPr>
          <w:rFonts w:cs="Arial"/>
        </w:rPr>
        <w:t xml:space="preserve">(2, 39) = 6.11, </w:t>
      </w:r>
      <w:r w:rsidRPr="00EA0DC7">
        <w:rPr>
          <w:rFonts w:cs="Arial"/>
          <w:i/>
        </w:rPr>
        <w:t>p</w:t>
      </w:r>
      <w:r w:rsidRPr="00EA0DC7">
        <w:rPr>
          <w:rFonts w:cs="Arial"/>
        </w:rPr>
        <w:t xml:space="preserve"> = .005), accredited (</w:t>
      </w:r>
      <w:r w:rsidRPr="00EA0DC7">
        <w:rPr>
          <w:rFonts w:cs="Arial"/>
          <w:i/>
        </w:rPr>
        <w:t>F</w:t>
      </w:r>
      <w:r w:rsidRPr="00EA0DC7">
        <w:rPr>
          <w:rFonts w:cs="Arial"/>
        </w:rPr>
        <w:t xml:space="preserve">(2, 32) = 5.72, </w:t>
      </w:r>
      <w:r w:rsidRPr="00EA0DC7">
        <w:rPr>
          <w:rFonts w:cs="Arial"/>
          <w:i/>
        </w:rPr>
        <w:t>p</w:t>
      </w:r>
      <w:r w:rsidRPr="00EA0DC7">
        <w:rPr>
          <w:rFonts w:cs="Arial"/>
        </w:rPr>
        <w:t xml:space="preserve"> = .008) and using CBT (</w:t>
      </w:r>
      <w:r w:rsidRPr="00EA0DC7">
        <w:rPr>
          <w:rFonts w:cs="Arial"/>
          <w:i/>
        </w:rPr>
        <w:t>F</w:t>
      </w:r>
      <w:r w:rsidRPr="00EA0DC7">
        <w:rPr>
          <w:rFonts w:cs="Arial"/>
        </w:rPr>
        <w:t xml:space="preserve">(2, 39) = 3.50, </w:t>
      </w:r>
      <w:r w:rsidRPr="00EA0DC7">
        <w:rPr>
          <w:rFonts w:cs="Arial"/>
          <w:i/>
        </w:rPr>
        <w:t>p</w:t>
      </w:r>
      <w:r w:rsidRPr="00EA0DC7">
        <w:rPr>
          <w:rFonts w:cs="Arial"/>
        </w:rPr>
        <w:t xml:space="preserve"> = .040) for longer. In contrast, compared to </w:t>
      </w:r>
      <w:r w:rsidRPr="00EA0DC7">
        <w:rPr>
          <w:rFonts w:cs="Arial"/>
          <w:i/>
        </w:rPr>
        <w:t>the Alliance- and Technique-Focused</w:t>
      </w:r>
      <w:r w:rsidRPr="00EA0DC7">
        <w:rPr>
          <w:rFonts w:cs="Arial"/>
        </w:rPr>
        <w:t xml:space="preserve"> group, the </w:t>
      </w:r>
      <w:r w:rsidRPr="00EA0DC7">
        <w:rPr>
          <w:rFonts w:cs="Arial"/>
          <w:i/>
        </w:rPr>
        <w:t>Case Management-Focused</w:t>
      </w:r>
      <w:r w:rsidRPr="00EA0DC7">
        <w:rPr>
          <w:rFonts w:cs="Arial"/>
        </w:rPr>
        <w:t xml:space="preserve"> group had higher levels of prospective anxiety (</w:t>
      </w:r>
      <w:r w:rsidRPr="00EA0DC7">
        <w:rPr>
          <w:rFonts w:cs="Arial"/>
          <w:i/>
        </w:rPr>
        <w:t>F</w:t>
      </w:r>
      <w:r w:rsidRPr="00EA0DC7">
        <w:rPr>
          <w:rFonts w:cs="Arial"/>
        </w:rPr>
        <w:t xml:space="preserve">(2, 38) = 5.83, </w:t>
      </w:r>
      <w:r w:rsidRPr="00EA0DC7">
        <w:rPr>
          <w:rFonts w:cs="Arial"/>
          <w:i/>
        </w:rPr>
        <w:t>p</w:t>
      </w:r>
      <w:r w:rsidRPr="00EA0DC7">
        <w:rPr>
          <w:rFonts w:cs="Arial"/>
        </w:rPr>
        <w:t xml:space="preserve"> = .006) and worked less with depression (</w:t>
      </w:r>
      <w:r w:rsidRPr="00EA0DC7">
        <w:rPr>
          <w:rFonts w:cs="Arial"/>
          <w:i/>
        </w:rPr>
        <w:t>F</w:t>
      </w:r>
      <w:r w:rsidRPr="00EA0DC7">
        <w:rPr>
          <w:rFonts w:cs="Arial"/>
        </w:rPr>
        <w:t xml:space="preserve">(2, 39) = 3.33, </w:t>
      </w:r>
      <w:r w:rsidRPr="00EA0DC7">
        <w:rPr>
          <w:rFonts w:cs="Arial"/>
          <w:i/>
        </w:rPr>
        <w:t>p</w:t>
      </w:r>
      <w:r w:rsidRPr="00EA0DC7">
        <w:rPr>
          <w:rFonts w:cs="Arial"/>
        </w:rPr>
        <w:t xml:space="preserve"> = .046).</w:t>
      </w:r>
    </w:p>
    <w:p w14:paraId="463A3256" w14:textId="77777777" w:rsidR="00CA2F14" w:rsidRPr="00EA0DC7" w:rsidRDefault="00CA2F14" w:rsidP="00E702AF">
      <w:pPr>
        <w:pStyle w:val="NoSpacing"/>
        <w:widowControl w:val="0"/>
        <w:rPr>
          <w:rFonts w:ascii="Arial" w:hAnsi="Arial" w:cs="Arial"/>
          <w:sz w:val="24"/>
          <w:szCs w:val="24"/>
        </w:rPr>
        <w:sectPr w:rsidR="00CA2F14" w:rsidRPr="00EA0DC7" w:rsidSect="00536D84">
          <w:pgSz w:w="11906" w:h="16838"/>
          <w:pgMar w:top="1440" w:right="1440" w:bottom="1440" w:left="2268" w:header="709" w:footer="709" w:gutter="0"/>
          <w:cols w:space="708"/>
          <w:docGrid w:linePitch="360"/>
        </w:sectPr>
      </w:pPr>
    </w:p>
    <w:p w14:paraId="25C0E9B2" w14:textId="4B13121D" w:rsidR="00E702AF" w:rsidRPr="00EA0DC7" w:rsidRDefault="008A7246" w:rsidP="008A7246">
      <w:pPr>
        <w:pStyle w:val="Captions"/>
        <w:rPr>
          <w:rFonts w:cs="Arial"/>
          <w:szCs w:val="24"/>
        </w:rPr>
      </w:pPr>
      <w:bookmarkStart w:id="147" w:name="_Toc47039928"/>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4</w:t>
      </w:r>
      <w:r w:rsidR="004F2FDB">
        <w:rPr>
          <w:noProof/>
        </w:rPr>
        <w:fldChar w:fldCharType="end"/>
      </w:r>
      <w:r w:rsidRPr="00EA0DC7">
        <w:t>.</w:t>
      </w:r>
      <w:r w:rsidR="004F2FDB">
        <w:fldChar w:fldCharType="begin"/>
      </w:r>
      <w:r w:rsidR="004F2FDB">
        <w:instrText xml:space="preserve"> SEQ T</w:instrText>
      </w:r>
      <w:r w:rsidR="004F2FDB">
        <w:instrText xml:space="preserve">able \* ARABIC \s 1 </w:instrText>
      </w:r>
      <w:r w:rsidR="004F2FDB">
        <w:fldChar w:fldCharType="separate"/>
      </w:r>
      <w:r w:rsidR="00694354">
        <w:rPr>
          <w:noProof/>
        </w:rPr>
        <w:t>2</w:t>
      </w:r>
      <w:r w:rsidR="004F2FDB">
        <w:rPr>
          <w:noProof/>
        </w:rPr>
        <w:fldChar w:fldCharType="end"/>
      </w:r>
      <w:r w:rsidRPr="00EA0DC7">
        <w:t>. One-way ANOVAs comparing the three supervisor clusters on supervisor characteristics.</w:t>
      </w:r>
      <w:bookmarkEnd w:id="147"/>
    </w:p>
    <w:tbl>
      <w:tblPr>
        <w:tblW w:w="13608" w:type="dxa"/>
        <w:tblLayout w:type="fixed"/>
        <w:tblLook w:val="04A0" w:firstRow="1" w:lastRow="0" w:firstColumn="1" w:lastColumn="0" w:noHBand="0" w:noVBand="1"/>
      </w:tblPr>
      <w:tblGrid>
        <w:gridCol w:w="4077"/>
        <w:gridCol w:w="1560"/>
        <w:gridCol w:w="2160"/>
        <w:gridCol w:w="1842"/>
        <w:gridCol w:w="709"/>
        <w:gridCol w:w="850"/>
        <w:gridCol w:w="709"/>
        <w:gridCol w:w="1701"/>
      </w:tblGrid>
      <w:tr w:rsidR="00E702AF" w:rsidRPr="00EA0DC7" w14:paraId="04E19A23" w14:textId="77777777" w:rsidTr="003D674B">
        <w:trPr>
          <w:trHeight w:val="300"/>
        </w:trPr>
        <w:tc>
          <w:tcPr>
            <w:tcW w:w="4077" w:type="dxa"/>
            <w:tcBorders>
              <w:top w:val="single" w:sz="4" w:space="0" w:color="auto"/>
              <w:left w:val="nil"/>
              <w:bottom w:val="single" w:sz="4" w:space="0" w:color="auto"/>
              <w:right w:val="nil"/>
            </w:tcBorders>
            <w:shd w:val="clear" w:color="auto" w:fill="auto"/>
            <w:noWrap/>
            <w:vAlign w:val="bottom"/>
          </w:tcPr>
          <w:p w14:paraId="74D22488" w14:textId="77777777" w:rsidR="00E702AF" w:rsidRPr="00EA0DC7" w:rsidRDefault="00E702AF" w:rsidP="003D674B">
            <w:pPr>
              <w:widowControl w:val="0"/>
              <w:spacing w:before="240" w:after="0"/>
              <w:rPr>
                <w:rFonts w:eastAsia="Times New Roman" w:cs="Arial"/>
                <w:sz w:val="22"/>
              </w:rPr>
            </w:pPr>
            <w:r w:rsidRPr="00EA0DC7">
              <w:rPr>
                <w:rFonts w:eastAsia="Times New Roman" w:cs="Arial"/>
                <w:sz w:val="22"/>
              </w:rPr>
              <w:t> </w:t>
            </w:r>
          </w:p>
        </w:tc>
        <w:tc>
          <w:tcPr>
            <w:tcW w:w="5562" w:type="dxa"/>
            <w:gridSpan w:val="3"/>
            <w:tcBorders>
              <w:top w:val="single" w:sz="4" w:space="0" w:color="auto"/>
              <w:left w:val="nil"/>
              <w:bottom w:val="single" w:sz="4" w:space="0" w:color="auto"/>
              <w:right w:val="nil"/>
            </w:tcBorders>
            <w:shd w:val="clear" w:color="auto" w:fill="auto"/>
            <w:noWrap/>
            <w:vAlign w:val="bottom"/>
          </w:tcPr>
          <w:p w14:paraId="3CD07190" w14:textId="77777777" w:rsidR="00E702AF" w:rsidRPr="00EA0DC7" w:rsidRDefault="00E702AF" w:rsidP="003D674B">
            <w:pPr>
              <w:widowControl w:val="0"/>
              <w:spacing w:before="240" w:after="0"/>
              <w:jc w:val="center"/>
              <w:rPr>
                <w:rFonts w:eastAsia="Times New Roman" w:cs="Arial"/>
                <w:b/>
                <w:sz w:val="22"/>
              </w:rPr>
            </w:pPr>
            <w:r w:rsidRPr="00EA0DC7">
              <w:rPr>
                <w:rFonts w:eastAsia="Times New Roman" w:cs="Arial"/>
                <w:b/>
                <w:sz w:val="22"/>
              </w:rPr>
              <w:t>Supervisor Type</w:t>
            </w:r>
          </w:p>
        </w:tc>
        <w:tc>
          <w:tcPr>
            <w:tcW w:w="3969" w:type="dxa"/>
            <w:gridSpan w:val="4"/>
            <w:tcBorders>
              <w:top w:val="single" w:sz="4" w:space="0" w:color="auto"/>
              <w:left w:val="nil"/>
              <w:bottom w:val="single" w:sz="4" w:space="0" w:color="auto"/>
              <w:right w:val="nil"/>
            </w:tcBorders>
            <w:shd w:val="clear" w:color="auto" w:fill="auto"/>
            <w:noWrap/>
            <w:vAlign w:val="bottom"/>
          </w:tcPr>
          <w:p w14:paraId="23A17A67" w14:textId="77777777" w:rsidR="00E702AF" w:rsidRPr="00EA0DC7" w:rsidRDefault="00E702AF" w:rsidP="003D674B">
            <w:pPr>
              <w:widowControl w:val="0"/>
              <w:spacing w:before="240" w:after="0"/>
              <w:jc w:val="center"/>
              <w:rPr>
                <w:rFonts w:eastAsia="Times New Roman" w:cs="Arial"/>
                <w:b/>
                <w:sz w:val="22"/>
              </w:rPr>
            </w:pPr>
            <w:r w:rsidRPr="00EA0DC7">
              <w:rPr>
                <w:rFonts w:eastAsia="Times New Roman" w:cs="Arial"/>
                <w:b/>
                <w:sz w:val="22"/>
              </w:rPr>
              <w:t>ANOVA</w:t>
            </w:r>
          </w:p>
        </w:tc>
      </w:tr>
      <w:tr w:rsidR="00E702AF" w:rsidRPr="00EA0DC7" w14:paraId="0C5762F6" w14:textId="77777777" w:rsidTr="003D674B">
        <w:trPr>
          <w:trHeight w:val="300"/>
        </w:trPr>
        <w:tc>
          <w:tcPr>
            <w:tcW w:w="4077" w:type="dxa"/>
            <w:tcBorders>
              <w:top w:val="nil"/>
              <w:left w:val="nil"/>
              <w:bottom w:val="single" w:sz="4" w:space="0" w:color="auto"/>
              <w:right w:val="nil"/>
            </w:tcBorders>
            <w:shd w:val="clear" w:color="auto" w:fill="auto"/>
            <w:noWrap/>
            <w:vAlign w:val="center"/>
          </w:tcPr>
          <w:p w14:paraId="5DE2E696" w14:textId="77777777" w:rsidR="00E702AF" w:rsidRPr="00EA0DC7" w:rsidRDefault="00E702AF" w:rsidP="003D674B">
            <w:pPr>
              <w:widowControl w:val="0"/>
              <w:spacing w:before="240" w:after="0" w:line="276" w:lineRule="auto"/>
              <w:jc w:val="center"/>
              <w:rPr>
                <w:rFonts w:eastAsia="Times New Roman" w:cs="Arial"/>
                <w:sz w:val="22"/>
              </w:rPr>
            </w:pPr>
          </w:p>
        </w:tc>
        <w:tc>
          <w:tcPr>
            <w:tcW w:w="1560" w:type="dxa"/>
            <w:tcBorders>
              <w:top w:val="nil"/>
              <w:left w:val="nil"/>
              <w:bottom w:val="single" w:sz="4" w:space="0" w:color="auto"/>
              <w:right w:val="nil"/>
            </w:tcBorders>
            <w:shd w:val="clear" w:color="auto" w:fill="auto"/>
            <w:noWrap/>
            <w:vAlign w:val="center"/>
          </w:tcPr>
          <w:p w14:paraId="64B4F955"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sz w:val="22"/>
              </w:rPr>
              <w:t>Unfocused</w:t>
            </w:r>
          </w:p>
          <w:p w14:paraId="0DCE20DA" w14:textId="77777777" w:rsidR="00E702AF" w:rsidRPr="00EA0DC7" w:rsidRDefault="00E702AF" w:rsidP="003D674B">
            <w:pPr>
              <w:widowControl w:val="0"/>
              <w:spacing w:after="0" w:line="276" w:lineRule="auto"/>
              <w:jc w:val="center"/>
              <w:rPr>
                <w:rFonts w:eastAsia="Times New Roman" w:cs="Arial"/>
                <w:b/>
                <w:bCs/>
                <w:i/>
                <w:iCs/>
                <w:sz w:val="22"/>
              </w:rPr>
            </w:pPr>
            <w:r w:rsidRPr="00EA0DC7">
              <w:rPr>
                <w:rFonts w:eastAsia="Times New Roman" w:cs="Arial"/>
                <w:b/>
                <w:sz w:val="22"/>
              </w:rPr>
              <w:t>(1)</w:t>
            </w:r>
          </w:p>
        </w:tc>
        <w:tc>
          <w:tcPr>
            <w:tcW w:w="2160" w:type="dxa"/>
            <w:tcBorders>
              <w:top w:val="nil"/>
              <w:left w:val="nil"/>
              <w:bottom w:val="single" w:sz="4" w:space="0" w:color="auto"/>
              <w:right w:val="nil"/>
            </w:tcBorders>
            <w:shd w:val="clear" w:color="auto" w:fill="auto"/>
            <w:noWrap/>
            <w:vAlign w:val="center"/>
          </w:tcPr>
          <w:p w14:paraId="37CEFF0C"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sz w:val="22"/>
              </w:rPr>
              <w:t>Case Management- Focused</w:t>
            </w:r>
          </w:p>
          <w:p w14:paraId="1B1B3D83" w14:textId="77777777" w:rsidR="00E702AF" w:rsidRPr="00EA0DC7" w:rsidRDefault="00E702AF" w:rsidP="003D674B">
            <w:pPr>
              <w:widowControl w:val="0"/>
              <w:spacing w:after="0" w:line="276" w:lineRule="auto"/>
              <w:jc w:val="center"/>
              <w:rPr>
                <w:rFonts w:eastAsia="Times New Roman" w:cs="Arial"/>
                <w:b/>
                <w:bCs/>
                <w:i/>
                <w:iCs/>
                <w:sz w:val="22"/>
              </w:rPr>
            </w:pPr>
            <w:r w:rsidRPr="00EA0DC7">
              <w:rPr>
                <w:rFonts w:eastAsia="Times New Roman" w:cs="Arial"/>
                <w:b/>
                <w:sz w:val="22"/>
              </w:rPr>
              <w:t>(2)</w:t>
            </w:r>
          </w:p>
        </w:tc>
        <w:tc>
          <w:tcPr>
            <w:tcW w:w="1842" w:type="dxa"/>
            <w:tcBorders>
              <w:top w:val="nil"/>
              <w:left w:val="nil"/>
              <w:bottom w:val="single" w:sz="4" w:space="0" w:color="auto"/>
              <w:right w:val="nil"/>
            </w:tcBorders>
            <w:shd w:val="clear" w:color="auto" w:fill="auto"/>
            <w:noWrap/>
            <w:vAlign w:val="center"/>
          </w:tcPr>
          <w:p w14:paraId="7F138F5F"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sz w:val="22"/>
              </w:rPr>
              <w:t>Alliance- and Technique- Focused</w:t>
            </w:r>
          </w:p>
          <w:p w14:paraId="2C7025FA" w14:textId="77777777" w:rsidR="00E702AF" w:rsidRPr="00EA0DC7" w:rsidRDefault="00E702AF" w:rsidP="003D674B">
            <w:pPr>
              <w:widowControl w:val="0"/>
              <w:spacing w:after="0" w:line="276" w:lineRule="auto"/>
              <w:jc w:val="center"/>
              <w:rPr>
                <w:rFonts w:eastAsia="Times New Roman" w:cs="Arial"/>
                <w:b/>
                <w:bCs/>
                <w:i/>
                <w:iCs/>
                <w:sz w:val="22"/>
              </w:rPr>
            </w:pPr>
            <w:r w:rsidRPr="00EA0DC7">
              <w:rPr>
                <w:rFonts w:eastAsia="Times New Roman" w:cs="Arial"/>
                <w:b/>
                <w:sz w:val="22"/>
              </w:rPr>
              <w:t>(3)</w:t>
            </w:r>
          </w:p>
        </w:tc>
        <w:tc>
          <w:tcPr>
            <w:tcW w:w="709" w:type="dxa"/>
            <w:tcBorders>
              <w:top w:val="nil"/>
              <w:left w:val="nil"/>
              <w:bottom w:val="single" w:sz="4" w:space="0" w:color="auto"/>
              <w:right w:val="nil"/>
            </w:tcBorders>
            <w:shd w:val="clear" w:color="auto" w:fill="auto"/>
            <w:noWrap/>
            <w:vAlign w:val="center"/>
          </w:tcPr>
          <w:p w14:paraId="656DA20A"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i/>
                <w:sz w:val="22"/>
              </w:rPr>
              <w:t>N</w:t>
            </w:r>
          </w:p>
        </w:tc>
        <w:tc>
          <w:tcPr>
            <w:tcW w:w="850" w:type="dxa"/>
            <w:tcBorders>
              <w:top w:val="nil"/>
              <w:left w:val="nil"/>
              <w:bottom w:val="single" w:sz="4" w:space="0" w:color="auto"/>
              <w:right w:val="nil"/>
            </w:tcBorders>
            <w:shd w:val="clear" w:color="auto" w:fill="auto"/>
            <w:noWrap/>
            <w:vAlign w:val="center"/>
          </w:tcPr>
          <w:p w14:paraId="39EE38A5"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i/>
                <w:sz w:val="22"/>
              </w:rPr>
              <w:t>F</w:t>
            </w:r>
          </w:p>
        </w:tc>
        <w:tc>
          <w:tcPr>
            <w:tcW w:w="709" w:type="dxa"/>
            <w:tcBorders>
              <w:top w:val="nil"/>
              <w:left w:val="nil"/>
              <w:bottom w:val="single" w:sz="4" w:space="0" w:color="auto"/>
              <w:right w:val="nil"/>
            </w:tcBorders>
            <w:shd w:val="clear" w:color="auto" w:fill="auto"/>
            <w:noWrap/>
            <w:vAlign w:val="center"/>
          </w:tcPr>
          <w:p w14:paraId="02FFD1B6"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i/>
                <w:sz w:val="22"/>
              </w:rPr>
              <w:t>p</w:t>
            </w:r>
          </w:p>
        </w:tc>
        <w:tc>
          <w:tcPr>
            <w:tcW w:w="1701" w:type="dxa"/>
            <w:tcBorders>
              <w:top w:val="nil"/>
              <w:left w:val="nil"/>
              <w:bottom w:val="single" w:sz="4" w:space="0" w:color="auto"/>
              <w:right w:val="nil"/>
            </w:tcBorders>
            <w:shd w:val="clear" w:color="auto" w:fill="auto"/>
            <w:noWrap/>
            <w:vAlign w:val="center"/>
          </w:tcPr>
          <w:p w14:paraId="2B1CD656" w14:textId="77777777" w:rsidR="00E702AF" w:rsidRPr="00EA0DC7" w:rsidRDefault="00E702AF" w:rsidP="003D674B">
            <w:pPr>
              <w:widowControl w:val="0"/>
              <w:spacing w:before="240" w:after="0" w:line="276" w:lineRule="auto"/>
              <w:jc w:val="center"/>
              <w:rPr>
                <w:rFonts w:eastAsia="Times New Roman" w:cs="Arial"/>
                <w:b/>
                <w:bCs/>
                <w:i/>
                <w:iCs/>
                <w:sz w:val="22"/>
              </w:rPr>
            </w:pPr>
            <w:r w:rsidRPr="00EA0DC7">
              <w:rPr>
                <w:rFonts w:eastAsia="Times New Roman" w:cs="Arial"/>
                <w:b/>
                <w:sz w:val="22"/>
              </w:rPr>
              <w:t>Multiple comparisons</w:t>
            </w:r>
          </w:p>
        </w:tc>
      </w:tr>
      <w:tr w:rsidR="00E702AF" w:rsidRPr="00EA0DC7" w14:paraId="098148C9" w14:textId="77777777" w:rsidTr="003D674B">
        <w:trPr>
          <w:trHeight w:val="300"/>
        </w:trPr>
        <w:tc>
          <w:tcPr>
            <w:tcW w:w="4077" w:type="dxa"/>
            <w:tcBorders>
              <w:top w:val="nil"/>
              <w:left w:val="nil"/>
              <w:bottom w:val="nil"/>
              <w:right w:val="nil"/>
            </w:tcBorders>
            <w:shd w:val="clear" w:color="auto" w:fill="auto"/>
            <w:noWrap/>
          </w:tcPr>
          <w:p w14:paraId="0F7C26F3" w14:textId="4D02CF7F" w:rsidR="00E702AF" w:rsidRPr="00EA0DC7" w:rsidRDefault="00E702AF" w:rsidP="003D674B">
            <w:pPr>
              <w:widowControl w:val="0"/>
              <w:spacing w:before="240" w:after="0"/>
              <w:jc w:val="left"/>
              <w:rPr>
                <w:rFonts w:eastAsia="Times New Roman" w:cs="Arial"/>
                <w:b/>
                <w:bCs/>
                <w:i/>
                <w:iCs/>
                <w:sz w:val="22"/>
              </w:rPr>
            </w:pPr>
            <w:r w:rsidRPr="00EA0DC7">
              <w:rPr>
                <w:rFonts w:eastAsia="Times New Roman" w:cs="Arial"/>
                <w:sz w:val="22"/>
              </w:rPr>
              <w:t>Age</w:t>
            </w:r>
            <w:r w:rsidR="00544BEF">
              <w:rPr>
                <w:rFonts w:eastAsia="Times New Roman" w:cs="Arial"/>
                <w:sz w:val="22"/>
              </w:rPr>
              <w:t xml:space="preserve"> (years)</w:t>
            </w:r>
          </w:p>
        </w:tc>
        <w:tc>
          <w:tcPr>
            <w:tcW w:w="1560" w:type="dxa"/>
            <w:tcBorders>
              <w:top w:val="nil"/>
              <w:left w:val="nil"/>
              <w:bottom w:val="nil"/>
              <w:right w:val="nil"/>
            </w:tcBorders>
            <w:shd w:val="clear" w:color="auto" w:fill="auto"/>
            <w:noWrap/>
          </w:tcPr>
          <w:p w14:paraId="28EEF8DE"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48.0 (11.8)</w:t>
            </w:r>
          </w:p>
        </w:tc>
        <w:tc>
          <w:tcPr>
            <w:tcW w:w="2160" w:type="dxa"/>
            <w:tcBorders>
              <w:top w:val="nil"/>
              <w:left w:val="nil"/>
              <w:bottom w:val="nil"/>
              <w:right w:val="nil"/>
            </w:tcBorders>
            <w:shd w:val="clear" w:color="auto" w:fill="auto"/>
            <w:noWrap/>
          </w:tcPr>
          <w:p w14:paraId="72CE2626"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53.6 (9.62)</w:t>
            </w:r>
          </w:p>
        </w:tc>
        <w:tc>
          <w:tcPr>
            <w:tcW w:w="1842" w:type="dxa"/>
            <w:tcBorders>
              <w:top w:val="nil"/>
              <w:left w:val="nil"/>
              <w:bottom w:val="nil"/>
              <w:right w:val="nil"/>
            </w:tcBorders>
            <w:shd w:val="clear" w:color="auto" w:fill="auto"/>
            <w:noWrap/>
          </w:tcPr>
          <w:p w14:paraId="699A8746"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49.9 (10.3)</w:t>
            </w:r>
          </w:p>
        </w:tc>
        <w:tc>
          <w:tcPr>
            <w:tcW w:w="709" w:type="dxa"/>
            <w:tcBorders>
              <w:top w:val="nil"/>
              <w:left w:val="nil"/>
              <w:bottom w:val="nil"/>
              <w:right w:val="nil"/>
            </w:tcBorders>
            <w:shd w:val="clear" w:color="auto" w:fill="auto"/>
            <w:noWrap/>
          </w:tcPr>
          <w:p w14:paraId="684471DA"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42</w:t>
            </w:r>
          </w:p>
        </w:tc>
        <w:tc>
          <w:tcPr>
            <w:tcW w:w="850" w:type="dxa"/>
            <w:tcBorders>
              <w:top w:val="nil"/>
              <w:left w:val="nil"/>
              <w:bottom w:val="nil"/>
              <w:right w:val="nil"/>
            </w:tcBorders>
            <w:shd w:val="clear" w:color="auto" w:fill="auto"/>
            <w:noWrap/>
          </w:tcPr>
          <w:p w14:paraId="24D0A7D7"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.811</w:t>
            </w:r>
          </w:p>
        </w:tc>
        <w:tc>
          <w:tcPr>
            <w:tcW w:w="709" w:type="dxa"/>
            <w:tcBorders>
              <w:top w:val="nil"/>
              <w:left w:val="nil"/>
              <w:bottom w:val="nil"/>
              <w:right w:val="nil"/>
            </w:tcBorders>
            <w:shd w:val="clear" w:color="auto" w:fill="auto"/>
            <w:noWrap/>
          </w:tcPr>
          <w:p w14:paraId="73C3AF4E"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.452</w:t>
            </w:r>
          </w:p>
        </w:tc>
        <w:tc>
          <w:tcPr>
            <w:tcW w:w="1701" w:type="dxa"/>
            <w:tcBorders>
              <w:top w:val="nil"/>
              <w:left w:val="nil"/>
              <w:bottom w:val="nil"/>
              <w:right w:val="nil"/>
            </w:tcBorders>
            <w:shd w:val="clear" w:color="auto" w:fill="auto"/>
            <w:noWrap/>
          </w:tcPr>
          <w:p w14:paraId="35293920" w14:textId="77777777" w:rsidR="00E702AF" w:rsidRPr="00EA0DC7" w:rsidRDefault="00E702AF" w:rsidP="003D674B">
            <w:pPr>
              <w:widowControl w:val="0"/>
              <w:spacing w:before="240" w:after="0"/>
              <w:jc w:val="center"/>
              <w:rPr>
                <w:rFonts w:eastAsia="Times New Roman" w:cs="Arial"/>
                <w:sz w:val="22"/>
              </w:rPr>
            </w:pPr>
            <w:r w:rsidRPr="00EA0DC7">
              <w:rPr>
                <w:rFonts w:eastAsia="Times New Roman" w:cs="Arial"/>
                <w:sz w:val="22"/>
              </w:rPr>
              <w:t>-</w:t>
            </w:r>
          </w:p>
        </w:tc>
      </w:tr>
      <w:tr w:rsidR="00E702AF" w:rsidRPr="00EA0DC7" w14:paraId="4CBAA895" w14:textId="77777777" w:rsidTr="003D674B">
        <w:trPr>
          <w:trHeight w:val="300"/>
        </w:trPr>
        <w:tc>
          <w:tcPr>
            <w:tcW w:w="4077" w:type="dxa"/>
            <w:tcBorders>
              <w:top w:val="nil"/>
              <w:left w:val="nil"/>
              <w:bottom w:val="nil"/>
              <w:right w:val="nil"/>
            </w:tcBorders>
            <w:shd w:val="clear" w:color="auto" w:fill="auto"/>
            <w:noWrap/>
          </w:tcPr>
          <w:p w14:paraId="3FD1F76C" w14:textId="77777777" w:rsidR="00E702AF" w:rsidRPr="00EA0DC7" w:rsidRDefault="00E702AF" w:rsidP="00BC62A6">
            <w:pPr>
              <w:widowControl w:val="0"/>
              <w:spacing w:after="0"/>
              <w:jc w:val="left"/>
              <w:rPr>
                <w:rFonts w:eastAsia="Times New Roman" w:cs="Arial"/>
                <w:b/>
                <w:bCs/>
                <w:i/>
                <w:iCs/>
                <w:sz w:val="22"/>
              </w:rPr>
            </w:pPr>
            <w:r w:rsidRPr="00EA0DC7">
              <w:rPr>
                <w:rFonts w:eastAsia="Times New Roman" w:cs="Arial"/>
                <w:sz w:val="22"/>
              </w:rPr>
              <w:t>No. of patients with a primary diagnosis of depression</w:t>
            </w:r>
          </w:p>
        </w:tc>
        <w:tc>
          <w:tcPr>
            <w:tcW w:w="1560" w:type="dxa"/>
            <w:tcBorders>
              <w:top w:val="nil"/>
              <w:left w:val="nil"/>
              <w:bottom w:val="nil"/>
              <w:right w:val="nil"/>
            </w:tcBorders>
            <w:shd w:val="clear" w:color="auto" w:fill="auto"/>
            <w:noWrap/>
          </w:tcPr>
          <w:p w14:paraId="750DD11C"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26.4 (20.1)</w:t>
            </w:r>
          </w:p>
        </w:tc>
        <w:tc>
          <w:tcPr>
            <w:tcW w:w="2160" w:type="dxa"/>
            <w:tcBorders>
              <w:top w:val="nil"/>
              <w:left w:val="nil"/>
              <w:bottom w:val="nil"/>
              <w:right w:val="nil"/>
            </w:tcBorders>
            <w:shd w:val="clear" w:color="auto" w:fill="auto"/>
            <w:noWrap/>
          </w:tcPr>
          <w:p w14:paraId="2E1C0813"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16.5 (9.73)</w:t>
            </w:r>
          </w:p>
        </w:tc>
        <w:tc>
          <w:tcPr>
            <w:tcW w:w="1842" w:type="dxa"/>
            <w:tcBorders>
              <w:top w:val="nil"/>
              <w:left w:val="nil"/>
              <w:bottom w:val="nil"/>
              <w:right w:val="nil"/>
            </w:tcBorders>
            <w:shd w:val="clear" w:color="auto" w:fill="auto"/>
            <w:noWrap/>
          </w:tcPr>
          <w:p w14:paraId="046E7FC5"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36.2 (23.0)</w:t>
            </w:r>
          </w:p>
        </w:tc>
        <w:tc>
          <w:tcPr>
            <w:tcW w:w="709" w:type="dxa"/>
            <w:tcBorders>
              <w:top w:val="nil"/>
              <w:left w:val="nil"/>
              <w:bottom w:val="nil"/>
              <w:right w:val="nil"/>
            </w:tcBorders>
            <w:shd w:val="clear" w:color="auto" w:fill="auto"/>
            <w:noWrap/>
          </w:tcPr>
          <w:p w14:paraId="1E286B41"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42</w:t>
            </w:r>
          </w:p>
        </w:tc>
        <w:tc>
          <w:tcPr>
            <w:tcW w:w="850" w:type="dxa"/>
            <w:tcBorders>
              <w:top w:val="nil"/>
              <w:left w:val="nil"/>
              <w:bottom w:val="nil"/>
              <w:right w:val="nil"/>
            </w:tcBorders>
            <w:shd w:val="clear" w:color="auto" w:fill="auto"/>
            <w:noWrap/>
          </w:tcPr>
          <w:p w14:paraId="0FA7696B"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3.33</w:t>
            </w:r>
          </w:p>
        </w:tc>
        <w:tc>
          <w:tcPr>
            <w:tcW w:w="709" w:type="dxa"/>
            <w:tcBorders>
              <w:top w:val="nil"/>
              <w:left w:val="nil"/>
              <w:bottom w:val="nil"/>
              <w:right w:val="nil"/>
            </w:tcBorders>
            <w:shd w:val="clear" w:color="auto" w:fill="auto"/>
            <w:noWrap/>
          </w:tcPr>
          <w:p w14:paraId="2483E851"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.046</w:t>
            </w:r>
          </w:p>
        </w:tc>
        <w:tc>
          <w:tcPr>
            <w:tcW w:w="1701" w:type="dxa"/>
            <w:tcBorders>
              <w:top w:val="nil"/>
              <w:left w:val="nil"/>
              <w:bottom w:val="nil"/>
              <w:right w:val="nil"/>
            </w:tcBorders>
            <w:shd w:val="clear" w:color="auto" w:fill="auto"/>
            <w:noWrap/>
          </w:tcPr>
          <w:p w14:paraId="737438F9"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 &gt; 2</w:t>
            </w:r>
          </w:p>
        </w:tc>
      </w:tr>
      <w:tr w:rsidR="00E702AF" w:rsidRPr="00EA0DC7" w14:paraId="65480650" w14:textId="77777777" w:rsidTr="003D674B">
        <w:trPr>
          <w:trHeight w:val="300"/>
        </w:trPr>
        <w:tc>
          <w:tcPr>
            <w:tcW w:w="4077" w:type="dxa"/>
            <w:tcBorders>
              <w:top w:val="nil"/>
              <w:left w:val="nil"/>
              <w:bottom w:val="nil"/>
              <w:right w:val="nil"/>
            </w:tcBorders>
            <w:shd w:val="clear" w:color="auto" w:fill="auto"/>
            <w:noWrap/>
          </w:tcPr>
          <w:p w14:paraId="2FE24D59" w14:textId="619F3071" w:rsidR="00E702AF" w:rsidRPr="00EA0DC7" w:rsidRDefault="00E702AF" w:rsidP="00BC62A6">
            <w:pPr>
              <w:widowControl w:val="0"/>
              <w:spacing w:after="0"/>
              <w:jc w:val="left"/>
              <w:rPr>
                <w:rFonts w:eastAsia="Times New Roman" w:cs="Arial"/>
                <w:b/>
                <w:bCs/>
                <w:i/>
                <w:iCs/>
                <w:sz w:val="22"/>
              </w:rPr>
            </w:pPr>
            <w:r w:rsidRPr="00EA0DC7">
              <w:rPr>
                <w:rFonts w:eastAsia="Times New Roman" w:cs="Arial"/>
                <w:sz w:val="22"/>
              </w:rPr>
              <w:t>Time qualified</w:t>
            </w:r>
            <w:r w:rsidR="00544BEF">
              <w:rPr>
                <w:rFonts w:eastAsia="Times New Roman" w:cs="Arial"/>
                <w:sz w:val="22"/>
              </w:rPr>
              <w:t xml:space="preserve"> (years)</w:t>
            </w:r>
          </w:p>
        </w:tc>
        <w:tc>
          <w:tcPr>
            <w:tcW w:w="1560" w:type="dxa"/>
            <w:tcBorders>
              <w:top w:val="nil"/>
              <w:left w:val="nil"/>
              <w:bottom w:val="nil"/>
              <w:right w:val="nil"/>
            </w:tcBorders>
            <w:shd w:val="clear" w:color="auto" w:fill="auto"/>
            <w:noWrap/>
          </w:tcPr>
          <w:p w14:paraId="17BE146B"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11.7 (7.00)</w:t>
            </w:r>
          </w:p>
        </w:tc>
        <w:tc>
          <w:tcPr>
            <w:tcW w:w="2160" w:type="dxa"/>
            <w:tcBorders>
              <w:top w:val="nil"/>
              <w:left w:val="nil"/>
              <w:bottom w:val="nil"/>
              <w:right w:val="nil"/>
            </w:tcBorders>
            <w:shd w:val="clear" w:color="auto" w:fill="auto"/>
            <w:noWrap/>
          </w:tcPr>
          <w:p w14:paraId="7222127A"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24.7 (8.08)</w:t>
            </w:r>
          </w:p>
        </w:tc>
        <w:tc>
          <w:tcPr>
            <w:tcW w:w="1842" w:type="dxa"/>
            <w:tcBorders>
              <w:top w:val="nil"/>
              <w:left w:val="nil"/>
              <w:bottom w:val="nil"/>
              <w:right w:val="nil"/>
            </w:tcBorders>
            <w:shd w:val="clear" w:color="auto" w:fill="auto"/>
            <w:noWrap/>
          </w:tcPr>
          <w:p w14:paraId="202BC8B6"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17.6 (10.6)</w:t>
            </w:r>
          </w:p>
        </w:tc>
        <w:tc>
          <w:tcPr>
            <w:tcW w:w="709" w:type="dxa"/>
            <w:tcBorders>
              <w:top w:val="nil"/>
              <w:left w:val="nil"/>
              <w:bottom w:val="nil"/>
              <w:right w:val="nil"/>
            </w:tcBorders>
            <w:shd w:val="clear" w:color="auto" w:fill="auto"/>
            <w:noWrap/>
          </w:tcPr>
          <w:p w14:paraId="4ABFA14B"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41</w:t>
            </w:r>
          </w:p>
        </w:tc>
        <w:tc>
          <w:tcPr>
            <w:tcW w:w="850" w:type="dxa"/>
            <w:tcBorders>
              <w:top w:val="nil"/>
              <w:left w:val="nil"/>
              <w:bottom w:val="nil"/>
              <w:right w:val="nil"/>
            </w:tcBorders>
            <w:shd w:val="clear" w:color="auto" w:fill="auto"/>
            <w:noWrap/>
          </w:tcPr>
          <w:p w14:paraId="349B9669"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6.11</w:t>
            </w:r>
          </w:p>
        </w:tc>
        <w:tc>
          <w:tcPr>
            <w:tcW w:w="709" w:type="dxa"/>
            <w:tcBorders>
              <w:top w:val="nil"/>
              <w:left w:val="nil"/>
              <w:bottom w:val="nil"/>
              <w:right w:val="nil"/>
            </w:tcBorders>
            <w:shd w:val="clear" w:color="auto" w:fill="auto"/>
            <w:noWrap/>
          </w:tcPr>
          <w:p w14:paraId="4FE5FDA7"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.005</w:t>
            </w:r>
          </w:p>
        </w:tc>
        <w:tc>
          <w:tcPr>
            <w:tcW w:w="1701" w:type="dxa"/>
            <w:tcBorders>
              <w:top w:val="nil"/>
              <w:left w:val="nil"/>
              <w:bottom w:val="nil"/>
              <w:right w:val="nil"/>
            </w:tcBorders>
            <w:shd w:val="clear" w:color="auto" w:fill="auto"/>
            <w:noWrap/>
          </w:tcPr>
          <w:p w14:paraId="4540E2C2"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 &gt; 1</w:t>
            </w:r>
          </w:p>
        </w:tc>
      </w:tr>
      <w:tr w:rsidR="00E702AF" w:rsidRPr="00EA0DC7" w14:paraId="71448239" w14:textId="77777777" w:rsidTr="003D674B">
        <w:trPr>
          <w:trHeight w:val="300"/>
        </w:trPr>
        <w:tc>
          <w:tcPr>
            <w:tcW w:w="4077" w:type="dxa"/>
            <w:tcBorders>
              <w:top w:val="nil"/>
              <w:left w:val="nil"/>
              <w:bottom w:val="nil"/>
              <w:right w:val="nil"/>
            </w:tcBorders>
            <w:shd w:val="clear" w:color="auto" w:fill="auto"/>
            <w:noWrap/>
          </w:tcPr>
          <w:p w14:paraId="1727231A" w14:textId="1B01A7A0" w:rsidR="00E702AF" w:rsidRPr="00EA0DC7" w:rsidRDefault="00E702AF" w:rsidP="00BC62A6">
            <w:pPr>
              <w:widowControl w:val="0"/>
              <w:spacing w:after="0"/>
              <w:jc w:val="left"/>
              <w:rPr>
                <w:rFonts w:eastAsia="Times New Roman" w:cs="Arial"/>
                <w:b/>
                <w:bCs/>
                <w:i/>
                <w:iCs/>
                <w:sz w:val="22"/>
              </w:rPr>
            </w:pPr>
            <w:r w:rsidRPr="00EA0DC7">
              <w:rPr>
                <w:rFonts w:eastAsia="Times New Roman" w:cs="Arial"/>
                <w:sz w:val="22"/>
              </w:rPr>
              <w:t>Time using CBT</w:t>
            </w:r>
            <w:r w:rsidR="00544BEF">
              <w:rPr>
                <w:rFonts w:eastAsia="Times New Roman" w:cs="Arial"/>
                <w:sz w:val="22"/>
              </w:rPr>
              <w:t xml:space="preserve"> (years)</w:t>
            </w:r>
          </w:p>
        </w:tc>
        <w:tc>
          <w:tcPr>
            <w:tcW w:w="1560" w:type="dxa"/>
            <w:tcBorders>
              <w:top w:val="nil"/>
              <w:left w:val="nil"/>
              <w:bottom w:val="nil"/>
              <w:right w:val="nil"/>
            </w:tcBorders>
            <w:shd w:val="clear" w:color="auto" w:fill="auto"/>
            <w:noWrap/>
          </w:tcPr>
          <w:p w14:paraId="537A4F78"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12.0 (8.04)</w:t>
            </w:r>
          </w:p>
        </w:tc>
        <w:tc>
          <w:tcPr>
            <w:tcW w:w="2160" w:type="dxa"/>
            <w:tcBorders>
              <w:top w:val="nil"/>
              <w:left w:val="nil"/>
              <w:bottom w:val="nil"/>
              <w:right w:val="nil"/>
            </w:tcBorders>
            <w:shd w:val="clear" w:color="auto" w:fill="auto"/>
            <w:noWrap/>
          </w:tcPr>
          <w:p w14:paraId="1647A32F"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21.2 (9.22)</w:t>
            </w:r>
          </w:p>
        </w:tc>
        <w:tc>
          <w:tcPr>
            <w:tcW w:w="1842" w:type="dxa"/>
            <w:tcBorders>
              <w:top w:val="nil"/>
              <w:left w:val="nil"/>
              <w:bottom w:val="nil"/>
              <w:right w:val="nil"/>
            </w:tcBorders>
            <w:shd w:val="clear" w:color="auto" w:fill="auto"/>
            <w:noWrap/>
          </w:tcPr>
          <w:p w14:paraId="554C0DD3"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15.9 (8.22)</w:t>
            </w:r>
          </w:p>
        </w:tc>
        <w:tc>
          <w:tcPr>
            <w:tcW w:w="709" w:type="dxa"/>
            <w:tcBorders>
              <w:top w:val="nil"/>
              <w:left w:val="nil"/>
              <w:bottom w:val="nil"/>
              <w:right w:val="nil"/>
            </w:tcBorders>
            <w:shd w:val="clear" w:color="auto" w:fill="auto"/>
            <w:noWrap/>
          </w:tcPr>
          <w:p w14:paraId="61BB49FE"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42</w:t>
            </w:r>
          </w:p>
        </w:tc>
        <w:tc>
          <w:tcPr>
            <w:tcW w:w="850" w:type="dxa"/>
            <w:tcBorders>
              <w:top w:val="nil"/>
              <w:left w:val="nil"/>
              <w:bottom w:val="nil"/>
              <w:right w:val="nil"/>
            </w:tcBorders>
            <w:shd w:val="clear" w:color="auto" w:fill="auto"/>
            <w:noWrap/>
          </w:tcPr>
          <w:p w14:paraId="69127627"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3.50</w:t>
            </w:r>
          </w:p>
        </w:tc>
        <w:tc>
          <w:tcPr>
            <w:tcW w:w="709" w:type="dxa"/>
            <w:tcBorders>
              <w:top w:val="nil"/>
              <w:left w:val="nil"/>
              <w:bottom w:val="nil"/>
              <w:right w:val="nil"/>
            </w:tcBorders>
            <w:shd w:val="clear" w:color="auto" w:fill="auto"/>
            <w:noWrap/>
          </w:tcPr>
          <w:p w14:paraId="044BB10E"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.040</w:t>
            </w:r>
          </w:p>
        </w:tc>
        <w:tc>
          <w:tcPr>
            <w:tcW w:w="1701" w:type="dxa"/>
            <w:tcBorders>
              <w:top w:val="nil"/>
              <w:left w:val="nil"/>
              <w:bottom w:val="nil"/>
              <w:right w:val="nil"/>
            </w:tcBorders>
            <w:shd w:val="clear" w:color="auto" w:fill="auto"/>
            <w:noWrap/>
          </w:tcPr>
          <w:p w14:paraId="66D4155D"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 &gt; 1</w:t>
            </w:r>
          </w:p>
        </w:tc>
      </w:tr>
      <w:tr w:rsidR="00E702AF" w:rsidRPr="00EA0DC7" w14:paraId="2E4E6BA2" w14:textId="77777777" w:rsidTr="003D674B">
        <w:trPr>
          <w:trHeight w:val="300"/>
        </w:trPr>
        <w:tc>
          <w:tcPr>
            <w:tcW w:w="4077" w:type="dxa"/>
            <w:tcBorders>
              <w:top w:val="nil"/>
              <w:left w:val="nil"/>
              <w:bottom w:val="nil"/>
              <w:right w:val="nil"/>
            </w:tcBorders>
            <w:shd w:val="clear" w:color="auto" w:fill="auto"/>
            <w:noWrap/>
          </w:tcPr>
          <w:p w14:paraId="6C44C50F" w14:textId="77777777" w:rsidR="00E702AF" w:rsidRPr="00EA0DC7" w:rsidRDefault="00E702AF" w:rsidP="00BC62A6">
            <w:pPr>
              <w:widowControl w:val="0"/>
              <w:spacing w:after="0"/>
              <w:jc w:val="left"/>
              <w:rPr>
                <w:rFonts w:eastAsia="Times New Roman" w:cs="Arial"/>
                <w:b/>
                <w:bCs/>
                <w:i/>
                <w:iCs/>
                <w:sz w:val="22"/>
              </w:rPr>
            </w:pPr>
            <w:r w:rsidRPr="00EA0DC7">
              <w:rPr>
                <w:rFonts w:eastAsia="Times New Roman" w:cs="Arial"/>
                <w:sz w:val="22"/>
              </w:rPr>
              <w:t>Time accredited as therapist (years)</w:t>
            </w:r>
          </w:p>
        </w:tc>
        <w:tc>
          <w:tcPr>
            <w:tcW w:w="1560" w:type="dxa"/>
            <w:tcBorders>
              <w:top w:val="nil"/>
              <w:left w:val="nil"/>
              <w:bottom w:val="nil"/>
              <w:right w:val="nil"/>
            </w:tcBorders>
            <w:shd w:val="clear" w:color="auto" w:fill="auto"/>
            <w:noWrap/>
          </w:tcPr>
          <w:p w14:paraId="2548B022"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8.69 (5.35)</w:t>
            </w:r>
          </w:p>
        </w:tc>
        <w:tc>
          <w:tcPr>
            <w:tcW w:w="2160" w:type="dxa"/>
            <w:tcBorders>
              <w:top w:val="nil"/>
              <w:left w:val="nil"/>
              <w:bottom w:val="nil"/>
              <w:right w:val="nil"/>
            </w:tcBorders>
            <w:shd w:val="clear" w:color="auto" w:fill="auto"/>
            <w:noWrap/>
          </w:tcPr>
          <w:p w14:paraId="7099E08A"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22.6 (11.5)</w:t>
            </w:r>
          </w:p>
        </w:tc>
        <w:tc>
          <w:tcPr>
            <w:tcW w:w="1842" w:type="dxa"/>
            <w:tcBorders>
              <w:top w:val="nil"/>
              <w:left w:val="nil"/>
              <w:bottom w:val="nil"/>
              <w:right w:val="nil"/>
            </w:tcBorders>
            <w:shd w:val="clear" w:color="auto" w:fill="auto"/>
            <w:noWrap/>
          </w:tcPr>
          <w:p w14:paraId="5A480651"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13.0 (9.71)</w:t>
            </w:r>
          </w:p>
        </w:tc>
        <w:tc>
          <w:tcPr>
            <w:tcW w:w="709" w:type="dxa"/>
            <w:tcBorders>
              <w:top w:val="nil"/>
              <w:left w:val="nil"/>
              <w:bottom w:val="nil"/>
              <w:right w:val="nil"/>
            </w:tcBorders>
            <w:shd w:val="clear" w:color="auto" w:fill="auto"/>
            <w:noWrap/>
          </w:tcPr>
          <w:p w14:paraId="182738C1"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35</w:t>
            </w:r>
          </w:p>
        </w:tc>
        <w:tc>
          <w:tcPr>
            <w:tcW w:w="850" w:type="dxa"/>
            <w:tcBorders>
              <w:top w:val="nil"/>
              <w:left w:val="nil"/>
              <w:bottom w:val="nil"/>
              <w:right w:val="nil"/>
            </w:tcBorders>
            <w:shd w:val="clear" w:color="auto" w:fill="auto"/>
            <w:noWrap/>
          </w:tcPr>
          <w:p w14:paraId="33B90A19"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5.72</w:t>
            </w:r>
          </w:p>
        </w:tc>
        <w:tc>
          <w:tcPr>
            <w:tcW w:w="709" w:type="dxa"/>
            <w:tcBorders>
              <w:top w:val="nil"/>
              <w:left w:val="nil"/>
              <w:bottom w:val="nil"/>
              <w:right w:val="nil"/>
            </w:tcBorders>
            <w:shd w:val="clear" w:color="auto" w:fill="auto"/>
            <w:noWrap/>
          </w:tcPr>
          <w:p w14:paraId="5CC52D95"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.008</w:t>
            </w:r>
          </w:p>
        </w:tc>
        <w:tc>
          <w:tcPr>
            <w:tcW w:w="1701" w:type="dxa"/>
            <w:tcBorders>
              <w:top w:val="nil"/>
              <w:left w:val="nil"/>
              <w:bottom w:val="nil"/>
              <w:right w:val="nil"/>
            </w:tcBorders>
            <w:shd w:val="clear" w:color="auto" w:fill="auto"/>
            <w:noWrap/>
          </w:tcPr>
          <w:p w14:paraId="1372986E"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 &gt; 1</w:t>
            </w:r>
          </w:p>
        </w:tc>
      </w:tr>
      <w:tr w:rsidR="00E702AF" w:rsidRPr="00EA0DC7" w14:paraId="25B61110" w14:textId="77777777" w:rsidTr="003D674B">
        <w:trPr>
          <w:trHeight w:val="300"/>
        </w:trPr>
        <w:tc>
          <w:tcPr>
            <w:tcW w:w="4077" w:type="dxa"/>
            <w:tcBorders>
              <w:top w:val="nil"/>
              <w:left w:val="nil"/>
              <w:bottom w:val="nil"/>
              <w:right w:val="nil"/>
            </w:tcBorders>
            <w:shd w:val="clear" w:color="auto" w:fill="auto"/>
            <w:noWrap/>
          </w:tcPr>
          <w:p w14:paraId="1183FE1F" w14:textId="77777777" w:rsidR="00E702AF" w:rsidRPr="00EA0DC7" w:rsidRDefault="00E702AF" w:rsidP="00BC62A6">
            <w:pPr>
              <w:widowControl w:val="0"/>
              <w:spacing w:after="0"/>
              <w:jc w:val="left"/>
              <w:rPr>
                <w:rFonts w:eastAsia="Times New Roman" w:cs="Arial"/>
                <w:b/>
                <w:bCs/>
                <w:i/>
                <w:iCs/>
                <w:sz w:val="22"/>
              </w:rPr>
            </w:pPr>
            <w:r w:rsidRPr="00EA0DC7">
              <w:rPr>
                <w:rFonts w:eastAsia="Times New Roman" w:cs="Arial"/>
                <w:sz w:val="22"/>
              </w:rPr>
              <w:t>Time accredited as supervisor (years)</w:t>
            </w:r>
          </w:p>
        </w:tc>
        <w:tc>
          <w:tcPr>
            <w:tcW w:w="1560" w:type="dxa"/>
            <w:tcBorders>
              <w:top w:val="nil"/>
              <w:left w:val="nil"/>
              <w:bottom w:val="nil"/>
              <w:right w:val="nil"/>
            </w:tcBorders>
            <w:shd w:val="clear" w:color="auto" w:fill="auto"/>
            <w:noWrap/>
          </w:tcPr>
          <w:p w14:paraId="0FB89DB1"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4.0 (1.41)</w:t>
            </w:r>
          </w:p>
        </w:tc>
        <w:tc>
          <w:tcPr>
            <w:tcW w:w="2160" w:type="dxa"/>
            <w:tcBorders>
              <w:top w:val="nil"/>
              <w:left w:val="nil"/>
              <w:bottom w:val="nil"/>
              <w:right w:val="nil"/>
            </w:tcBorders>
            <w:shd w:val="clear" w:color="auto" w:fill="auto"/>
            <w:noWrap/>
          </w:tcPr>
          <w:p w14:paraId="38864C25"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15.5 (11.1)</w:t>
            </w:r>
          </w:p>
        </w:tc>
        <w:tc>
          <w:tcPr>
            <w:tcW w:w="1842" w:type="dxa"/>
            <w:tcBorders>
              <w:top w:val="nil"/>
              <w:left w:val="nil"/>
              <w:bottom w:val="nil"/>
              <w:right w:val="nil"/>
            </w:tcBorders>
            <w:shd w:val="clear" w:color="auto" w:fill="auto"/>
            <w:noWrap/>
          </w:tcPr>
          <w:p w14:paraId="1323EDCD"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9.51 (9.36)</w:t>
            </w:r>
          </w:p>
        </w:tc>
        <w:tc>
          <w:tcPr>
            <w:tcW w:w="709" w:type="dxa"/>
            <w:tcBorders>
              <w:top w:val="nil"/>
              <w:left w:val="nil"/>
              <w:bottom w:val="nil"/>
              <w:right w:val="nil"/>
            </w:tcBorders>
            <w:shd w:val="clear" w:color="auto" w:fill="auto"/>
            <w:noWrap/>
          </w:tcPr>
          <w:p w14:paraId="64669A73"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27</w:t>
            </w:r>
          </w:p>
        </w:tc>
        <w:tc>
          <w:tcPr>
            <w:tcW w:w="850" w:type="dxa"/>
            <w:tcBorders>
              <w:top w:val="nil"/>
              <w:left w:val="nil"/>
              <w:bottom w:val="nil"/>
              <w:right w:val="nil"/>
            </w:tcBorders>
            <w:shd w:val="clear" w:color="auto" w:fill="auto"/>
            <w:noWrap/>
          </w:tcPr>
          <w:p w14:paraId="4F402AD5"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2.36</w:t>
            </w:r>
          </w:p>
        </w:tc>
        <w:tc>
          <w:tcPr>
            <w:tcW w:w="709" w:type="dxa"/>
            <w:tcBorders>
              <w:top w:val="nil"/>
              <w:left w:val="nil"/>
              <w:bottom w:val="nil"/>
              <w:right w:val="nil"/>
            </w:tcBorders>
            <w:shd w:val="clear" w:color="auto" w:fill="auto"/>
            <w:noWrap/>
          </w:tcPr>
          <w:p w14:paraId="6BB80D49"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.116</w:t>
            </w:r>
          </w:p>
        </w:tc>
        <w:tc>
          <w:tcPr>
            <w:tcW w:w="1701" w:type="dxa"/>
            <w:tcBorders>
              <w:top w:val="nil"/>
              <w:left w:val="nil"/>
              <w:bottom w:val="nil"/>
              <w:right w:val="nil"/>
            </w:tcBorders>
            <w:shd w:val="clear" w:color="auto" w:fill="auto"/>
            <w:noWrap/>
          </w:tcPr>
          <w:p w14:paraId="0EE2968B"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w:t>
            </w:r>
          </w:p>
        </w:tc>
      </w:tr>
      <w:tr w:rsidR="00E702AF" w:rsidRPr="00EA0DC7" w14:paraId="14104D9F" w14:textId="77777777" w:rsidTr="003D674B">
        <w:trPr>
          <w:trHeight w:val="300"/>
        </w:trPr>
        <w:tc>
          <w:tcPr>
            <w:tcW w:w="4077" w:type="dxa"/>
            <w:tcBorders>
              <w:top w:val="nil"/>
              <w:left w:val="nil"/>
              <w:bottom w:val="nil"/>
              <w:right w:val="nil"/>
            </w:tcBorders>
            <w:shd w:val="clear" w:color="auto" w:fill="auto"/>
            <w:noWrap/>
          </w:tcPr>
          <w:p w14:paraId="54B95FFD" w14:textId="47EF4B7D" w:rsidR="00E702AF" w:rsidRPr="00EA0DC7" w:rsidRDefault="00E702AF" w:rsidP="00BC62A6">
            <w:pPr>
              <w:widowControl w:val="0"/>
              <w:spacing w:after="0"/>
              <w:jc w:val="left"/>
              <w:rPr>
                <w:rFonts w:eastAsia="Times New Roman" w:cs="Arial"/>
                <w:b/>
                <w:bCs/>
                <w:i/>
                <w:iCs/>
                <w:sz w:val="22"/>
                <w:highlight w:val="yellow"/>
              </w:rPr>
            </w:pPr>
            <w:r w:rsidRPr="00EA0DC7">
              <w:rPr>
                <w:rFonts w:eastAsia="Times New Roman" w:cs="Arial"/>
                <w:sz w:val="22"/>
              </w:rPr>
              <w:t xml:space="preserve">Intolerance of uncertainty </w:t>
            </w:r>
            <w:r w:rsidR="00BC62A6" w:rsidRPr="00EA0DC7">
              <w:rPr>
                <w:rFonts w:eastAsia="Times New Roman" w:cs="Arial"/>
                <w:sz w:val="22"/>
              </w:rPr>
              <w:t>–</w:t>
            </w:r>
            <w:r w:rsidRPr="00EA0DC7">
              <w:rPr>
                <w:rFonts w:eastAsia="Times New Roman" w:cs="Arial"/>
                <w:sz w:val="22"/>
              </w:rPr>
              <w:t xml:space="preserve"> prospective</w:t>
            </w:r>
          </w:p>
        </w:tc>
        <w:tc>
          <w:tcPr>
            <w:tcW w:w="1560" w:type="dxa"/>
            <w:tcBorders>
              <w:top w:val="nil"/>
              <w:left w:val="nil"/>
              <w:bottom w:val="nil"/>
              <w:right w:val="nil"/>
            </w:tcBorders>
            <w:shd w:val="clear" w:color="auto" w:fill="auto"/>
            <w:noWrap/>
          </w:tcPr>
          <w:p w14:paraId="66A44A32"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2.30 (.680)</w:t>
            </w:r>
          </w:p>
        </w:tc>
        <w:tc>
          <w:tcPr>
            <w:tcW w:w="2160" w:type="dxa"/>
            <w:tcBorders>
              <w:top w:val="nil"/>
              <w:left w:val="nil"/>
              <w:bottom w:val="nil"/>
              <w:right w:val="nil"/>
            </w:tcBorders>
            <w:shd w:val="clear" w:color="auto" w:fill="auto"/>
            <w:noWrap/>
          </w:tcPr>
          <w:p w14:paraId="47BF3F79"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2.73 (.367)</w:t>
            </w:r>
          </w:p>
        </w:tc>
        <w:tc>
          <w:tcPr>
            <w:tcW w:w="1842" w:type="dxa"/>
            <w:tcBorders>
              <w:top w:val="nil"/>
              <w:left w:val="nil"/>
              <w:bottom w:val="nil"/>
              <w:right w:val="nil"/>
            </w:tcBorders>
            <w:shd w:val="clear" w:color="auto" w:fill="auto"/>
            <w:noWrap/>
          </w:tcPr>
          <w:p w14:paraId="0EF2E099"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1.99 (.463)</w:t>
            </w:r>
          </w:p>
        </w:tc>
        <w:tc>
          <w:tcPr>
            <w:tcW w:w="709" w:type="dxa"/>
            <w:tcBorders>
              <w:top w:val="nil"/>
              <w:left w:val="nil"/>
              <w:bottom w:val="nil"/>
              <w:right w:val="nil"/>
            </w:tcBorders>
            <w:shd w:val="clear" w:color="auto" w:fill="auto"/>
            <w:noWrap/>
          </w:tcPr>
          <w:p w14:paraId="169F06AE"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41</w:t>
            </w:r>
          </w:p>
        </w:tc>
        <w:tc>
          <w:tcPr>
            <w:tcW w:w="850" w:type="dxa"/>
            <w:tcBorders>
              <w:top w:val="nil"/>
              <w:left w:val="nil"/>
              <w:bottom w:val="nil"/>
              <w:right w:val="nil"/>
            </w:tcBorders>
            <w:shd w:val="clear" w:color="auto" w:fill="auto"/>
            <w:noWrap/>
          </w:tcPr>
          <w:p w14:paraId="6DD0046B"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5.83</w:t>
            </w:r>
          </w:p>
        </w:tc>
        <w:tc>
          <w:tcPr>
            <w:tcW w:w="709" w:type="dxa"/>
            <w:tcBorders>
              <w:top w:val="nil"/>
              <w:left w:val="nil"/>
              <w:bottom w:val="nil"/>
              <w:right w:val="nil"/>
            </w:tcBorders>
            <w:shd w:val="clear" w:color="auto" w:fill="auto"/>
            <w:noWrap/>
          </w:tcPr>
          <w:p w14:paraId="60467A73"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.006</w:t>
            </w:r>
          </w:p>
        </w:tc>
        <w:tc>
          <w:tcPr>
            <w:tcW w:w="1701" w:type="dxa"/>
            <w:tcBorders>
              <w:top w:val="nil"/>
              <w:left w:val="nil"/>
              <w:bottom w:val="nil"/>
              <w:right w:val="nil"/>
            </w:tcBorders>
            <w:shd w:val="clear" w:color="auto" w:fill="auto"/>
            <w:noWrap/>
          </w:tcPr>
          <w:p w14:paraId="0AD4781B"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2 &gt; 3</w:t>
            </w:r>
          </w:p>
        </w:tc>
      </w:tr>
      <w:tr w:rsidR="00E702AF" w:rsidRPr="00EA0DC7" w14:paraId="140D41FF" w14:textId="77777777" w:rsidTr="003D674B">
        <w:trPr>
          <w:trHeight w:val="300"/>
        </w:trPr>
        <w:tc>
          <w:tcPr>
            <w:tcW w:w="4077" w:type="dxa"/>
            <w:tcBorders>
              <w:top w:val="nil"/>
              <w:left w:val="nil"/>
              <w:right w:val="nil"/>
            </w:tcBorders>
            <w:shd w:val="clear" w:color="auto" w:fill="auto"/>
            <w:noWrap/>
          </w:tcPr>
          <w:p w14:paraId="507E8DE0" w14:textId="2360DD5B" w:rsidR="00E702AF" w:rsidRPr="00EA0DC7" w:rsidRDefault="00E702AF" w:rsidP="00BC62A6">
            <w:pPr>
              <w:widowControl w:val="0"/>
              <w:spacing w:after="0"/>
              <w:jc w:val="left"/>
              <w:rPr>
                <w:rFonts w:eastAsia="Times New Roman" w:cs="Arial"/>
                <w:b/>
                <w:bCs/>
                <w:i/>
                <w:iCs/>
                <w:sz w:val="22"/>
                <w:highlight w:val="yellow"/>
              </w:rPr>
            </w:pPr>
            <w:r w:rsidRPr="00EA0DC7">
              <w:rPr>
                <w:rFonts w:eastAsia="Times New Roman" w:cs="Arial"/>
                <w:sz w:val="22"/>
              </w:rPr>
              <w:t xml:space="preserve">Intolerance of uncertainty </w:t>
            </w:r>
            <w:r w:rsidR="007B3C0E" w:rsidRPr="00EA0DC7">
              <w:rPr>
                <w:rFonts w:eastAsia="Times New Roman" w:cs="Arial"/>
                <w:sz w:val="22"/>
              </w:rPr>
              <w:t>–</w:t>
            </w:r>
            <w:r w:rsidRPr="00EA0DC7">
              <w:rPr>
                <w:rFonts w:eastAsia="Times New Roman" w:cs="Arial"/>
                <w:sz w:val="22"/>
              </w:rPr>
              <w:t xml:space="preserve"> inhibitory</w:t>
            </w:r>
          </w:p>
        </w:tc>
        <w:tc>
          <w:tcPr>
            <w:tcW w:w="1560" w:type="dxa"/>
            <w:tcBorders>
              <w:top w:val="nil"/>
              <w:left w:val="nil"/>
              <w:right w:val="nil"/>
            </w:tcBorders>
            <w:shd w:val="clear" w:color="auto" w:fill="auto"/>
            <w:noWrap/>
          </w:tcPr>
          <w:p w14:paraId="22159E4C"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1.37 (.414)</w:t>
            </w:r>
          </w:p>
        </w:tc>
        <w:tc>
          <w:tcPr>
            <w:tcW w:w="2160" w:type="dxa"/>
            <w:tcBorders>
              <w:top w:val="nil"/>
              <w:left w:val="nil"/>
              <w:right w:val="nil"/>
            </w:tcBorders>
            <w:shd w:val="clear" w:color="auto" w:fill="auto"/>
            <w:noWrap/>
          </w:tcPr>
          <w:p w14:paraId="32668DDF"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1.84 (.467)</w:t>
            </w:r>
          </w:p>
        </w:tc>
        <w:tc>
          <w:tcPr>
            <w:tcW w:w="1842" w:type="dxa"/>
            <w:tcBorders>
              <w:top w:val="nil"/>
              <w:left w:val="nil"/>
              <w:right w:val="nil"/>
            </w:tcBorders>
            <w:shd w:val="clear" w:color="auto" w:fill="auto"/>
            <w:noWrap/>
          </w:tcPr>
          <w:p w14:paraId="235D69B2"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1.42 (.837)</w:t>
            </w:r>
          </w:p>
        </w:tc>
        <w:tc>
          <w:tcPr>
            <w:tcW w:w="709" w:type="dxa"/>
            <w:tcBorders>
              <w:top w:val="nil"/>
              <w:left w:val="nil"/>
              <w:right w:val="nil"/>
            </w:tcBorders>
            <w:shd w:val="clear" w:color="auto" w:fill="auto"/>
            <w:noWrap/>
          </w:tcPr>
          <w:p w14:paraId="51ACA8A8"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41</w:t>
            </w:r>
          </w:p>
        </w:tc>
        <w:tc>
          <w:tcPr>
            <w:tcW w:w="850" w:type="dxa"/>
            <w:tcBorders>
              <w:top w:val="nil"/>
              <w:left w:val="nil"/>
              <w:right w:val="nil"/>
            </w:tcBorders>
            <w:shd w:val="clear" w:color="auto" w:fill="auto"/>
            <w:noWrap/>
          </w:tcPr>
          <w:p w14:paraId="67CF0A73"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1.68</w:t>
            </w:r>
          </w:p>
        </w:tc>
        <w:tc>
          <w:tcPr>
            <w:tcW w:w="709" w:type="dxa"/>
            <w:tcBorders>
              <w:top w:val="nil"/>
              <w:left w:val="nil"/>
              <w:right w:val="nil"/>
            </w:tcBorders>
            <w:shd w:val="clear" w:color="auto" w:fill="auto"/>
            <w:noWrap/>
          </w:tcPr>
          <w:p w14:paraId="0CD0BA51"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.199</w:t>
            </w:r>
          </w:p>
        </w:tc>
        <w:tc>
          <w:tcPr>
            <w:tcW w:w="1701" w:type="dxa"/>
            <w:tcBorders>
              <w:top w:val="nil"/>
              <w:left w:val="nil"/>
              <w:right w:val="nil"/>
            </w:tcBorders>
            <w:shd w:val="clear" w:color="auto" w:fill="auto"/>
            <w:noWrap/>
          </w:tcPr>
          <w:p w14:paraId="3E88756A" w14:textId="77777777" w:rsidR="00E702AF" w:rsidRPr="00EA0DC7" w:rsidRDefault="00E702AF" w:rsidP="00C66F02">
            <w:pPr>
              <w:widowControl w:val="0"/>
              <w:spacing w:after="0"/>
              <w:jc w:val="center"/>
              <w:rPr>
                <w:rFonts w:eastAsia="Times New Roman" w:cs="Arial"/>
                <w:sz w:val="22"/>
                <w:highlight w:val="yellow"/>
              </w:rPr>
            </w:pPr>
            <w:r w:rsidRPr="00EA0DC7">
              <w:rPr>
                <w:rFonts w:eastAsia="Times New Roman" w:cs="Arial"/>
                <w:sz w:val="22"/>
              </w:rPr>
              <w:t>-</w:t>
            </w:r>
          </w:p>
        </w:tc>
      </w:tr>
      <w:tr w:rsidR="00E702AF" w:rsidRPr="00EA0DC7" w14:paraId="6919F05E" w14:textId="77777777" w:rsidTr="003D674B">
        <w:trPr>
          <w:trHeight w:val="300"/>
        </w:trPr>
        <w:tc>
          <w:tcPr>
            <w:tcW w:w="4077" w:type="dxa"/>
            <w:tcBorders>
              <w:top w:val="nil"/>
              <w:left w:val="nil"/>
              <w:bottom w:val="single" w:sz="4" w:space="0" w:color="auto"/>
              <w:right w:val="nil"/>
            </w:tcBorders>
            <w:shd w:val="clear" w:color="auto" w:fill="auto"/>
            <w:noWrap/>
          </w:tcPr>
          <w:p w14:paraId="5BA988FC" w14:textId="25F79BAA" w:rsidR="00E702AF" w:rsidRPr="00EA0DC7" w:rsidRDefault="00E702AF" w:rsidP="00BC62A6">
            <w:pPr>
              <w:widowControl w:val="0"/>
              <w:spacing w:after="0"/>
              <w:jc w:val="left"/>
              <w:rPr>
                <w:rFonts w:eastAsia="Times New Roman" w:cs="Arial"/>
                <w:b/>
                <w:bCs/>
                <w:i/>
                <w:iCs/>
                <w:sz w:val="22"/>
              </w:rPr>
            </w:pPr>
            <w:commentRangeStart w:id="148"/>
            <w:r w:rsidRPr="00EA0DC7">
              <w:rPr>
                <w:rFonts w:eastAsia="Times New Roman" w:cs="Arial"/>
                <w:sz w:val="22"/>
              </w:rPr>
              <w:t xml:space="preserve">Rosenberg Self-Esteem </w:t>
            </w:r>
            <w:r w:rsidR="007B3C0E" w:rsidRPr="00EA0DC7">
              <w:rPr>
                <w:rFonts w:eastAsia="Times New Roman" w:cs="Arial"/>
                <w:sz w:val="22"/>
              </w:rPr>
              <w:t>S</w:t>
            </w:r>
            <w:r w:rsidRPr="00EA0DC7">
              <w:rPr>
                <w:rFonts w:eastAsia="Times New Roman" w:cs="Arial"/>
                <w:sz w:val="22"/>
              </w:rPr>
              <w:t>cale</w:t>
            </w:r>
            <w:commentRangeEnd w:id="148"/>
            <w:r w:rsidR="00364213">
              <w:rPr>
                <w:rStyle w:val="CommentReference"/>
                <w:rFonts w:eastAsiaTheme="minorHAnsi"/>
                <w:lang w:eastAsia="en-US"/>
              </w:rPr>
              <w:commentReference w:id="148"/>
            </w:r>
          </w:p>
        </w:tc>
        <w:tc>
          <w:tcPr>
            <w:tcW w:w="1560" w:type="dxa"/>
            <w:tcBorders>
              <w:top w:val="nil"/>
              <w:left w:val="nil"/>
              <w:bottom w:val="single" w:sz="4" w:space="0" w:color="auto"/>
              <w:right w:val="nil"/>
            </w:tcBorders>
            <w:shd w:val="clear" w:color="auto" w:fill="auto"/>
            <w:noWrap/>
          </w:tcPr>
          <w:p w14:paraId="11F911FA"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22.6 (4.37)</w:t>
            </w:r>
          </w:p>
        </w:tc>
        <w:tc>
          <w:tcPr>
            <w:tcW w:w="2160" w:type="dxa"/>
            <w:tcBorders>
              <w:top w:val="nil"/>
              <w:left w:val="nil"/>
              <w:bottom w:val="single" w:sz="4" w:space="0" w:color="auto"/>
              <w:right w:val="nil"/>
            </w:tcBorders>
            <w:shd w:val="clear" w:color="auto" w:fill="auto"/>
            <w:noWrap/>
          </w:tcPr>
          <w:p w14:paraId="1B3362EA"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22.2 (3.39)</w:t>
            </w:r>
          </w:p>
        </w:tc>
        <w:tc>
          <w:tcPr>
            <w:tcW w:w="1842" w:type="dxa"/>
            <w:tcBorders>
              <w:top w:val="nil"/>
              <w:left w:val="nil"/>
              <w:bottom w:val="single" w:sz="4" w:space="0" w:color="auto"/>
              <w:right w:val="nil"/>
            </w:tcBorders>
            <w:shd w:val="clear" w:color="auto" w:fill="auto"/>
            <w:noWrap/>
          </w:tcPr>
          <w:p w14:paraId="1D665C3D"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25.3 (2.87)</w:t>
            </w:r>
          </w:p>
        </w:tc>
        <w:tc>
          <w:tcPr>
            <w:tcW w:w="709" w:type="dxa"/>
            <w:tcBorders>
              <w:top w:val="nil"/>
              <w:left w:val="nil"/>
              <w:bottom w:val="single" w:sz="4" w:space="0" w:color="auto"/>
              <w:right w:val="nil"/>
            </w:tcBorders>
            <w:shd w:val="clear" w:color="auto" w:fill="auto"/>
            <w:noWrap/>
          </w:tcPr>
          <w:p w14:paraId="7AED5098"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42</w:t>
            </w:r>
          </w:p>
        </w:tc>
        <w:tc>
          <w:tcPr>
            <w:tcW w:w="850" w:type="dxa"/>
            <w:tcBorders>
              <w:top w:val="nil"/>
              <w:left w:val="nil"/>
              <w:bottom w:val="single" w:sz="4" w:space="0" w:color="auto"/>
              <w:right w:val="nil"/>
            </w:tcBorders>
            <w:shd w:val="clear" w:color="auto" w:fill="auto"/>
            <w:noWrap/>
          </w:tcPr>
          <w:p w14:paraId="7D39DF83"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3.36</w:t>
            </w:r>
          </w:p>
        </w:tc>
        <w:tc>
          <w:tcPr>
            <w:tcW w:w="709" w:type="dxa"/>
            <w:tcBorders>
              <w:top w:val="nil"/>
              <w:left w:val="nil"/>
              <w:bottom w:val="single" w:sz="4" w:space="0" w:color="auto"/>
              <w:right w:val="nil"/>
            </w:tcBorders>
            <w:shd w:val="clear" w:color="auto" w:fill="auto"/>
            <w:noWrap/>
          </w:tcPr>
          <w:p w14:paraId="30408E04"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.045</w:t>
            </w:r>
          </w:p>
        </w:tc>
        <w:tc>
          <w:tcPr>
            <w:tcW w:w="1701" w:type="dxa"/>
            <w:tcBorders>
              <w:top w:val="nil"/>
              <w:left w:val="nil"/>
              <w:bottom w:val="single" w:sz="4" w:space="0" w:color="auto"/>
              <w:right w:val="nil"/>
            </w:tcBorders>
            <w:shd w:val="clear" w:color="auto" w:fill="auto"/>
            <w:noWrap/>
          </w:tcPr>
          <w:p w14:paraId="3794F8CF" w14:textId="77777777" w:rsidR="00E702AF" w:rsidRPr="00EA0DC7" w:rsidRDefault="00E702AF" w:rsidP="00C66F02">
            <w:pPr>
              <w:widowControl w:val="0"/>
              <w:spacing w:after="0"/>
              <w:jc w:val="center"/>
              <w:rPr>
                <w:rFonts w:eastAsia="Times New Roman" w:cs="Arial"/>
                <w:sz w:val="22"/>
              </w:rPr>
            </w:pPr>
            <w:r w:rsidRPr="00EA0DC7">
              <w:rPr>
                <w:rFonts w:eastAsia="Times New Roman" w:cs="Arial"/>
                <w:sz w:val="22"/>
              </w:rPr>
              <w:t>-</w:t>
            </w:r>
          </w:p>
        </w:tc>
      </w:tr>
    </w:tbl>
    <w:p w14:paraId="348D94CC" w14:textId="77777777" w:rsidR="003D674B" w:rsidRPr="00EA0DC7" w:rsidRDefault="003D674B" w:rsidP="00FD2A1D">
      <w:pPr>
        <w:spacing w:after="0"/>
        <w:ind w:firstLine="720"/>
        <w:rPr>
          <w:rFonts w:cs="Arial"/>
        </w:rPr>
        <w:sectPr w:rsidR="003D674B" w:rsidRPr="00EA0DC7" w:rsidSect="00216A42">
          <w:pgSz w:w="16838" w:h="11906" w:orient="landscape"/>
          <w:pgMar w:top="1440" w:right="1440" w:bottom="2268" w:left="1440" w:header="709" w:footer="709" w:gutter="0"/>
          <w:cols w:space="708"/>
          <w:docGrid w:linePitch="360"/>
        </w:sectPr>
      </w:pPr>
    </w:p>
    <w:p w14:paraId="1FD3A2B4" w14:textId="61D5CC63" w:rsidR="00FD2A1D" w:rsidRPr="00EA0DC7" w:rsidRDefault="00FD2A1D" w:rsidP="003D674B">
      <w:pPr>
        <w:widowControl w:val="0"/>
        <w:ind w:firstLine="720"/>
        <w:rPr>
          <w:rFonts w:cs="Arial"/>
          <w:b/>
        </w:rPr>
      </w:pPr>
      <w:r w:rsidRPr="00EA0DC7">
        <w:rPr>
          <w:rFonts w:cs="Arial"/>
        </w:rPr>
        <w:lastRenderedPageBreak/>
        <w:t>The only categorical characteristic found to be associated with the clusters was supervisor accreditation (</w:t>
      </w:r>
      <w:r w:rsidRPr="00EA0DC7">
        <w:rPr>
          <w:rStyle w:val="nowrap1"/>
          <w:rFonts w:cs="Arial"/>
          <w:i/>
        </w:rPr>
        <w:t>χ</w:t>
      </w:r>
      <w:r w:rsidRPr="00EA0DC7">
        <w:rPr>
          <w:rFonts w:cs="Arial"/>
          <w:i/>
          <w:vertAlign w:val="superscript"/>
        </w:rPr>
        <w:t xml:space="preserve"> 2</w:t>
      </w:r>
      <w:r w:rsidRPr="00EA0DC7">
        <w:rPr>
          <w:rFonts w:cs="Arial"/>
          <w:vertAlign w:val="superscript"/>
        </w:rPr>
        <w:t xml:space="preserve"> </w:t>
      </w:r>
      <w:r w:rsidRPr="00EA0DC7">
        <w:rPr>
          <w:rFonts w:cs="Arial"/>
        </w:rPr>
        <w:t>(</w:t>
      </w:r>
      <w:r w:rsidRPr="00EA0DC7">
        <w:rPr>
          <w:rFonts w:cs="Arial"/>
          <w:i/>
        </w:rPr>
        <w:t>df</w:t>
      </w:r>
      <w:r w:rsidRPr="00EA0DC7">
        <w:rPr>
          <w:rFonts w:cs="Arial"/>
        </w:rPr>
        <w:t xml:space="preserve"> = 2) = 13.83, </w:t>
      </w:r>
      <w:r w:rsidRPr="00EA0DC7">
        <w:rPr>
          <w:rFonts w:cs="Arial"/>
          <w:i/>
        </w:rPr>
        <w:t xml:space="preserve">p </w:t>
      </w:r>
      <w:r w:rsidRPr="00EA0DC7">
        <w:rPr>
          <w:rFonts w:cs="Arial"/>
        </w:rPr>
        <w:t>= .001)</w:t>
      </w:r>
      <w:r w:rsidR="002412D3" w:rsidRPr="00EA0DC7">
        <w:rPr>
          <w:rFonts w:cs="Arial"/>
        </w:rPr>
        <w:t xml:space="preserve">. In the </w:t>
      </w:r>
      <w:r w:rsidR="002412D3" w:rsidRPr="00EA0DC7">
        <w:rPr>
          <w:rFonts w:cs="Arial"/>
          <w:i/>
        </w:rPr>
        <w:t>Unfocused</w:t>
      </w:r>
      <w:r w:rsidRPr="00EA0DC7">
        <w:rPr>
          <w:rFonts w:cs="Arial"/>
        </w:rPr>
        <w:t xml:space="preserve"> cluster, 28.6% were accredited, co</w:t>
      </w:r>
      <w:r w:rsidR="002412D3" w:rsidRPr="00EA0DC7">
        <w:rPr>
          <w:rFonts w:cs="Arial"/>
        </w:rPr>
        <w:t xml:space="preserve">mpared with 100% of the </w:t>
      </w:r>
      <w:r w:rsidRPr="00EA0DC7">
        <w:rPr>
          <w:rFonts w:cs="Arial"/>
          <w:i/>
        </w:rPr>
        <w:t>Case Management-Focused</w:t>
      </w:r>
      <w:r w:rsidRPr="00EA0DC7">
        <w:rPr>
          <w:rFonts w:cs="Arial"/>
        </w:rPr>
        <w:t xml:space="preserve"> cluster and 72.2% of the </w:t>
      </w:r>
      <w:r w:rsidRPr="00EA0DC7">
        <w:rPr>
          <w:rFonts w:cs="Arial"/>
          <w:i/>
        </w:rPr>
        <w:t>Alliance- and Technique-Focused</w:t>
      </w:r>
      <w:r w:rsidRPr="00EA0DC7">
        <w:rPr>
          <w:rFonts w:cs="Arial"/>
        </w:rPr>
        <w:t xml:space="preserve"> group. Categorical characteristics found not to be associated with the clusters were gender; country of training trained; current country of residence; background profession; use of treatment manuals and therapist accreditation. </w:t>
      </w:r>
    </w:p>
    <w:p w14:paraId="15158B5D" w14:textId="66DBB7AE" w:rsidR="00FD2A1D" w:rsidRPr="00EA0DC7" w:rsidRDefault="00927002" w:rsidP="00E702AF">
      <w:pPr>
        <w:pStyle w:val="Heading2"/>
      </w:pPr>
      <w:bookmarkStart w:id="149" w:name="_Toc47039845"/>
      <w:r w:rsidRPr="00EA0DC7">
        <w:t>4.5</w:t>
      </w:r>
      <w:r w:rsidR="00E702AF" w:rsidRPr="00EA0DC7">
        <w:t xml:space="preserve"> </w:t>
      </w:r>
      <w:r w:rsidR="00FD2A1D" w:rsidRPr="00EA0DC7">
        <w:t>Discussion</w:t>
      </w:r>
      <w:bookmarkEnd w:id="149"/>
    </w:p>
    <w:p w14:paraId="76903C8F" w14:textId="3905691A" w:rsidR="00FD2A1D" w:rsidRPr="00EA0DC7" w:rsidRDefault="00FD2A1D" w:rsidP="00FD2A1D">
      <w:pPr>
        <w:widowControl w:val="0"/>
        <w:tabs>
          <w:tab w:val="left" w:pos="709"/>
        </w:tabs>
        <w:spacing w:after="0"/>
        <w:ind w:firstLine="709"/>
        <w:rPr>
          <w:rFonts w:cs="Arial"/>
        </w:rPr>
      </w:pPr>
      <w:r w:rsidRPr="00EA0DC7">
        <w:rPr>
          <w:rFonts w:cs="Arial"/>
        </w:rPr>
        <w:t xml:space="preserve">This study explored the focus of CBT supervision for depression cases, comparing patterns of guidance given to clinicians working with patients with different levels of clinical complexity. Overall, supervisors tended to focus on evidence-based techniques, especially for </w:t>
      </w:r>
      <w:r w:rsidR="0062721E">
        <w:rPr>
          <w:rFonts w:cs="Arial"/>
        </w:rPr>
        <w:t>“</w:t>
      </w:r>
      <w:r w:rsidRPr="00EA0DC7">
        <w:rPr>
          <w:rFonts w:cs="Arial"/>
        </w:rPr>
        <w:t>straightforward</w:t>
      </w:r>
      <w:r w:rsidR="0062721E">
        <w:rPr>
          <w:rFonts w:cs="Arial"/>
        </w:rPr>
        <w:t>”</w:t>
      </w:r>
      <w:r w:rsidRPr="00EA0DC7">
        <w:rPr>
          <w:rFonts w:cs="Arial"/>
        </w:rPr>
        <w:t xml:space="preserve"> and </w:t>
      </w:r>
      <w:r w:rsidR="0062721E">
        <w:rPr>
          <w:rFonts w:cs="Arial"/>
        </w:rPr>
        <w:t>“</w:t>
      </w:r>
      <w:r w:rsidRPr="00EA0DC7">
        <w:rPr>
          <w:rFonts w:cs="Arial"/>
        </w:rPr>
        <w:t>complex</w:t>
      </w:r>
      <w:r w:rsidR="0062721E">
        <w:rPr>
          <w:rFonts w:cs="Arial"/>
        </w:rPr>
        <w:t>”</w:t>
      </w:r>
      <w:r w:rsidRPr="00EA0DC7">
        <w:rPr>
          <w:rFonts w:cs="Arial"/>
        </w:rPr>
        <w:t xml:space="preserve"> depression cases. However, for relatively </w:t>
      </w:r>
      <w:r w:rsidR="0062721E">
        <w:rPr>
          <w:rFonts w:cs="Arial"/>
        </w:rPr>
        <w:t>“</w:t>
      </w:r>
      <w:r w:rsidRPr="00EA0DC7">
        <w:rPr>
          <w:rFonts w:cs="Arial"/>
        </w:rPr>
        <w:t>diffuse</w:t>
      </w:r>
      <w:r w:rsidR="0062721E">
        <w:rPr>
          <w:rFonts w:cs="Arial"/>
        </w:rPr>
        <w:t>”</w:t>
      </w:r>
      <w:r w:rsidRPr="00EA0DC7">
        <w:rPr>
          <w:rFonts w:cs="Arial"/>
        </w:rPr>
        <w:t xml:space="preserve"> cases, supervisors reported taking a less evidence-based approach. </w:t>
      </w:r>
    </w:p>
    <w:p w14:paraId="1670289F" w14:textId="10BB72D7" w:rsidR="00FD2A1D" w:rsidRPr="00EA0DC7" w:rsidRDefault="00FD2A1D" w:rsidP="00FD2A1D">
      <w:pPr>
        <w:widowControl w:val="0"/>
        <w:tabs>
          <w:tab w:val="left" w:pos="709"/>
        </w:tabs>
        <w:spacing w:after="0"/>
        <w:ind w:firstLine="709"/>
        <w:rPr>
          <w:rFonts w:cs="Arial"/>
        </w:rPr>
      </w:pPr>
      <w:r w:rsidRPr="00EA0DC7">
        <w:rPr>
          <w:rFonts w:cs="Arial"/>
        </w:rPr>
        <w:t>Three clear supervisor</w:t>
      </w:r>
      <w:r w:rsidR="00B0573A" w:rsidRPr="00EA0DC7">
        <w:rPr>
          <w:rFonts w:cs="Arial"/>
        </w:rPr>
        <w:t>y types emerged from the sample –</w:t>
      </w:r>
      <w:r w:rsidRPr="00EA0DC7">
        <w:rPr>
          <w:rFonts w:cs="Arial"/>
        </w:rPr>
        <w:t xml:space="preserve"> an</w:t>
      </w:r>
      <w:r w:rsidRPr="00EA0DC7">
        <w:rPr>
          <w:rFonts w:cs="Arial"/>
          <w:i/>
        </w:rPr>
        <w:t xml:space="preserve"> Alliance- and Technique-Focused</w:t>
      </w:r>
      <w:r w:rsidRPr="00EA0DC7">
        <w:rPr>
          <w:rFonts w:cs="Arial"/>
        </w:rPr>
        <w:t xml:space="preserve"> group, a </w:t>
      </w:r>
      <w:r w:rsidRPr="00EA0DC7">
        <w:rPr>
          <w:rFonts w:cs="Arial"/>
          <w:i/>
        </w:rPr>
        <w:t>Case Management-Focused</w:t>
      </w:r>
      <w:r w:rsidRPr="00EA0DC7">
        <w:rPr>
          <w:rFonts w:cs="Arial"/>
        </w:rPr>
        <w:t xml:space="preserve"> group, and an </w:t>
      </w:r>
      <w:r w:rsidRPr="00EA0DC7">
        <w:rPr>
          <w:rFonts w:cs="Arial"/>
          <w:i/>
        </w:rPr>
        <w:t xml:space="preserve">Unfocused </w:t>
      </w:r>
      <w:r w:rsidRPr="00EA0DC7">
        <w:rPr>
          <w:rFonts w:cs="Arial"/>
        </w:rPr>
        <w:t xml:space="preserve">group. An important point to note is that there was no distinction between supervisors who encouraged a focus on CBT techniques or the alliance – if the supervisor addressed one; they addressed both (albeit they stressed the use of techniques to a greater degree). Perhaps more surprising was the number of supervisors whose guidance for supervisees seemed to lack any of these foci, regardless of the nature of the case (at least within the domain of depression). These three patterns of clinical supervisory practice were related to the characteristics of the supervisors themselves. Those who </w:t>
      </w:r>
      <w:r w:rsidRPr="00EA0DC7">
        <w:rPr>
          <w:rFonts w:cs="Arial"/>
        </w:rPr>
        <w:lastRenderedPageBreak/>
        <w:t>focus</w:t>
      </w:r>
      <w:r w:rsidR="007B3C0E" w:rsidRPr="00EA0DC7">
        <w:rPr>
          <w:rFonts w:cs="Arial"/>
        </w:rPr>
        <w:t>ed</w:t>
      </w:r>
      <w:r w:rsidRPr="00EA0DC7">
        <w:rPr>
          <w:rFonts w:cs="Arial"/>
        </w:rPr>
        <w:t xml:space="preserve"> their supervisees </w:t>
      </w:r>
      <w:r w:rsidR="007B3C0E" w:rsidRPr="00EA0DC7">
        <w:rPr>
          <w:rFonts w:cs="Arial"/>
        </w:rPr>
        <w:t xml:space="preserve">more </w:t>
      </w:r>
      <w:r w:rsidRPr="00EA0DC7">
        <w:rPr>
          <w:rFonts w:cs="Arial"/>
        </w:rPr>
        <w:t xml:space="preserve">on case management issues were more likely to have anxiety surrounding future events but to have also been practicing for longer than others. In contrast, those who focused on guiding both alliance and technique in supervision also tend to be those who had higher self-esteem. </w:t>
      </w:r>
    </w:p>
    <w:p w14:paraId="67D31A2D" w14:textId="77777777" w:rsidR="00FD2A1D" w:rsidRPr="00EA0DC7" w:rsidRDefault="00FD2A1D" w:rsidP="00FD2A1D">
      <w:pPr>
        <w:widowControl w:val="0"/>
        <w:tabs>
          <w:tab w:val="left" w:pos="709"/>
        </w:tabs>
        <w:spacing w:after="0"/>
        <w:ind w:firstLine="709"/>
        <w:rPr>
          <w:rFonts w:cs="Arial"/>
        </w:rPr>
      </w:pPr>
      <w:r w:rsidRPr="00EA0DC7">
        <w:rPr>
          <w:rFonts w:cs="Arial"/>
        </w:rPr>
        <w:t xml:space="preserve">The three supervisor types that have emerged from these data seem to be partially reflected in established supervision models. However, while most models tend to focus on one specific aspect of the supervision </w:t>
      </w:r>
      <w:r w:rsidRPr="00EA0DC7">
        <w:rPr>
          <w:rFonts w:cs="Arial"/>
          <w:noProof/>
        </w:rPr>
        <w:t>(Bernard &amp; Goodyear, 2004; Hawkins &amp; Shohet, 1989; Mead, 1990; van Ooijen, 2000),</w:t>
      </w:r>
      <w:r w:rsidRPr="00EA0DC7">
        <w:rPr>
          <w:rFonts w:cs="Arial"/>
        </w:rPr>
        <w:t xml:space="preserve"> that was not the case here. The largest group of supervisors (Alliance- and Technique-Focused) combines features of competency-based models focusing on techniques </w:t>
      </w:r>
      <w:r w:rsidRPr="00EA0DC7">
        <w:rPr>
          <w:rFonts w:cs="Arial"/>
          <w:noProof/>
        </w:rPr>
        <w:t>(Bernard &amp; Goodyear, 2004; Mead, 1990)</w:t>
      </w:r>
      <w:r w:rsidRPr="00EA0DC7">
        <w:rPr>
          <w:rFonts w:cs="Arial"/>
        </w:rPr>
        <w:t xml:space="preserve"> and process models focusing on relationship dynamics </w:t>
      </w:r>
      <w:r w:rsidRPr="00EA0DC7">
        <w:rPr>
          <w:rFonts w:cs="Arial"/>
          <w:noProof/>
        </w:rPr>
        <w:t>(Hawkins &amp; Shohet, 1989; van Ooijen, 2000)</w:t>
      </w:r>
      <w:r w:rsidRPr="00EA0DC7">
        <w:rPr>
          <w:rFonts w:cs="Arial"/>
        </w:rPr>
        <w:t>. Thus, supervision models might need to be developed to allow for this dual focus in everyday practice, rather than being presented as alternatives. A new supervision model might take evidence-based aspects of other models and combine them for a more integrative model. Such a model should also take into account the characteristics of the supervisors themselves. Based on the current study, it is clear that supervisors need to evaluate their own characteristics, as well as those of their supervisees and patients.</w:t>
      </w:r>
    </w:p>
    <w:p w14:paraId="28A015F4" w14:textId="4080CE22" w:rsidR="00FD2A1D" w:rsidRPr="00EA0DC7" w:rsidRDefault="00FD2A1D" w:rsidP="00FD2A1D">
      <w:pPr>
        <w:widowControl w:val="0"/>
        <w:tabs>
          <w:tab w:val="left" w:pos="709"/>
        </w:tabs>
        <w:spacing w:after="0"/>
        <w:ind w:firstLine="709"/>
        <w:rPr>
          <w:rFonts w:cs="Arial"/>
        </w:rPr>
      </w:pPr>
      <w:r w:rsidRPr="00EA0DC7">
        <w:rPr>
          <w:rFonts w:cs="Arial"/>
        </w:rPr>
        <w:t xml:space="preserve">The finding that supervisor characteristics are associated with their supervisory practice needs consideration. The fact that supervisors with higher levels of prospective anxiety are likely to encourage supervisees to focus on case management (e.g., monitoring risk; exploring the patient’s week) is </w:t>
      </w:r>
      <w:r w:rsidRPr="00EA0DC7">
        <w:rPr>
          <w:rFonts w:cs="Arial"/>
        </w:rPr>
        <w:lastRenderedPageBreak/>
        <w:t xml:space="preserve">compatible with the finding that more anxious therapists avoid the use of core CBT techniques in therapy </w:t>
      </w:r>
      <w:r w:rsidRPr="00EA0DC7">
        <w:rPr>
          <w:rFonts w:cs="Arial"/>
          <w:noProof/>
        </w:rPr>
        <w:t xml:space="preserve">(e.g., Meyer, </w:t>
      </w:r>
      <w:r w:rsidR="0065163F" w:rsidRPr="00EA0DC7">
        <w:rPr>
          <w:rFonts w:cs="Arial"/>
          <w:noProof/>
        </w:rPr>
        <w:t>et al.</w:t>
      </w:r>
      <w:r w:rsidRPr="00EA0DC7">
        <w:rPr>
          <w:rFonts w:cs="Arial"/>
          <w:noProof/>
        </w:rPr>
        <w:t>, 2014; Waller et al., 2012)</w:t>
      </w:r>
      <w:r w:rsidRPr="00EA0DC7">
        <w:rPr>
          <w:rFonts w:cs="Arial"/>
        </w:rPr>
        <w:t xml:space="preserve">. It is also possible that supervisors’ fear over future events leads them to focus on patient safety to the exclusion of more change-oriented methods. Similarly, the higher self-esteem of those who focus on the alliance and techniques is compatible with the finding that clinicians with higher self-esteem are more likely to use treatment manuals </w:t>
      </w:r>
      <w:r w:rsidRPr="00EA0DC7">
        <w:rPr>
          <w:rFonts w:cs="Arial"/>
          <w:noProof/>
        </w:rPr>
        <w:t>(Waller et al., 2013)</w:t>
      </w:r>
      <w:r w:rsidRPr="00EA0DC7">
        <w:rPr>
          <w:rFonts w:cs="Arial"/>
        </w:rPr>
        <w:t>. This result might also be related to the finding that high supervisor self-acceptance and self-efficacy positively affect</w:t>
      </w:r>
      <w:r w:rsidR="000170BA" w:rsidRPr="00EA0DC7">
        <w:rPr>
          <w:rFonts w:cs="Arial"/>
        </w:rPr>
        <w:t>s</w:t>
      </w:r>
      <w:r w:rsidRPr="00EA0DC7">
        <w:rPr>
          <w:rFonts w:cs="Arial"/>
        </w:rPr>
        <w:t xml:space="preserve"> trainees’ outcomes </w:t>
      </w:r>
      <w:r w:rsidRPr="00EA0DC7">
        <w:rPr>
          <w:rFonts w:cs="Arial"/>
          <w:noProof/>
        </w:rPr>
        <w:t>(Moldovan &amp; David, 2013)</w:t>
      </w:r>
      <w:r w:rsidRPr="00EA0DC7">
        <w:rPr>
          <w:rFonts w:cs="Arial"/>
        </w:rPr>
        <w:t>. What is possibly more unexpected is the tendency for more experienced supervisors to focus their supervisees more on case management and less on alliance and techniques, though it could be argued that this is a simple example of supervisory drift with time.</w:t>
      </w:r>
    </w:p>
    <w:p w14:paraId="2076F0CF" w14:textId="071C9B3A" w:rsidR="00FD2A1D" w:rsidRPr="00EA0DC7" w:rsidRDefault="00FD2A1D" w:rsidP="00FD2A1D">
      <w:pPr>
        <w:widowControl w:val="0"/>
        <w:tabs>
          <w:tab w:val="left" w:pos="709"/>
        </w:tabs>
        <w:spacing w:after="0"/>
        <w:ind w:firstLine="709"/>
        <w:rPr>
          <w:rFonts w:cs="Arial"/>
        </w:rPr>
      </w:pPr>
      <w:r w:rsidRPr="00EA0DC7">
        <w:rPr>
          <w:rFonts w:cs="Arial"/>
        </w:rPr>
        <w:t xml:space="preserve">Although supervision is usually thought to keep therapists on track </w:t>
      </w:r>
      <w:r w:rsidRPr="00EA0DC7">
        <w:rPr>
          <w:rFonts w:cs="Arial"/>
          <w:noProof/>
        </w:rPr>
        <w:t>(Bernard &amp; Goodyear, 2004; Care Quality Commission, 2013; van Ooijen, 2000)</w:t>
      </w:r>
      <w:r w:rsidRPr="00EA0DC7">
        <w:rPr>
          <w:rFonts w:cs="Arial"/>
        </w:rPr>
        <w:t xml:space="preserve">, the present findings indicate that this assumption is subject to doubt, as supervisors themselves are influenced by similar factors to therapists, causing them to drift off track. Given the reliance that many professions and therapies place on supervision, it is possible that supervisory drift accounts in part for therapist drift, and hence for differences in patient outcomes across settings </w:t>
      </w:r>
      <w:r w:rsidRPr="00EA0DC7">
        <w:rPr>
          <w:rFonts w:cs="Arial"/>
          <w:noProof/>
        </w:rPr>
        <w:t>(Gibbons et al., 2013)</w:t>
      </w:r>
      <w:r w:rsidRPr="00EA0DC7">
        <w:rPr>
          <w:rFonts w:cs="Arial"/>
        </w:rPr>
        <w:t xml:space="preserve">. In particular, the demands placed on supervisors in RCT conditions are usually more regulated </w:t>
      </w:r>
      <w:r w:rsidRPr="00EA0DC7">
        <w:rPr>
          <w:rFonts w:cs="Arial"/>
          <w:noProof/>
        </w:rPr>
        <w:t>(Roth et al., 2010; Tracey et al., 2012)</w:t>
      </w:r>
      <w:r w:rsidRPr="00EA0DC7">
        <w:rPr>
          <w:rFonts w:cs="Arial"/>
        </w:rPr>
        <w:t xml:space="preserve">. It might be argued that routine clinical practice would be augmented by the establishment of protocols for supervision of those clinicians. Those protocols might explicitly address the characteristics of </w:t>
      </w:r>
      <w:r w:rsidRPr="00EA0DC7">
        <w:rPr>
          <w:rFonts w:cs="Arial"/>
        </w:rPr>
        <w:lastRenderedPageBreak/>
        <w:t xml:space="preserve">supervisors and how those characteristics could result in therapist drift. Similarly, it can be suggested that supervisors’ worry around future events and </w:t>
      </w:r>
      <w:r w:rsidR="007B3C0E" w:rsidRPr="00EA0DC7">
        <w:rPr>
          <w:rFonts w:cs="Arial"/>
        </w:rPr>
        <w:t xml:space="preserve">their </w:t>
      </w:r>
      <w:r w:rsidRPr="00EA0DC7">
        <w:rPr>
          <w:rFonts w:cs="Arial"/>
        </w:rPr>
        <w:t xml:space="preserve">self-esteem levels might be addressed as part of training and continuing professional development, as has been recommended for clinicians delivering exposure-based therapy </w:t>
      </w:r>
      <w:r w:rsidRPr="00EA0DC7">
        <w:rPr>
          <w:rFonts w:cs="Arial"/>
          <w:noProof/>
        </w:rPr>
        <w:t>(e.g., Farrell, Deacon, Dixon, &amp; Lickel, 2013)</w:t>
      </w:r>
      <w:r w:rsidRPr="00EA0DC7">
        <w:rPr>
          <w:rFonts w:cs="Arial"/>
        </w:rPr>
        <w:t>.</w:t>
      </w:r>
    </w:p>
    <w:p w14:paraId="0E00ED66" w14:textId="5F1BE982" w:rsidR="00FD2A1D" w:rsidRPr="00EA0DC7" w:rsidRDefault="00FD2A1D" w:rsidP="00FD2A1D">
      <w:pPr>
        <w:widowControl w:val="0"/>
        <w:tabs>
          <w:tab w:val="left" w:pos="709"/>
        </w:tabs>
        <w:spacing w:after="0"/>
        <w:ind w:firstLine="709"/>
        <w:rPr>
          <w:rFonts w:cs="Arial"/>
        </w:rPr>
      </w:pPr>
      <w:r w:rsidRPr="00EA0DC7">
        <w:rPr>
          <w:rFonts w:cs="Arial"/>
        </w:rPr>
        <w:t>For such training to be effective, supervisor tolerance of uncertainty and self-esteem should be explored further. A key issue is that this study has considered the potential role of prospective and inhibitory anxiety, and self-esteem within normal, non-clinical limits. Future research might focus on whether these patterns of supervisor behaviour are exacerbated when one focuses specifically on supervisors with levels of anxiety and self-esteem that are more representative of clinical groups. The findings of the current study might be picking up different forms of anxiety, such as state anxiety, as well as trait anxiety (due to the order in which the study materials were presented). Future research should</w:t>
      </w:r>
      <w:r w:rsidR="00BE3A78" w:rsidRPr="00EA0DC7">
        <w:rPr>
          <w:rFonts w:cs="Arial"/>
        </w:rPr>
        <w:t xml:space="preserve"> </w:t>
      </w:r>
      <w:r w:rsidRPr="00EA0DC7">
        <w:rPr>
          <w:rFonts w:cs="Arial"/>
        </w:rPr>
        <w:t>look to tease out the types of anxiety that supervisors are experiencing.</w:t>
      </w:r>
    </w:p>
    <w:p w14:paraId="54A01E5F" w14:textId="43FE7553" w:rsidR="00FD2A1D" w:rsidRPr="00EA0DC7" w:rsidRDefault="00FD2A1D" w:rsidP="00FD2A1D">
      <w:pPr>
        <w:widowControl w:val="0"/>
        <w:tabs>
          <w:tab w:val="left" w:pos="709"/>
        </w:tabs>
        <w:spacing w:after="0"/>
        <w:ind w:firstLine="709"/>
        <w:rPr>
          <w:rFonts w:cs="Arial"/>
        </w:rPr>
      </w:pPr>
      <w:r w:rsidRPr="00EA0DC7">
        <w:rPr>
          <w:rFonts w:cs="Arial"/>
        </w:rPr>
        <w:t xml:space="preserve">The findings in this study relate to the supervision of clinicians working with depression. Further research will need to consider the impact of supervisor characteristics on how they guide treatment for other disorders. It will also be important that further research into supervisor practice in depression and other disorders considers the triadic relationship involved. This study has considered the impact and relationship of patient and supervisor characteristics. However, that does not allow for the intermediary role of the clinician being supervised. An important development of this research will be considering how supervisee and supervisor characteristics combine to </w:t>
      </w:r>
      <w:r w:rsidRPr="00EA0DC7">
        <w:rPr>
          <w:rFonts w:cs="Arial"/>
        </w:rPr>
        <w:lastRenderedPageBreak/>
        <w:t xml:space="preserve">influence the therapy being delivered. For example, is there an additive effect, such that having a supervisor and clinician who are both alliance- and technique-focused will have more positive results, while having a supervisor and clinician with contrasting approaches might lessen the impact of the therapy? And will having a supervisor and clinician who are both unable to tolerate uncertainty be even less beneficial for the patient, or is one of the two being more tolerant sufficient for the patient to benefit? Similarly, can a less experienced clinician retain focus on alliance and technique, even when a more experienced supervisor is directing therapy away from that focus? These are questions that can initially be addressed using vignette studies of this sort, but that would benefit from naturalistic, observational studies that relate real-life supervisory and clinical practice to patient outcomes and experiences. </w:t>
      </w:r>
    </w:p>
    <w:p w14:paraId="1DBA04D2" w14:textId="77777777" w:rsidR="00FD2A1D" w:rsidRPr="00EA0DC7" w:rsidRDefault="00FD2A1D" w:rsidP="00FD2A1D">
      <w:pPr>
        <w:widowControl w:val="0"/>
        <w:tabs>
          <w:tab w:val="left" w:pos="709"/>
        </w:tabs>
        <w:spacing w:after="0"/>
        <w:ind w:firstLine="709"/>
        <w:rPr>
          <w:rFonts w:cs="Arial"/>
        </w:rPr>
      </w:pPr>
      <w:r w:rsidRPr="00EA0DC7">
        <w:rPr>
          <w:rFonts w:cs="Arial"/>
        </w:rPr>
        <w:t>The use of naturalistic studies will enhance this area of research, as there are some limitations to questionnaire research. Due to the need to keep questionnaires concise, there might not have been enough information given in this study to ensure that the supervisory content items did not confuse the participants. Although these items were outlined under specific categories (e.g., ‘therapeutic techniques’), any confusion might have caused some overlap between the categories. In addition, the imbalance of items between the categories could have caused some response bias towards selecting items from the ‘therapeutic techniques’ category. Observational studies would alleviate such problems.</w:t>
      </w:r>
    </w:p>
    <w:p w14:paraId="204883B6" w14:textId="4BF8320B" w:rsidR="00FD2A1D" w:rsidRPr="00EA0DC7" w:rsidRDefault="00FD2A1D" w:rsidP="00B920D4">
      <w:pPr>
        <w:widowControl w:val="0"/>
        <w:tabs>
          <w:tab w:val="left" w:pos="709"/>
        </w:tabs>
        <w:spacing w:after="0"/>
        <w:ind w:firstLine="709"/>
        <w:rPr>
          <w:szCs w:val="24"/>
        </w:rPr>
      </w:pPr>
      <w:r w:rsidRPr="00EA0DC7">
        <w:rPr>
          <w:rFonts w:cs="Arial"/>
        </w:rPr>
        <w:tab/>
        <w:t xml:space="preserve">The current study only provides a snapshot into supervisory intentions. Due to time restrictions and the need to prioritise certain patients in clinical settings, supervisors might only be provided with a small amount of detail </w:t>
      </w:r>
      <w:r w:rsidRPr="00EA0DC7">
        <w:rPr>
          <w:rFonts w:cs="Arial"/>
        </w:rPr>
        <w:lastRenderedPageBreak/>
        <w:t>about some patients, similar to the vignettes used in this study. However, this study has an analogue nature. In many real-life cases, the supervisor will have more information to work with – perhaps including video or audio recordings of the therapy sessions. Future research could benefit from the use of such recordings. These provide supervisors with a much richer source of information, thus allowing researchers to take a much deeper look into supervisory intentions.</w:t>
      </w:r>
    </w:p>
    <w:p w14:paraId="630ABD65" w14:textId="77777777" w:rsidR="00FD2A1D" w:rsidRPr="00EA0DC7" w:rsidRDefault="00FD2A1D" w:rsidP="00FD2A1D">
      <w:pPr>
        <w:widowControl w:val="0"/>
        <w:rPr>
          <w:szCs w:val="24"/>
        </w:rPr>
      </w:pPr>
    </w:p>
    <w:p w14:paraId="69F7BC54" w14:textId="77777777" w:rsidR="008F22CA" w:rsidRPr="00EA0DC7" w:rsidRDefault="008F22CA">
      <w:pPr>
        <w:spacing w:line="276" w:lineRule="auto"/>
        <w:jc w:val="left"/>
        <w:rPr>
          <w:rFonts w:eastAsia="Calibri" w:cs="Arial"/>
          <w:highlight w:val="yellow"/>
          <w:lang w:eastAsia="en-US"/>
        </w:rPr>
      </w:pPr>
      <w:r w:rsidRPr="00EA0DC7">
        <w:rPr>
          <w:rFonts w:eastAsia="Calibri" w:cs="Arial"/>
          <w:highlight w:val="yellow"/>
          <w:lang w:eastAsia="en-US"/>
        </w:rPr>
        <w:br w:type="page"/>
      </w:r>
    </w:p>
    <w:p w14:paraId="692F3CFF" w14:textId="6FB34670" w:rsidR="00FD2A1D" w:rsidRPr="00EA0DC7" w:rsidRDefault="001027B1" w:rsidP="003447C9">
      <w:pPr>
        <w:pStyle w:val="Heading1"/>
        <w:ind w:left="0"/>
      </w:pPr>
      <w:bookmarkStart w:id="150" w:name="_Toc47039846"/>
      <w:r w:rsidRPr="00EA0DC7">
        <w:lastRenderedPageBreak/>
        <w:t>–</w:t>
      </w:r>
      <w:r w:rsidR="007B3C0E" w:rsidRPr="00EA0DC7">
        <w:t xml:space="preserve"> </w:t>
      </w:r>
      <w:r w:rsidR="00FD2A1D" w:rsidRPr="00EA0DC7">
        <w:t>Supervision for depression: An experimental study of the role of therapist gender and anxiety</w:t>
      </w:r>
      <w:bookmarkEnd w:id="150"/>
    </w:p>
    <w:p w14:paraId="3A456C77" w14:textId="5EC9CAD5" w:rsidR="00465EA5" w:rsidRDefault="00BF0088" w:rsidP="00BF0088">
      <w:r w:rsidRPr="00EA0DC7">
        <w:t xml:space="preserve">This chapter is adapted from Simpson-Southward, C., Waller, G., &amp; Hardy, G. E. (2016). Supervision for treatment of depression: An experimental study of the role of therapist gender and anxiety. </w:t>
      </w:r>
      <w:r w:rsidRPr="00EA0DC7">
        <w:rPr>
          <w:i/>
        </w:rPr>
        <w:t>Behaviour Research and Therapy, 77</w:t>
      </w:r>
      <w:r w:rsidRPr="00EA0DC7">
        <w:t>, 17-22.</w:t>
      </w:r>
    </w:p>
    <w:p w14:paraId="7E7744D0" w14:textId="349FE8C2" w:rsidR="00341F9C" w:rsidRDefault="00341F9C" w:rsidP="00BF0088"/>
    <w:p w14:paraId="75B119A3" w14:textId="6CBA989D" w:rsidR="00341F9C" w:rsidRPr="00EA0DC7" w:rsidRDefault="00341F9C" w:rsidP="00341F9C">
      <w:commentRangeStart w:id="151"/>
      <w:r w:rsidRPr="00856806">
        <w:rPr>
          <w:b/>
        </w:rPr>
        <w:t>Abstract.</w:t>
      </w:r>
      <w:commentRangeEnd w:id="151"/>
      <w:r w:rsidR="00C864F7">
        <w:rPr>
          <w:rStyle w:val="CommentReference"/>
          <w:rFonts w:eastAsiaTheme="minorHAnsi"/>
          <w:lang w:eastAsia="en-US"/>
        </w:rPr>
        <w:commentReference w:id="151"/>
      </w:r>
      <w:r>
        <w:t xml:space="preserve"> Psychological treatments for depression are not always delivered effectively or consistently. Clinical supervision of therapists is often assumed to keep therapy on track, ensuring positive patient outcomes. However, there is a lack of empirical evidence supporting this assumption. This experimental study explored the focus of supervision of depression cases, comparing guidance given to supervisees of different genders and anxiety levels. Participants were clinical supervisors who supervised therapists working with patients with depression. Supervisors indicated their supervision focus for three supervision case vignettes. Supervisee anxiety and gender was varied across vignettes. Supervisors focused calm female supervisees more on therapeutic techniques than state anxious female supervisees. Males were supervised in the same way, regardless of their anxiety. Both male and female supervisors had this pattern of focus. Findings indicate that supervision is influenced by supervisors' own biases towards their supervisees. These factors may cause supervisors to drift from prompting their supervisees to </w:t>
      </w:r>
      <w:r>
        <w:lastRenderedPageBreak/>
        <w:t>deliver best practice. Suggestions are made for ways to improve the effectiveness of clinical supervision and how these results may inform future research practice.</w:t>
      </w:r>
    </w:p>
    <w:p w14:paraId="34B01F25" w14:textId="77777777" w:rsidR="00A75800" w:rsidRPr="00EA0DC7" w:rsidRDefault="00A75800" w:rsidP="00BF0088"/>
    <w:p w14:paraId="69F54C9F" w14:textId="4D913DDC" w:rsidR="00465EA5" w:rsidRPr="00EA0DC7" w:rsidRDefault="00465EA5" w:rsidP="00465EA5">
      <w:pPr>
        <w:pStyle w:val="Heading2"/>
      </w:pPr>
      <w:bookmarkStart w:id="152" w:name="_Toc47039847"/>
      <w:r w:rsidRPr="00EA0DC7">
        <w:t>5.1 Background and aims</w:t>
      </w:r>
      <w:bookmarkEnd w:id="152"/>
    </w:p>
    <w:p w14:paraId="21196C15" w14:textId="557895E3" w:rsidR="00A75800" w:rsidRPr="00EA0DC7" w:rsidRDefault="00A75800" w:rsidP="000B25F9">
      <w:pPr>
        <w:widowControl w:val="0"/>
        <w:spacing w:after="0"/>
        <w:rPr>
          <w:rFonts w:cs="Arial"/>
          <w:bCs/>
        </w:rPr>
      </w:pPr>
      <w:r w:rsidRPr="00EA0DC7">
        <w:tab/>
        <w:t xml:space="preserve">The previous chapter </w:t>
      </w:r>
      <w:r w:rsidR="007B3C0E" w:rsidRPr="00EA0DC7">
        <w:t xml:space="preserve">demonstrated </w:t>
      </w:r>
      <w:r w:rsidR="00F54C3C" w:rsidRPr="00EA0DC7">
        <w:t>that</w:t>
      </w:r>
      <w:r w:rsidRPr="00EA0DC7">
        <w:t xml:space="preserve"> </w:t>
      </w:r>
      <w:r w:rsidRPr="00EA0DC7">
        <w:rPr>
          <w:rFonts w:cs="Arial"/>
          <w:bCs/>
          <w:szCs w:val="24"/>
        </w:rPr>
        <w:t>supervisors’ personal characteristics, such as anxiety and self-esteem, have an impact on the focus of supervis</w:t>
      </w:r>
      <w:r w:rsidR="00EA68AE" w:rsidRPr="00EA0DC7">
        <w:rPr>
          <w:rFonts w:cs="Arial"/>
          <w:bCs/>
          <w:szCs w:val="24"/>
        </w:rPr>
        <w:t>ion sessions (Simpson-Southward et al., 2018</w:t>
      </w:r>
      <w:r w:rsidRPr="00EA0DC7">
        <w:rPr>
          <w:rFonts w:cs="Arial"/>
          <w:bCs/>
          <w:szCs w:val="24"/>
        </w:rPr>
        <w:t xml:space="preserve">). Previous research also indicates that supervisors can be affected by their own biases </w:t>
      </w:r>
      <w:r w:rsidRPr="00EA0DC7">
        <w:rPr>
          <w:rFonts w:cs="Arial"/>
          <w:bCs/>
          <w:noProof/>
          <w:szCs w:val="24"/>
        </w:rPr>
        <w:t>(Dennhag</w:t>
      </w:r>
      <w:r w:rsidR="00C12C1F" w:rsidRPr="00EA0DC7">
        <w:rPr>
          <w:rFonts w:cs="Arial"/>
          <w:bCs/>
          <w:noProof/>
          <w:szCs w:val="24"/>
        </w:rPr>
        <w:t xml:space="preserve"> et al.</w:t>
      </w:r>
      <w:r w:rsidRPr="00EA0DC7">
        <w:rPr>
          <w:rFonts w:cs="Arial"/>
          <w:bCs/>
          <w:noProof/>
          <w:szCs w:val="24"/>
        </w:rPr>
        <w:t>, 2012)</w:t>
      </w:r>
      <w:r w:rsidRPr="00EA0DC7">
        <w:rPr>
          <w:rFonts w:cs="Arial"/>
          <w:bCs/>
          <w:szCs w:val="24"/>
        </w:rPr>
        <w:t xml:space="preserve">. As parallel processes exist between supervision and therapy </w:t>
      </w:r>
      <w:r w:rsidRPr="00EA0DC7">
        <w:rPr>
          <w:rFonts w:cs="Arial"/>
          <w:bCs/>
          <w:noProof/>
          <w:szCs w:val="24"/>
        </w:rPr>
        <w:t>(Tracey</w:t>
      </w:r>
      <w:r w:rsidR="0064440E" w:rsidRPr="00EA0DC7">
        <w:rPr>
          <w:rFonts w:cs="Arial"/>
          <w:bCs/>
          <w:noProof/>
          <w:szCs w:val="24"/>
        </w:rPr>
        <w:t xml:space="preserve"> et al.</w:t>
      </w:r>
      <w:r w:rsidRPr="00EA0DC7">
        <w:rPr>
          <w:rFonts w:cs="Arial"/>
          <w:bCs/>
          <w:noProof/>
          <w:szCs w:val="24"/>
        </w:rPr>
        <w:t>, 2012)</w:t>
      </w:r>
      <w:r w:rsidRPr="00EA0DC7">
        <w:rPr>
          <w:rFonts w:cs="Arial"/>
          <w:bCs/>
          <w:szCs w:val="24"/>
        </w:rPr>
        <w:t>, this variation in supervision might be expected to have an impact on patient outcome.</w:t>
      </w:r>
    </w:p>
    <w:p w14:paraId="4657C5D6" w14:textId="7E5A630E" w:rsidR="00FD2A1D" w:rsidRPr="00EA0DC7" w:rsidRDefault="00FD2A1D" w:rsidP="00FD2A1D">
      <w:pPr>
        <w:widowControl w:val="0"/>
        <w:spacing w:after="0"/>
        <w:ind w:firstLine="720"/>
        <w:rPr>
          <w:rFonts w:cs="Arial"/>
          <w:bCs/>
        </w:rPr>
      </w:pPr>
      <w:r w:rsidRPr="00EA0DC7">
        <w:rPr>
          <w:rFonts w:cs="Arial"/>
          <w:bCs/>
        </w:rPr>
        <w:t>While therapist characteristics can impact the therapy process</w:t>
      </w:r>
      <w:r w:rsidR="000E2548" w:rsidRPr="00EA0DC7">
        <w:rPr>
          <w:rFonts w:cs="Arial"/>
          <w:bCs/>
          <w:noProof/>
        </w:rPr>
        <w:t xml:space="preserve"> (Lilenfeld, et al.</w:t>
      </w:r>
      <w:r w:rsidRPr="00EA0DC7">
        <w:rPr>
          <w:rFonts w:cs="Arial"/>
          <w:bCs/>
          <w:noProof/>
        </w:rPr>
        <w:t>,</w:t>
      </w:r>
      <w:r w:rsidR="00330621" w:rsidRPr="00EA0DC7">
        <w:rPr>
          <w:rFonts w:cs="Arial"/>
          <w:bCs/>
          <w:noProof/>
        </w:rPr>
        <w:t xml:space="preserve"> 2013; Waller et al.</w:t>
      </w:r>
      <w:r w:rsidRPr="00EA0DC7">
        <w:rPr>
          <w:rFonts w:cs="Arial"/>
          <w:bCs/>
          <w:noProof/>
        </w:rPr>
        <w:t xml:space="preserve">, 2012), </w:t>
      </w:r>
      <w:r w:rsidRPr="00EA0DC7">
        <w:rPr>
          <w:rFonts w:cs="Arial"/>
          <w:bCs/>
        </w:rPr>
        <w:t xml:space="preserve">it is not known whether and how those clinician characteristics affect the focus of supervision sessions (and ultimately the content of therapy sessions). Two factors that have been identified in the literature on clinicians’ delivery of evidence-based treatments might be particularly pertinent to supervisory practice when working with depression – therapist anxiety and therapist gender. </w:t>
      </w:r>
    </w:p>
    <w:p w14:paraId="304D7E75" w14:textId="60171845" w:rsidR="00FD2A1D" w:rsidRPr="00EA0DC7" w:rsidRDefault="00FD2A1D" w:rsidP="00FD2A1D">
      <w:pPr>
        <w:widowControl w:val="0"/>
        <w:spacing w:after="0"/>
        <w:ind w:firstLine="720"/>
        <w:rPr>
          <w:rFonts w:cs="Arial"/>
          <w:bCs/>
        </w:rPr>
      </w:pPr>
      <w:r w:rsidRPr="00EA0DC7">
        <w:rPr>
          <w:rFonts w:cs="Arial"/>
          <w:bCs/>
        </w:rPr>
        <w:t xml:space="preserve">It can be hypothesised that when faced with an anxious therapist who is </w:t>
      </w:r>
      <w:r w:rsidR="00F54C3C" w:rsidRPr="00EA0DC7">
        <w:rPr>
          <w:rFonts w:cs="Arial"/>
          <w:bCs/>
        </w:rPr>
        <w:t xml:space="preserve">seemingly </w:t>
      </w:r>
      <w:r w:rsidRPr="00EA0DC7">
        <w:rPr>
          <w:rFonts w:cs="Arial"/>
          <w:bCs/>
        </w:rPr>
        <w:t xml:space="preserve">avoiding evidence-based CBT techniques for depression, supervisors are reluctant to push the use of such techniques for fear of distressing the therapist. Such reluctance would parallel the reluctance of therapists themselves in delivering such techniques to anxious patients (e.g., </w:t>
      </w:r>
      <w:r w:rsidRPr="00EA0DC7">
        <w:rPr>
          <w:rFonts w:cs="Arial"/>
          <w:bCs/>
        </w:rPr>
        <w:lastRenderedPageBreak/>
        <w:t>Deacon et al., 2013). However, the impact of gender on supervision is a relative unknown. It has been shown that we have different expectations (either implicit or explicit) of the abilities of men and women (Heilman, 2012), and that men are often seen as more competent than women (Ridgeway &amp; Correll, 2004). For example, supervisors treat male and female supervisees differently – assuming a more powerful role with female supervisees than with males, and failing to reinforce females if they attempt to take a more powerful role themselves (Nelson &amp; Holloway, 1990). Therefore, it can be hypothesised that supervisors will focus supervision differently for male and female supervisees, potentially focusing men more on the techniques of therapy because they see male therapists as more expert and competent than females.</w:t>
      </w:r>
    </w:p>
    <w:p w14:paraId="27F90E92" w14:textId="409916E7" w:rsidR="00FD2A1D" w:rsidRPr="00EA0DC7" w:rsidRDefault="00FD2A1D" w:rsidP="00B920D4">
      <w:pPr>
        <w:widowControl w:val="0"/>
        <w:ind w:firstLine="720"/>
        <w:rPr>
          <w:rFonts w:cs="Arial"/>
          <w:bCs/>
        </w:rPr>
      </w:pPr>
      <w:r w:rsidRPr="00EA0DC7">
        <w:rPr>
          <w:rFonts w:cs="Arial"/>
          <w:bCs/>
        </w:rPr>
        <w:t xml:space="preserve">Therefore, the </w:t>
      </w:r>
      <w:r w:rsidR="0002370C" w:rsidRPr="00EA0DC7">
        <w:rPr>
          <w:rFonts w:cs="Arial"/>
          <w:bCs/>
        </w:rPr>
        <w:t xml:space="preserve">first </w:t>
      </w:r>
      <w:r w:rsidRPr="00EA0DC7">
        <w:rPr>
          <w:rFonts w:cs="Arial"/>
          <w:bCs/>
        </w:rPr>
        <w:t xml:space="preserve">aim of this study is to explore experimentally how supervisee anxiety and gender impact the advice that supervisors give in directing clinicians working with depression. It is hypothesised that supervisors who are working with a calm clinician will stress the need for their supervisee to focus on CBT techniques more than when the clinician is anxious. It is also hypothesised that supervisors will focus male supervisees more on CBT techniques than female supervisees. </w:t>
      </w:r>
      <w:r w:rsidR="0002370C" w:rsidRPr="00EA0DC7">
        <w:rPr>
          <w:rFonts w:cs="Arial"/>
          <w:bCs/>
          <w:szCs w:val="24"/>
        </w:rPr>
        <w:t>The second aim is to determine whether patterns of supervisor focus fall into natural groupings, and whether those patterns are related to supervisors’ own characteristics. It is expected that supervisors with high anxiety themselves will focus their supervisees less on CBT techniques.</w:t>
      </w:r>
    </w:p>
    <w:p w14:paraId="7AADBB61" w14:textId="77777777" w:rsidR="00856806" w:rsidRDefault="00856806" w:rsidP="00856806"/>
    <w:p w14:paraId="18B0B622" w14:textId="75D4AAEA" w:rsidR="00FD2A1D" w:rsidRPr="00EA0DC7" w:rsidRDefault="00465EA5" w:rsidP="00FD2A1D">
      <w:pPr>
        <w:pStyle w:val="Heading2"/>
      </w:pPr>
      <w:bookmarkStart w:id="153" w:name="_Toc47039848"/>
      <w:r w:rsidRPr="00EA0DC7">
        <w:lastRenderedPageBreak/>
        <w:t>5.2</w:t>
      </w:r>
      <w:r w:rsidR="00BF0088" w:rsidRPr="00EA0DC7">
        <w:t xml:space="preserve"> </w:t>
      </w:r>
      <w:r w:rsidR="00FD2A1D" w:rsidRPr="00EA0DC7">
        <w:t>Method</w:t>
      </w:r>
      <w:bookmarkEnd w:id="153"/>
    </w:p>
    <w:p w14:paraId="4E47E794" w14:textId="5F4AABA2" w:rsidR="00FD2A1D" w:rsidRPr="00EA0DC7" w:rsidRDefault="00B854C2" w:rsidP="00D5176F">
      <w:pPr>
        <w:pStyle w:val="Heading3"/>
      </w:pPr>
      <w:r w:rsidRPr="00EA0DC7">
        <w:t xml:space="preserve">5.2.1 </w:t>
      </w:r>
      <w:r w:rsidR="00FD2A1D" w:rsidRPr="00EA0DC7">
        <w:t>Participants</w:t>
      </w:r>
    </w:p>
    <w:p w14:paraId="378BFF91" w14:textId="305B3FBA" w:rsidR="00FD2A1D" w:rsidRPr="00EA0DC7" w:rsidRDefault="00FD2A1D" w:rsidP="00FD2A1D">
      <w:pPr>
        <w:widowControl w:val="0"/>
        <w:spacing w:after="0"/>
        <w:rPr>
          <w:rFonts w:cs="Arial"/>
          <w:bCs/>
        </w:rPr>
      </w:pPr>
      <w:r w:rsidRPr="00EA0DC7">
        <w:rPr>
          <w:rFonts w:cs="Arial"/>
          <w:bCs/>
        </w:rPr>
        <w:tab/>
        <w:t xml:space="preserve">The participants were a sample of 89 clinical supervisors, supervising clinicians delivering CBT to patients with depression. </w:t>
      </w:r>
      <w:r w:rsidRPr="00EA0DC7">
        <w:rPr>
          <w:rFonts w:cs="Arial"/>
        </w:rPr>
        <w:t xml:space="preserve">Their names and email addresses were drawn from CBT clinician organisations from across Europe (members of the European Association for Behavioural and Cognitive Therapies). A snowball approach was used to recruit participants, and therefore the </w:t>
      </w:r>
      <w:r w:rsidRPr="00EA0DC7">
        <w:rPr>
          <w:rFonts w:cs="Arial"/>
          <w:i/>
        </w:rPr>
        <w:t>N</w:t>
      </w:r>
      <w:r w:rsidRPr="00EA0DC7">
        <w:rPr>
          <w:rFonts w:cs="Arial"/>
        </w:rPr>
        <w:t xml:space="preserve"> approached is not known. The m</w:t>
      </w:r>
      <w:r w:rsidRPr="00EA0DC7">
        <w:rPr>
          <w:rFonts w:cs="Arial"/>
          <w:bCs/>
        </w:rPr>
        <w:t>ean age of the group was 50</w:t>
      </w:r>
      <w:commentRangeStart w:id="154"/>
      <w:r w:rsidRPr="00EA0DC7">
        <w:rPr>
          <w:rFonts w:cs="Arial"/>
          <w:bCs/>
        </w:rPr>
        <w:t>.2 years (</w:t>
      </w:r>
      <w:r w:rsidRPr="00EA0DC7">
        <w:rPr>
          <w:rFonts w:cs="Arial"/>
          <w:bCs/>
          <w:i/>
        </w:rPr>
        <w:t>SD</w:t>
      </w:r>
      <w:r w:rsidRPr="00EA0DC7">
        <w:rPr>
          <w:rFonts w:cs="Arial"/>
          <w:bCs/>
        </w:rPr>
        <w:t xml:space="preserve"> = 9.14</w:t>
      </w:r>
      <w:r w:rsidR="00544BEF">
        <w:rPr>
          <w:rFonts w:cs="Arial"/>
          <w:bCs/>
        </w:rPr>
        <w:t xml:space="preserve"> years</w:t>
      </w:r>
      <w:r w:rsidRPr="00EA0DC7">
        <w:rPr>
          <w:rFonts w:cs="Arial"/>
          <w:bCs/>
        </w:rPr>
        <w:t>, range = 27-68</w:t>
      </w:r>
      <w:r w:rsidR="00544BEF">
        <w:rPr>
          <w:rFonts w:cs="Arial"/>
          <w:bCs/>
        </w:rPr>
        <w:t xml:space="preserve"> years</w:t>
      </w:r>
      <w:r w:rsidRPr="00EA0DC7">
        <w:rPr>
          <w:rFonts w:cs="Arial"/>
          <w:bCs/>
        </w:rPr>
        <w:t xml:space="preserve">), </w:t>
      </w:r>
      <w:commentRangeEnd w:id="154"/>
      <w:r w:rsidR="001962F6">
        <w:rPr>
          <w:rStyle w:val="CommentReference"/>
          <w:rFonts w:eastAsiaTheme="minorHAnsi"/>
          <w:lang w:eastAsia="en-US"/>
        </w:rPr>
        <w:commentReference w:id="154"/>
      </w:r>
      <w:r w:rsidRPr="00EA0DC7">
        <w:rPr>
          <w:rFonts w:cs="Arial"/>
          <w:bCs/>
        </w:rPr>
        <w:t xml:space="preserve">and 55.1% were female. Participants were from eight different countries across Europe, the majority being from the UK (71.9%) and the second largest group being from the Netherlands (10.1%). The mean amount of time that the group had been using </w:t>
      </w:r>
      <w:commentRangeStart w:id="155"/>
      <w:r w:rsidRPr="00EA0DC7">
        <w:rPr>
          <w:rFonts w:cs="Arial"/>
          <w:bCs/>
        </w:rPr>
        <w:t>CBT was 13.8 years (</w:t>
      </w:r>
      <w:r w:rsidRPr="00EA0DC7">
        <w:rPr>
          <w:rFonts w:cs="Arial"/>
          <w:bCs/>
          <w:i/>
        </w:rPr>
        <w:t>SD</w:t>
      </w:r>
      <w:r w:rsidRPr="00EA0DC7">
        <w:rPr>
          <w:rFonts w:cs="Arial"/>
          <w:bCs/>
        </w:rPr>
        <w:t xml:space="preserve"> = 7.43</w:t>
      </w:r>
      <w:r w:rsidR="00544BEF">
        <w:rPr>
          <w:rFonts w:cs="Arial"/>
          <w:bCs/>
        </w:rPr>
        <w:t xml:space="preserve"> years</w:t>
      </w:r>
      <w:r w:rsidRPr="00EA0DC7">
        <w:rPr>
          <w:rFonts w:cs="Arial"/>
          <w:bCs/>
        </w:rPr>
        <w:t>, range = 2-38</w:t>
      </w:r>
      <w:r w:rsidR="00544BEF">
        <w:rPr>
          <w:rFonts w:cs="Arial"/>
          <w:bCs/>
        </w:rPr>
        <w:t xml:space="preserve"> years</w:t>
      </w:r>
      <w:commentRangeEnd w:id="155"/>
      <w:r w:rsidR="001962F6">
        <w:rPr>
          <w:rStyle w:val="CommentReference"/>
          <w:rFonts w:eastAsiaTheme="minorHAnsi"/>
          <w:lang w:eastAsia="en-US"/>
        </w:rPr>
        <w:commentReference w:id="155"/>
      </w:r>
      <w:r w:rsidRPr="00EA0DC7">
        <w:rPr>
          <w:rFonts w:cs="Arial"/>
          <w:bCs/>
        </w:rPr>
        <w:t>). Participants came from a range of background professions, including clinical psychology (</w:t>
      </w:r>
      <w:r w:rsidRPr="00EA0DC7">
        <w:rPr>
          <w:rFonts w:cs="Arial"/>
          <w:bCs/>
          <w:i/>
        </w:rPr>
        <w:t>N</w:t>
      </w:r>
      <w:r w:rsidRPr="00EA0DC7">
        <w:rPr>
          <w:rFonts w:cs="Arial"/>
          <w:bCs/>
        </w:rPr>
        <w:t xml:space="preserve"> = 27), nursing (</w:t>
      </w:r>
      <w:r w:rsidRPr="00EA0DC7">
        <w:rPr>
          <w:rFonts w:cs="Arial"/>
          <w:bCs/>
          <w:i/>
        </w:rPr>
        <w:t>N</w:t>
      </w:r>
      <w:r w:rsidRPr="00EA0DC7">
        <w:rPr>
          <w:rFonts w:cs="Arial"/>
          <w:bCs/>
        </w:rPr>
        <w:t xml:space="preserve"> = 24), Improving Access to Psychological Therapies services (IAPT, </w:t>
      </w:r>
      <w:r w:rsidRPr="00EA0DC7">
        <w:rPr>
          <w:rFonts w:cs="Arial"/>
          <w:bCs/>
          <w:i/>
        </w:rPr>
        <w:t>N</w:t>
      </w:r>
      <w:r w:rsidRPr="00EA0DC7">
        <w:rPr>
          <w:rFonts w:cs="Arial"/>
          <w:bCs/>
        </w:rPr>
        <w:t xml:space="preserve"> = 9), and counselling psychology (</w:t>
      </w:r>
      <w:r w:rsidRPr="00EA0DC7">
        <w:rPr>
          <w:rFonts w:cs="Arial"/>
          <w:bCs/>
          <w:i/>
        </w:rPr>
        <w:t xml:space="preserve">N </w:t>
      </w:r>
      <w:r w:rsidRPr="00EA0DC7">
        <w:rPr>
          <w:rFonts w:cs="Arial"/>
          <w:bCs/>
        </w:rPr>
        <w:t>= 6).</w:t>
      </w:r>
    </w:p>
    <w:p w14:paraId="7429B296" w14:textId="073EEEAC" w:rsidR="009A0882" w:rsidRPr="00EA0DC7" w:rsidRDefault="00DE1ABB" w:rsidP="009A0882">
      <w:pPr>
        <w:pStyle w:val="Heading4"/>
        <w:numPr>
          <w:ilvl w:val="3"/>
          <w:numId w:val="45"/>
        </w:numPr>
      </w:pPr>
      <w:r w:rsidRPr="00EA0DC7">
        <w:rPr>
          <w:rStyle w:val="Heading4Char"/>
          <w:bCs/>
          <w:i/>
          <w:iCs/>
        </w:rPr>
        <w:t>5.2.1.1</w:t>
      </w:r>
      <w:r w:rsidR="009A0882" w:rsidRPr="00EA0DC7">
        <w:rPr>
          <w:rStyle w:val="Heading4Char"/>
          <w:bCs/>
          <w:i/>
          <w:iCs/>
        </w:rPr>
        <w:t xml:space="preserve"> Sample size estimation</w:t>
      </w:r>
    </w:p>
    <w:p w14:paraId="0AA51C90" w14:textId="7A8E7C48" w:rsidR="009A0882" w:rsidRPr="00EA0DC7" w:rsidRDefault="009A0882" w:rsidP="00D47B58">
      <w:pPr>
        <w:ind w:firstLine="720"/>
        <w:rPr>
          <w:rFonts w:cs="Arial"/>
          <w:bCs/>
        </w:rPr>
      </w:pPr>
      <w:r w:rsidRPr="00EA0DC7">
        <w:rPr>
          <w:rFonts w:cs="Arial"/>
        </w:rPr>
        <w:t>A sample size analysis was perfo</w:t>
      </w:r>
      <w:r w:rsidR="00DE1ABB" w:rsidRPr="00EA0DC7">
        <w:rPr>
          <w:rFonts w:cs="Arial"/>
        </w:rPr>
        <w:t>rmed using G*Power (Faul et al.,</w:t>
      </w:r>
      <w:r w:rsidRPr="00EA0DC7">
        <w:rPr>
          <w:rFonts w:cs="Arial"/>
        </w:rPr>
        <w:t xml:space="preserve"> 2007) to determine the number of participants needed. For a medium to large effect size (with an alpha of .05 and power of 0.80), the sample size required was between </w:t>
      </w:r>
      <w:r w:rsidR="00DE1ABB" w:rsidRPr="00EA0DC7">
        <w:rPr>
          <w:rFonts w:cs="Arial"/>
        </w:rPr>
        <w:t>26</w:t>
      </w:r>
      <w:r w:rsidRPr="00EA0DC7">
        <w:rPr>
          <w:rFonts w:cs="Arial"/>
        </w:rPr>
        <w:t xml:space="preserve"> and</w:t>
      </w:r>
      <w:r w:rsidR="00DE1ABB" w:rsidRPr="00EA0DC7">
        <w:rPr>
          <w:rFonts w:cs="Arial"/>
        </w:rPr>
        <w:t xml:space="preserve"> 64</w:t>
      </w:r>
      <w:r w:rsidRPr="00EA0DC7">
        <w:rPr>
          <w:rFonts w:cs="Arial"/>
        </w:rPr>
        <w:t>.</w:t>
      </w:r>
      <w:r w:rsidR="00D47B58" w:rsidRPr="00EA0DC7">
        <w:rPr>
          <w:rFonts w:cs="Arial"/>
        </w:rPr>
        <w:t xml:space="preserve"> As a medium to large effect size was found in the study in Chapter 4, the sample size of 89 was deemed adequate for the current study.</w:t>
      </w:r>
    </w:p>
    <w:p w14:paraId="10D83F9C" w14:textId="245C2C5E" w:rsidR="00FD2A1D" w:rsidRPr="00EA0DC7" w:rsidRDefault="00B854C2" w:rsidP="00216A42">
      <w:pPr>
        <w:pStyle w:val="Heading3"/>
        <w:keepNext/>
      </w:pPr>
      <w:r w:rsidRPr="00EA0DC7">
        <w:lastRenderedPageBreak/>
        <w:t xml:space="preserve">5.2.2 </w:t>
      </w:r>
      <w:r w:rsidR="00FD2A1D" w:rsidRPr="00EA0DC7">
        <w:t>Ethics</w:t>
      </w:r>
    </w:p>
    <w:p w14:paraId="530D06A8" w14:textId="0DDC6988" w:rsidR="00FD2A1D" w:rsidRPr="00EA0DC7" w:rsidRDefault="00FD2A1D" w:rsidP="00FD2A1D">
      <w:pPr>
        <w:widowControl w:val="0"/>
        <w:spacing w:after="0"/>
        <w:ind w:firstLine="720"/>
        <w:rPr>
          <w:rFonts w:cs="Arial"/>
          <w:b/>
          <w:bCs/>
        </w:rPr>
      </w:pPr>
      <w:r w:rsidRPr="00EA0DC7">
        <w:rPr>
          <w:rFonts w:eastAsiaTheme="minorHAnsi" w:cs="Arial"/>
          <w:lang w:eastAsia="en-US"/>
        </w:rPr>
        <w:t>This research was approved by the University of Sheffield's Department of Psychology Research Ethics Committee</w:t>
      </w:r>
      <w:r w:rsidR="00077D45" w:rsidRPr="00EA0DC7">
        <w:rPr>
          <w:rFonts w:eastAsiaTheme="minorHAnsi" w:cs="Arial"/>
          <w:lang w:eastAsia="en-US"/>
        </w:rPr>
        <w:t xml:space="preserve"> (see Appendix 5A for ethics approval)</w:t>
      </w:r>
      <w:r w:rsidRPr="00EA0DC7">
        <w:rPr>
          <w:rFonts w:eastAsiaTheme="minorHAnsi" w:cs="Arial"/>
          <w:lang w:eastAsia="en-US"/>
        </w:rPr>
        <w:t>.</w:t>
      </w:r>
    </w:p>
    <w:p w14:paraId="35C543B5" w14:textId="3004F396" w:rsidR="00FD2A1D" w:rsidRPr="00EA0DC7" w:rsidRDefault="00B854C2" w:rsidP="00D5176F">
      <w:pPr>
        <w:pStyle w:val="Heading3"/>
      </w:pPr>
      <w:r w:rsidRPr="00EA0DC7">
        <w:t xml:space="preserve">5.2.3 </w:t>
      </w:r>
      <w:r w:rsidR="00FD2A1D" w:rsidRPr="00EA0DC7">
        <w:t>Design</w:t>
      </w:r>
    </w:p>
    <w:p w14:paraId="6BC34713" w14:textId="6F0156F9" w:rsidR="00FD2A1D" w:rsidRPr="00EA0DC7" w:rsidRDefault="00FD2A1D" w:rsidP="00FD2A1D">
      <w:pPr>
        <w:widowControl w:val="0"/>
        <w:spacing w:after="0"/>
        <w:ind w:firstLine="720"/>
        <w:rPr>
          <w:rFonts w:cs="Arial"/>
          <w:b/>
          <w:bCs/>
        </w:rPr>
      </w:pPr>
      <w:r w:rsidRPr="00EA0DC7">
        <w:rPr>
          <w:rFonts w:cs="Arial"/>
        </w:rPr>
        <w:t>This was a survey-based, experimental design, using vignettes to present clinical material. The within-subject independent variable was the level of supervisee anxiety in the vignettes, and the between-subject independent variable was supervisee gender. The dependent variable was supervisor reaction (guidance given to supervisees).</w:t>
      </w:r>
    </w:p>
    <w:p w14:paraId="3D8A9951" w14:textId="0E18BA45" w:rsidR="00FD2A1D" w:rsidRPr="00EA0DC7" w:rsidRDefault="00B854C2" w:rsidP="00D5176F">
      <w:pPr>
        <w:pStyle w:val="Heading3"/>
      </w:pPr>
      <w:r w:rsidRPr="00EA0DC7">
        <w:t xml:space="preserve">5.2.4 </w:t>
      </w:r>
      <w:r w:rsidR="00FD2A1D" w:rsidRPr="00EA0DC7">
        <w:t>Measures and Procedure</w:t>
      </w:r>
    </w:p>
    <w:p w14:paraId="3C57F86A" w14:textId="4AD9754D" w:rsidR="00923BF8" w:rsidRDefault="00FD2A1D" w:rsidP="00FD2A1D">
      <w:pPr>
        <w:widowControl w:val="0"/>
        <w:spacing w:after="0"/>
        <w:rPr>
          <w:rFonts w:cs="Arial"/>
        </w:rPr>
      </w:pPr>
      <w:r w:rsidRPr="00EA0DC7">
        <w:rPr>
          <w:rFonts w:cs="Arial"/>
          <w:b/>
          <w:bCs/>
        </w:rPr>
        <w:tab/>
      </w:r>
      <w:r w:rsidRPr="00EA0DC7">
        <w:rPr>
          <w:rFonts w:cs="Arial"/>
          <w:bCs/>
        </w:rPr>
        <w:t xml:space="preserve">Participants were either sent an email </w:t>
      </w:r>
      <w:r w:rsidRPr="00EA0DC7">
        <w:rPr>
          <w:rFonts w:cs="Arial"/>
        </w:rPr>
        <w:t>containing a link to the online questionnaire, hosted by the website Qualtrics (</w:t>
      </w:r>
      <w:r w:rsidRPr="00EA0DC7">
        <w:rPr>
          <w:rFonts w:cs="Arial"/>
          <w:i/>
        </w:rPr>
        <w:t>N</w:t>
      </w:r>
      <w:r w:rsidRPr="00EA0DC7">
        <w:rPr>
          <w:rFonts w:cs="Arial"/>
        </w:rPr>
        <w:t xml:space="preserve"> = 73), or given a paper copy of the questionnaire at a workshop (</w:t>
      </w:r>
      <w:r w:rsidRPr="00EA0DC7">
        <w:rPr>
          <w:rFonts w:cs="Arial"/>
          <w:i/>
        </w:rPr>
        <w:t>N</w:t>
      </w:r>
      <w:r w:rsidRPr="00EA0DC7">
        <w:rPr>
          <w:rFonts w:cs="Arial"/>
        </w:rPr>
        <w:t xml:space="preserve"> = 16).</w:t>
      </w:r>
      <w:r w:rsidR="00C31046">
        <w:rPr>
          <w:rFonts w:cs="Arial"/>
        </w:rPr>
        <w:t xml:space="preserve"> </w:t>
      </w:r>
      <w:commentRangeStart w:id="156"/>
      <w:r w:rsidR="00C31046">
        <w:rPr>
          <w:rFonts w:cs="Arial"/>
        </w:rPr>
        <w:t>A sample of a questionnaire is in App</w:t>
      </w:r>
      <w:r w:rsidR="00C31046" w:rsidRPr="007D75FF">
        <w:rPr>
          <w:rFonts w:cs="Arial"/>
        </w:rPr>
        <w:t xml:space="preserve">endix </w:t>
      </w:r>
      <w:r w:rsidR="00916EEA">
        <w:rPr>
          <w:rFonts w:cs="Arial"/>
        </w:rPr>
        <w:t>5B</w:t>
      </w:r>
      <w:r w:rsidR="00C31046">
        <w:rPr>
          <w:rFonts w:cs="Arial"/>
        </w:rPr>
        <w:t>.</w:t>
      </w:r>
      <w:r w:rsidRPr="00EA0DC7">
        <w:rPr>
          <w:rFonts w:cs="Arial"/>
          <w:b/>
          <w:bCs/>
        </w:rPr>
        <w:t xml:space="preserve"> </w:t>
      </w:r>
      <w:commentRangeEnd w:id="156"/>
      <w:r w:rsidR="001962F6">
        <w:rPr>
          <w:rStyle w:val="CommentReference"/>
          <w:rFonts w:eastAsiaTheme="minorHAnsi"/>
          <w:lang w:eastAsia="en-US"/>
        </w:rPr>
        <w:commentReference w:id="156"/>
      </w:r>
      <w:r w:rsidRPr="00EA0DC7">
        <w:rPr>
          <w:rFonts w:cs="Arial"/>
        </w:rPr>
        <w:t xml:space="preserve">Participants read through the instruction sheet and indicated consent before beginning the questionnaire. After collecting demographic information, three case vignettes were presented, relating to patients with depression that their supervisees were working with. Participants were randomly assigned to either a female or male supervisee condition.  Within each condition, the vignettes varied in terms of the supervisee’s level of anxiety – one high trait anxiety, one high state anxiety and one calm (see Appendix </w:t>
      </w:r>
      <w:r w:rsidR="00077D45" w:rsidRPr="00EA0DC7">
        <w:rPr>
          <w:rFonts w:cs="Arial"/>
        </w:rPr>
        <w:t>5B</w:t>
      </w:r>
      <w:r w:rsidRPr="00EA0DC7">
        <w:rPr>
          <w:rFonts w:cs="Arial"/>
        </w:rPr>
        <w:t xml:space="preserve"> for full vignettes).</w:t>
      </w:r>
      <w:r w:rsidR="00923BF8">
        <w:rPr>
          <w:rFonts w:cs="Arial"/>
        </w:rPr>
        <w:t xml:space="preserve"> </w:t>
      </w:r>
      <w:commentRangeStart w:id="157"/>
      <w:r w:rsidR="00923BF8">
        <w:rPr>
          <w:rFonts w:cs="Arial"/>
        </w:rPr>
        <w:t>Supervisee anxiety was highlighted in the vignette through stating the usual presentation of the supervisee and their current presentation.</w:t>
      </w:r>
      <w:commentRangeEnd w:id="157"/>
      <w:r w:rsidR="001962F6">
        <w:rPr>
          <w:rStyle w:val="CommentReference"/>
          <w:rFonts w:eastAsiaTheme="minorHAnsi"/>
          <w:lang w:eastAsia="en-US"/>
        </w:rPr>
        <w:commentReference w:id="157"/>
      </w:r>
      <w:r w:rsidRPr="00EA0DC7">
        <w:rPr>
          <w:rFonts w:cs="Arial"/>
        </w:rPr>
        <w:t xml:space="preserve"> These were presented in random order. </w:t>
      </w:r>
      <w:commentRangeStart w:id="158"/>
      <w:r w:rsidR="00923BF8">
        <w:rPr>
          <w:rFonts w:cs="Arial"/>
        </w:rPr>
        <w:t xml:space="preserve">See Section </w:t>
      </w:r>
      <w:r w:rsidR="00923BF8">
        <w:rPr>
          <w:rFonts w:cs="Arial"/>
        </w:rPr>
        <w:lastRenderedPageBreak/>
        <w:t>4.3.4 for more information on the vignette development.</w:t>
      </w:r>
      <w:commentRangeEnd w:id="158"/>
      <w:r w:rsidR="00364213">
        <w:rPr>
          <w:rStyle w:val="CommentReference"/>
          <w:rFonts w:eastAsiaTheme="minorHAnsi"/>
          <w:lang w:eastAsia="en-US"/>
        </w:rPr>
        <w:commentReference w:id="158"/>
      </w:r>
    </w:p>
    <w:p w14:paraId="0928842F" w14:textId="1F4BDC87" w:rsidR="00FD2A1D" w:rsidRPr="00EA0DC7" w:rsidRDefault="00FD2A1D" w:rsidP="00856806">
      <w:pPr>
        <w:widowControl w:val="0"/>
        <w:spacing w:after="0"/>
        <w:ind w:firstLine="720"/>
        <w:rPr>
          <w:rFonts w:cs="Arial"/>
        </w:rPr>
      </w:pPr>
      <w:r w:rsidRPr="00EA0DC7">
        <w:rPr>
          <w:rFonts w:cs="Arial"/>
        </w:rPr>
        <w:t>After each vignette, the participant was asked: ‘To what extent would you focus on the following techniques when giving the clinician advice during supervision?’. The techniques were: ‘Focus on evidence-based therapeutic techniques’; ‘Focus on the development of the therapeutic alliance with the patient’; and ‘Focus on other issues in supervision’. Focus was measured using five-point Likert scales, ranging from 1 ‘I would not focus on this’ to 5 ‘I would focus entirely on this’. Further detail was requested if participants indicated that they would focus on other issues. ‘Other issues’ are henceforth referred to as ‘Case-Management issues’. These areas of focus (therapeutic techniques, alliance, and case-management) were based on the three main functions of supervision often described in the literature - formative, restorative, and normative (Proctor, 1988), or educational, supportive, and managerial (Kadushin, 1976).</w:t>
      </w:r>
    </w:p>
    <w:p w14:paraId="64F19625" w14:textId="4A0F3F1E" w:rsidR="0002370C" w:rsidRPr="00EA0DC7" w:rsidRDefault="0002370C" w:rsidP="00FD2A1D">
      <w:pPr>
        <w:widowControl w:val="0"/>
        <w:spacing w:after="0"/>
        <w:rPr>
          <w:rFonts w:cs="Arial"/>
          <w:szCs w:val="24"/>
        </w:rPr>
      </w:pPr>
      <w:r w:rsidRPr="00EA0DC7">
        <w:rPr>
          <w:rFonts w:cs="Arial"/>
        </w:rPr>
        <w:tab/>
      </w:r>
      <w:r w:rsidRPr="00EA0DC7">
        <w:rPr>
          <w:rFonts w:cs="Arial"/>
          <w:szCs w:val="24"/>
        </w:rPr>
        <w:t xml:space="preserve">Following the vignettes, participants’ anxiety was measured using the 12-item version of the Intolerance of Uncertainty Scale </w:t>
      </w:r>
      <w:r w:rsidRPr="00EA0DC7">
        <w:rPr>
          <w:rFonts w:cs="Arial"/>
          <w:noProof/>
          <w:szCs w:val="24"/>
        </w:rPr>
        <w:t xml:space="preserve">(IUS, Carleton </w:t>
      </w:r>
      <w:r w:rsidR="008F2B17" w:rsidRPr="00EA0DC7">
        <w:rPr>
          <w:rFonts w:cs="Arial"/>
          <w:noProof/>
          <w:szCs w:val="24"/>
        </w:rPr>
        <w:t>et al.</w:t>
      </w:r>
      <w:r w:rsidRPr="00EA0DC7">
        <w:rPr>
          <w:rFonts w:cs="Arial"/>
          <w:noProof/>
          <w:szCs w:val="24"/>
        </w:rPr>
        <w:t>, 2007)</w:t>
      </w:r>
      <w:r w:rsidRPr="00EA0DC7">
        <w:rPr>
          <w:rFonts w:cs="Arial"/>
          <w:szCs w:val="24"/>
        </w:rPr>
        <w:t>. The IUS measures two elements of anxiety – ‘prospective anxiety’ (fear and anxiety relating to future events), and ‘inhibitory anxiety’ (uncertainty that inhibits action). It has good psychometric properties (</w:t>
      </w:r>
      <w:r w:rsidRPr="00EA0DC7">
        <w:rPr>
          <w:rFonts w:cs="Arial"/>
          <w:noProof/>
          <w:szCs w:val="24"/>
        </w:rPr>
        <w:t>Carleton et al., 2007)</w:t>
      </w:r>
      <w:r w:rsidRPr="00EA0DC7">
        <w:rPr>
          <w:rFonts w:cs="Arial"/>
          <w:szCs w:val="24"/>
        </w:rPr>
        <w:t xml:space="preserve">. Finally, participants’ self-esteem was measured using the Rosenberg Self-Esteem Scale </w:t>
      </w:r>
      <w:r w:rsidRPr="00EA0DC7">
        <w:rPr>
          <w:rFonts w:cs="Arial"/>
          <w:noProof/>
          <w:szCs w:val="24"/>
        </w:rPr>
        <w:t>(RSE, Rosenberg, 1965)</w:t>
      </w:r>
      <w:r w:rsidRPr="00EA0DC7">
        <w:rPr>
          <w:rFonts w:cs="Arial"/>
          <w:szCs w:val="24"/>
        </w:rPr>
        <w:t xml:space="preserve">. The RSE has 10 items, measures both positive and negative views of the self, and has well-established psychometric properties </w:t>
      </w:r>
      <w:r w:rsidRPr="00EA0DC7">
        <w:rPr>
          <w:rFonts w:cs="Arial"/>
          <w:noProof/>
          <w:szCs w:val="24"/>
        </w:rPr>
        <w:t>(Blascovich &amp; Tomaka, 1991)</w:t>
      </w:r>
      <w:r w:rsidRPr="00EA0DC7">
        <w:rPr>
          <w:rFonts w:cs="Arial"/>
          <w:szCs w:val="24"/>
        </w:rPr>
        <w:t>.</w:t>
      </w:r>
      <w:commentRangeStart w:id="159"/>
      <w:r w:rsidR="0093261C">
        <w:rPr>
          <w:rFonts w:cs="Arial"/>
          <w:szCs w:val="24"/>
        </w:rPr>
        <w:t xml:space="preserve"> See Section 4.3.4 for further details on these measures.</w:t>
      </w:r>
      <w:commentRangeEnd w:id="159"/>
      <w:r w:rsidR="00364213">
        <w:rPr>
          <w:rStyle w:val="CommentReference"/>
          <w:rFonts w:eastAsiaTheme="minorHAnsi"/>
          <w:lang w:eastAsia="en-US"/>
        </w:rPr>
        <w:commentReference w:id="159"/>
      </w:r>
    </w:p>
    <w:p w14:paraId="7263A4AF" w14:textId="05BA2D97" w:rsidR="00FD2A1D" w:rsidRPr="00EA0DC7" w:rsidRDefault="00B854C2" w:rsidP="004C54F0">
      <w:pPr>
        <w:pStyle w:val="Heading3"/>
        <w:keepNext/>
      </w:pPr>
      <w:r w:rsidRPr="00EA0DC7">
        <w:lastRenderedPageBreak/>
        <w:t xml:space="preserve">5.2.5 </w:t>
      </w:r>
      <w:r w:rsidR="00FD2A1D" w:rsidRPr="00EA0DC7">
        <w:t>Data analysis</w:t>
      </w:r>
    </w:p>
    <w:p w14:paraId="3F8BC662" w14:textId="77777777" w:rsidR="0002370C" w:rsidRPr="00EA0DC7" w:rsidRDefault="0002370C" w:rsidP="009873E6">
      <w:pPr>
        <w:ind w:firstLine="720"/>
      </w:pPr>
      <w:r w:rsidRPr="00EA0DC7">
        <w:t xml:space="preserve">To address the first aim, a repeated measures analysis of variance (ANOVA) was used to assess the reactions of the supervisors to each vignette. The within-subject factor was supervisee anxiety (three levels), the between-subject factor was supervisee gender, and the dependent variables were the rated levels of focus on different topics in supervision. </w:t>
      </w:r>
      <w:r w:rsidRPr="00EA0DC7">
        <w:rPr>
          <w:szCs w:val="24"/>
        </w:rPr>
        <w:t>To address the second aim, two-step cluster analysis was used to identify naturally occurring supervisor ‘types’, and these were validated against other measures using one-way ANOVAs and chi-squared tests</w:t>
      </w:r>
    </w:p>
    <w:p w14:paraId="083E50E3" w14:textId="5CDD4F75" w:rsidR="00FD2A1D" w:rsidRPr="00EA0DC7" w:rsidRDefault="00465EA5" w:rsidP="00EE5D41">
      <w:pPr>
        <w:pStyle w:val="Heading2"/>
        <w:keepNext/>
      </w:pPr>
      <w:bookmarkStart w:id="160" w:name="_Toc47039849"/>
      <w:r w:rsidRPr="00EA0DC7">
        <w:t>5.3</w:t>
      </w:r>
      <w:r w:rsidR="00BF0088" w:rsidRPr="00EA0DC7">
        <w:t xml:space="preserve"> </w:t>
      </w:r>
      <w:r w:rsidR="00FD2A1D" w:rsidRPr="00EA0DC7">
        <w:t>Results</w:t>
      </w:r>
      <w:bookmarkEnd w:id="160"/>
    </w:p>
    <w:p w14:paraId="53D5ED36" w14:textId="12DE3CC6" w:rsidR="00CA5620" w:rsidRPr="00EA0DC7" w:rsidRDefault="00B854C2" w:rsidP="00EE5D41">
      <w:pPr>
        <w:pStyle w:val="Heading3"/>
        <w:keepNext/>
      </w:pPr>
      <w:r w:rsidRPr="00EA0DC7">
        <w:t>5.3.1</w:t>
      </w:r>
      <w:r w:rsidR="00CA5620" w:rsidRPr="00EA0DC7">
        <w:t xml:space="preserve"> General supervision focus</w:t>
      </w:r>
    </w:p>
    <w:p w14:paraId="72CE2901" w14:textId="27D30C99" w:rsidR="00CA5620" w:rsidRPr="00EA0DC7" w:rsidRDefault="00CA5620" w:rsidP="00CA5620">
      <w:r w:rsidRPr="00EA0DC7">
        <w:tab/>
        <w:t>Supervisors indicated a greater focus on technique (</w:t>
      </w:r>
      <w:r w:rsidRPr="00EA0DC7">
        <w:rPr>
          <w:i/>
        </w:rPr>
        <w:t>M</w:t>
      </w:r>
      <w:r w:rsidRPr="00EA0DC7">
        <w:t xml:space="preserve"> = </w:t>
      </w:r>
      <w:r w:rsidR="00606B76" w:rsidRPr="00EA0DC7">
        <w:t xml:space="preserve">3.73, </w:t>
      </w:r>
      <w:r w:rsidR="00606B76" w:rsidRPr="00EA0DC7">
        <w:rPr>
          <w:i/>
        </w:rPr>
        <w:t>SD</w:t>
      </w:r>
      <w:r w:rsidR="00606B76" w:rsidRPr="00EA0DC7">
        <w:t xml:space="preserve"> = 0.77)</w:t>
      </w:r>
      <w:r w:rsidRPr="00EA0DC7">
        <w:t xml:space="preserve"> than on alliance </w:t>
      </w:r>
      <w:r w:rsidR="00606B76" w:rsidRPr="00EA0DC7">
        <w:t>(</w:t>
      </w:r>
      <w:r w:rsidRPr="00EA0DC7">
        <w:rPr>
          <w:i/>
        </w:rPr>
        <w:t>M</w:t>
      </w:r>
      <w:r w:rsidR="00606B76" w:rsidRPr="00EA0DC7">
        <w:t xml:space="preserve"> = 2.85, </w:t>
      </w:r>
      <w:r w:rsidR="00606B76" w:rsidRPr="00EA0DC7">
        <w:rPr>
          <w:i/>
        </w:rPr>
        <w:t>SD</w:t>
      </w:r>
      <w:r w:rsidR="00606B76" w:rsidRPr="00EA0DC7">
        <w:t xml:space="preserve"> = 1.10;</w:t>
      </w:r>
      <w:r w:rsidRPr="00EA0DC7">
        <w:t xml:space="preserve"> </w:t>
      </w:r>
      <w:r w:rsidRPr="00EA0DC7">
        <w:rPr>
          <w:i/>
        </w:rPr>
        <w:t>t</w:t>
      </w:r>
      <w:r w:rsidR="00606B76" w:rsidRPr="00EA0DC7">
        <w:t xml:space="preserve">(88) = 5.90, </w:t>
      </w:r>
      <w:r w:rsidR="00606B76" w:rsidRPr="00EA0DC7">
        <w:rPr>
          <w:i/>
        </w:rPr>
        <w:t>p</w:t>
      </w:r>
      <w:r w:rsidR="00606B76" w:rsidRPr="00EA0DC7">
        <w:t xml:space="preserve"> &lt; .001)</w:t>
      </w:r>
      <w:r w:rsidR="00627AB0" w:rsidRPr="00EA0DC7">
        <w:t>,</w:t>
      </w:r>
      <w:r w:rsidR="00606B76" w:rsidRPr="00EA0DC7">
        <w:t xml:space="preserve"> </w:t>
      </w:r>
      <w:r w:rsidRPr="00EA0DC7">
        <w:t xml:space="preserve">or case management issues </w:t>
      </w:r>
      <w:r w:rsidR="00606B76" w:rsidRPr="00EA0DC7">
        <w:t>(</w:t>
      </w:r>
      <w:r w:rsidRPr="00EA0DC7">
        <w:rPr>
          <w:i/>
        </w:rPr>
        <w:t>M</w:t>
      </w:r>
      <w:r w:rsidR="00606B76" w:rsidRPr="00EA0DC7">
        <w:t xml:space="preserve"> = 2.74, </w:t>
      </w:r>
      <w:r w:rsidR="00606B76" w:rsidRPr="00EA0DC7">
        <w:rPr>
          <w:i/>
        </w:rPr>
        <w:t>SD</w:t>
      </w:r>
      <w:r w:rsidR="00606B76" w:rsidRPr="00EA0DC7">
        <w:t xml:space="preserve"> = 1.18;</w:t>
      </w:r>
      <w:r w:rsidRPr="00EA0DC7">
        <w:t xml:space="preserve"> </w:t>
      </w:r>
      <w:r w:rsidRPr="00EA0DC7">
        <w:rPr>
          <w:i/>
        </w:rPr>
        <w:t>t</w:t>
      </w:r>
      <w:r w:rsidR="00606B76" w:rsidRPr="00EA0DC7">
        <w:t xml:space="preserve">(88) = 6.10, </w:t>
      </w:r>
      <w:r w:rsidR="00606B76" w:rsidRPr="00EA0DC7">
        <w:rPr>
          <w:i/>
        </w:rPr>
        <w:t xml:space="preserve">p </w:t>
      </w:r>
      <w:r w:rsidR="00606B76" w:rsidRPr="00EA0DC7">
        <w:t>&lt; .001). There was no difference between case management and alliance focus (</w:t>
      </w:r>
      <w:r w:rsidR="00606B76" w:rsidRPr="00EA0DC7">
        <w:rPr>
          <w:i/>
        </w:rPr>
        <w:t>t</w:t>
      </w:r>
      <w:r w:rsidR="00606B76" w:rsidRPr="00EA0DC7">
        <w:t xml:space="preserve">(88) = 0.67, </w:t>
      </w:r>
      <w:r w:rsidR="00606B76" w:rsidRPr="00EA0DC7">
        <w:rPr>
          <w:i/>
        </w:rPr>
        <w:t>p</w:t>
      </w:r>
      <w:r w:rsidR="00606B76" w:rsidRPr="00EA0DC7">
        <w:t xml:space="preserve"> = .504).</w:t>
      </w:r>
    </w:p>
    <w:p w14:paraId="59B1CAC9" w14:textId="32A17996" w:rsidR="00FD2A1D" w:rsidRPr="00EA0DC7" w:rsidRDefault="00046249">
      <w:pPr>
        <w:pStyle w:val="Heading3"/>
      </w:pPr>
      <w:r w:rsidRPr="00EA0DC7">
        <w:t>5.3.2</w:t>
      </w:r>
      <w:r w:rsidR="00B854C2" w:rsidRPr="00EA0DC7">
        <w:t xml:space="preserve"> </w:t>
      </w:r>
      <w:r w:rsidR="00FD2A1D" w:rsidRPr="00EA0DC7">
        <w:t>Supervision focus for different supervisees</w:t>
      </w:r>
    </w:p>
    <w:p w14:paraId="14BD7550" w14:textId="4D9FB45D" w:rsidR="00FD2A1D" w:rsidRPr="00EA0DC7" w:rsidRDefault="00FD2A1D" w:rsidP="00FD2A1D">
      <w:pPr>
        <w:widowControl w:val="0"/>
        <w:spacing w:after="0"/>
        <w:ind w:firstLine="720"/>
        <w:rPr>
          <w:rFonts w:cs="Arial"/>
        </w:rPr>
      </w:pPr>
      <w:r w:rsidRPr="00EA0DC7">
        <w:rPr>
          <w:rFonts w:cs="Arial"/>
        </w:rPr>
        <w:t xml:space="preserve">Overall patterns of supervision focus (alliance, therapeutic technique and case management issues) for each vignette were assessed across genders, using repeated measure ANOVAs (Table </w:t>
      </w:r>
      <w:r w:rsidR="00BF0088" w:rsidRPr="00EA0DC7">
        <w:rPr>
          <w:rFonts w:cs="Arial"/>
        </w:rPr>
        <w:t>5.</w:t>
      </w:r>
      <w:r w:rsidRPr="00EA0DC7">
        <w:rPr>
          <w:rFonts w:cs="Arial"/>
        </w:rPr>
        <w:t xml:space="preserve">1). </w:t>
      </w:r>
    </w:p>
    <w:p w14:paraId="273F0515" w14:textId="77777777" w:rsidR="00CA2F14" w:rsidRPr="00EA0DC7" w:rsidRDefault="00CA2F14" w:rsidP="00BF0088">
      <w:pPr>
        <w:widowControl w:val="0"/>
        <w:spacing w:line="240" w:lineRule="auto"/>
        <w:rPr>
          <w:rFonts w:cs="Arial"/>
        </w:rPr>
        <w:sectPr w:rsidR="00CA2F14" w:rsidRPr="00EA0DC7" w:rsidSect="00F54C3C">
          <w:pgSz w:w="11906" w:h="16838"/>
          <w:pgMar w:top="1440" w:right="1440" w:bottom="1440" w:left="2268" w:header="709" w:footer="709" w:gutter="0"/>
          <w:cols w:space="708"/>
          <w:docGrid w:linePitch="360"/>
        </w:sectPr>
      </w:pPr>
    </w:p>
    <w:p w14:paraId="4441E0DF" w14:textId="5C4EC529" w:rsidR="00BF0088" w:rsidRPr="00EA0DC7" w:rsidRDefault="008A7246" w:rsidP="008A7246">
      <w:pPr>
        <w:pStyle w:val="Captions"/>
        <w:rPr>
          <w:rFonts w:cs="Arial"/>
        </w:rPr>
      </w:pPr>
      <w:bookmarkStart w:id="161" w:name="_Toc47039929"/>
      <w:commentRangeStart w:id="162"/>
      <w:r w:rsidRPr="00EA0DC7">
        <w:lastRenderedPageBreak/>
        <w:t xml:space="preserve">Table </w:t>
      </w:r>
      <w:r w:rsidR="004F2FDB">
        <w:fldChar w:fldCharType="begin"/>
      </w:r>
      <w:r w:rsidR="004F2FDB">
        <w:instrText xml:space="preserve"> STYLEREF 1 \s </w:instrText>
      </w:r>
      <w:r w:rsidR="004F2FDB">
        <w:fldChar w:fldCharType="separate"/>
      </w:r>
      <w:r w:rsidR="00694354">
        <w:rPr>
          <w:noProof/>
        </w:rPr>
        <w:t>5</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xml:space="preserve">. ANOVAs showing differences </w:t>
      </w:r>
      <w:commentRangeEnd w:id="162"/>
      <w:r w:rsidR="001962F6">
        <w:rPr>
          <w:rStyle w:val="CommentReference"/>
          <w:rFonts w:eastAsiaTheme="minorHAnsi"/>
          <w:lang w:eastAsia="en-US"/>
        </w:rPr>
        <w:commentReference w:id="162"/>
      </w:r>
      <w:r w:rsidRPr="00EA0DC7">
        <w:t>in overall supervision focus by supervisee gender and anxiety.</w:t>
      </w:r>
      <w:bookmarkEnd w:id="161"/>
    </w:p>
    <w:tbl>
      <w:tblPr>
        <w:tblW w:w="13772" w:type="dxa"/>
        <w:tblLayout w:type="fixed"/>
        <w:tblLook w:val="04A0" w:firstRow="1" w:lastRow="0" w:firstColumn="1" w:lastColumn="0" w:noHBand="0" w:noVBand="1"/>
      </w:tblPr>
      <w:tblGrid>
        <w:gridCol w:w="1985"/>
        <w:gridCol w:w="1135"/>
        <w:gridCol w:w="980"/>
        <w:gridCol w:w="11"/>
        <w:gridCol w:w="1137"/>
        <w:gridCol w:w="1120"/>
        <w:gridCol w:w="13"/>
        <w:gridCol w:w="990"/>
        <w:gridCol w:w="1134"/>
        <w:gridCol w:w="709"/>
        <w:gridCol w:w="850"/>
        <w:gridCol w:w="851"/>
        <w:gridCol w:w="708"/>
        <w:gridCol w:w="709"/>
        <w:gridCol w:w="709"/>
        <w:gridCol w:w="713"/>
        <w:gridCol w:w="18"/>
      </w:tblGrid>
      <w:tr w:rsidR="00BF0088" w:rsidRPr="00EA0DC7" w14:paraId="59508D9C" w14:textId="77777777" w:rsidTr="00F61FAD">
        <w:trPr>
          <w:trHeight w:val="300"/>
        </w:trPr>
        <w:tc>
          <w:tcPr>
            <w:tcW w:w="1985" w:type="dxa"/>
            <w:tcBorders>
              <w:top w:val="single" w:sz="4" w:space="0" w:color="auto"/>
              <w:bottom w:val="single" w:sz="4" w:space="0" w:color="auto"/>
            </w:tcBorders>
            <w:shd w:val="clear" w:color="auto" w:fill="auto"/>
            <w:noWrap/>
          </w:tcPr>
          <w:p w14:paraId="2E5CAE5E" w14:textId="77777777" w:rsidR="00BF0088" w:rsidRPr="00EA0DC7" w:rsidRDefault="00BF0088" w:rsidP="00056D5F">
            <w:pPr>
              <w:widowControl w:val="0"/>
              <w:spacing w:before="240" w:line="276" w:lineRule="auto"/>
              <w:jc w:val="center"/>
              <w:rPr>
                <w:rFonts w:eastAsia="Times New Roman" w:cs="Arial"/>
                <w:sz w:val="22"/>
              </w:rPr>
            </w:pPr>
          </w:p>
        </w:tc>
        <w:tc>
          <w:tcPr>
            <w:tcW w:w="6520" w:type="dxa"/>
            <w:gridSpan w:val="8"/>
            <w:tcBorders>
              <w:top w:val="single" w:sz="4" w:space="0" w:color="auto"/>
              <w:bottom w:val="single" w:sz="4" w:space="0" w:color="auto"/>
            </w:tcBorders>
            <w:shd w:val="clear" w:color="auto" w:fill="auto"/>
          </w:tcPr>
          <w:p w14:paraId="349A2072" w14:textId="77777777" w:rsidR="00BF0088" w:rsidRPr="00EA0DC7"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Clinician Vignettes</w:t>
            </w:r>
          </w:p>
        </w:tc>
        <w:tc>
          <w:tcPr>
            <w:tcW w:w="5267" w:type="dxa"/>
            <w:gridSpan w:val="8"/>
            <w:tcBorders>
              <w:top w:val="single" w:sz="4" w:space="0" w:color="auto"/>
              <w:bottom w:val="single" w:sz="4" w:space="0" w:color="auto"/>
            </w:tcBorders>
            <w:shd w:val="clear" w:color="auto" w:fill="auto"/>
          </w:tcPr>
          <w:p w14:paraId="17DB7628" w14:textId="77777777" w:rsidR="00BF0088" w:rsidRPr="00EA0DC7"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3x2 ANOVA</w:t>
            </w:r>
          </w:p>
        </w:tc>
      </w:tr>
      <w:tr w:rsidR="00BF0088" w:rsidRPr="00EA0DC7" w14:paraId="492E926F" w14:textId="77777777" w:rsidTr="00F61FAD">
        <w:trPr>
          <w:gridAfter w:val="1"/>
          <w:wAfter w:w="18" w:type="dxa"/>
          <w:trHeight w:val="300"/>
        </w:trPr>
        <w:tc>
          <w:tcPr>
            <w:tcW w:w="1985" w:type="dxa"/>
            <w:tcBorders>
              <w:top w:val="single" w:sz="4" w:space="0" w:color="auto"/>
              <w:bottom w:val="single" w:sz="4" w:space="0" w:color="auto"/>
            </w:tcBorders>
            <w:shd w:val="clear" w:color="auto" w:fill="auto"/>
            <w:noWrap/>
            <w:vAlign w:val="center"/>
          </w:tcPr>
          <w:p w14:paraId="0255728A" w14:textId="77777777" w:rsidR="00BF0088" w:rsidRPr="00EA0DC7" w:rsidRDefault="00BF0088" w:rsidP="00056D5F">
            <w:pPr>
              <w:widowControl w:val="0"/>
              <w:spacing w:before="240" w:line="276" w:lineRule="auto"/>
              <w:jc w:val="right"/>
              <w:rPr>
                <w:rFonts w:eastAsia="Times New Roman" w:cs="Arial"/>
                <w:b/>
                <w:bCs/>
                <w:i/>
                <w:iCs/>
                <w:sz w:val="22"/>
              </w:rPr>
            </w:pPr>
            <w:r w:rsidRPr="00EA0DC7">
              <w:rPr>
                <w:rFonts w:eastAsia="Times New Roman" w:cs="Arial"/>
                <w:b/>
                <w:sz w:val="22"/>
              </w:rPr>
              <w:t xml:space="preserve"> Supervisee anxiety</w:t>
            </w:r>
          </w:p>
        </w:tc>
        <w:tc>
          <w:tcPr>
            <w:tcW w:w="2115" w:type="dxa"/>
            <w:gridSpan w:val="2"/>
            <w:tcBorders>
              <w:top w:val="single" w:sz="4" w:space="0" w:color="auto"/>
              <w:bottom w:val="single" w:sz="4" w:space="0" w:color="auto"/>
            </w:tcBorders>
            <w:shd w:val="clear" w:color="auto" w:fill="auto"/>
            <w:noWrap/>
            <w:vAlign w:val="center"/>
          </w:tcPr>
          <w:p w14:paraId="193092B7" w14:textId="77777777" w:rsidR="00BF0088"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Trait</w:t>
            </w:r>
          </w:p>
          <w:p w14:paraId="2317DBF2" w14:textId="0649E3B4" w:rsidR="00EC7588" w:rsidRPr="00EA0DC7" w:rsidRDefault="00EC7588" w:rsidP="00056D5F">
            <w:pPr>
              <w:widowControl w:val="0"/>
              <w:spacing w:before="240" w:line="276" w:lineRule="auto"/>
              <w:jc w:val="center"/>
              <w:rPr>
                <w:rFonts w:eastAsia="Times New Roman" w:cs="Arial"/>
                <w:b/>
                <w:sz w:val="22"/>
              </w:rPr>
            </w:pPr>
            <w:r>
              <w:rPr>
                <w:rFonts w:eastAsia="Times New Roman" w:cs="Arial"/>
                <w:b/>
                <w:sz w:val="22"/>
              </w:rPr>
              <w:t>(1)</w:t>
            </w:r>
          </w:p>
        </w:tc>
        <w:tc>
          <w:tcPr>
            <w:tcW w:w="2268" w:type="dxa"/>
            <w:gridSpan w:val="3"/>
            <w:tcBorders>
              <w:top w:val="single" w:sz="4" w:space="0" w:color="auto"/>
              <w:bottom w:val="single" w:sz="4" w:space="0" w:color="auto"/>
            </w:tcBorders>
            <w:shd w:val="clear" w:color="auto" w:fill="auto"/>
            <w:vAlign w:val="center"/>
          </w:tcPr>
          <w:p w14:paraId="22A1911C" w14:textId="77777777" w:rsidR="00BF0088"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State</w:t>
            </w:r>
          </w:p>
          <w:p w14:paraId="655D9527" w14:textId="7DC00D53" w:rsidR="00EC7588" w:rsidRPr="00EA0DC7" w:rsidRDefault="00EC7588" w:rsidP="00056D5F">
            <w:pPr>
              <w:widowControl w:val="0"/>
              <w:spacing w:before="240" w:line="276" w:lineRule="auto"/>
              <w:jc w:val="center"/>
              <w:rPr>
                <w:rFonts w:eastAsia="Times New Roman" w:cs="Arial"/>
                <w:b/>
                <w:sz w:val="22"/>
              </w:rPr>
            </w:pPr>
            <w:r>
              <w:rPr>
                <w:rFonts w:eastAsia="Times New Roman" w:cs="Arial"/>
                <w:b/>
                <w:sz w:val="22"/>
              </w:rPr>
              <w:t>(2)</w:t>
            </w:r>
          </w:p>
        </w:tc>
        <w:tc>
          <w:tcPr>
            <w:tcW w:w="2137" w:type="dxa"/>
            <w:gridSpan w:val="3"/>
            <w:tcBorders>
              <w:top w:val="single" w:sz="4" w:space="0" w:color="auto"/>
              <w:bottom w:val="single" w:sz="4" w:space="0" w:color="auto"/>
            </w:tcBorders>
            <w:shd w:val="clear" w:color="auto" w:fill="auto"/>
            <w:vAlign w:val="center"/>
          </w:tcPr>
          <w:p w14:paraId="6C60DFB4" w14:textId="77777777" w:rsidR="00BF0088"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Calm</w:t>
            </w:r>
          </w:p>
          <w:p w14:paraId="522FD986" w14:textId="478116BD" w:rsidR="00EC7588" w:rsidRPr="00EA0DC7" w:rsidRDefault="00EC7588" w:rsidP="00056D5F">
            <w:pPr>
              <w:widowControl w:val="0"/>
              <w:spacing w:before="240" w:line="276" w:lineRule="auto"/>
              <w:jc w:val="center"/>
              <w:rPr>
                <w:rFonts w:eastAsia="Times New Roman" w:cs="Arial"/>
                <w:b/>
                <w:sz w:val="22"/>
              </w:rPr>
            </w:pPr>
            <w:r>
              <w:rPr>
                <w:rFonts w:eastAsia="Times New Roman" w:cs="Arial"/>
                <w:b/>
                <w:sz w:val="22"/>
              </w:rPr>
              <w:t>(3)</w:t>
            </w:r>
          </w:p>
        </w:tc>
        <w:tc>
          <w:tcPr>
            <w:tcW w:w="2410" w:type="dxa"/>
            <w:gridSpan w:val="3"/>
            <w:tcBorders>
              <w:top w:val="single" w:sz="4" w:space="0" w:color="auto"/>
              <w:bottom w:val="single" w:sz="4" w:space="0" w:color="auto"/>
            </w:tcBorders>
            <w:shd w:val="clear" w:color="auto" w:fill="auto"/>
            <w:noWrap/>
            <w:vAlign w:val="center"/>
          </w:tcPr>
          <w:p w14:paraId="10B8DA26" w14:textId="77777777" w:rsidR="00BF0088" w:rsidRPr="00EA0DC7"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Anxiety</w:t>
            </w:r>
          </w:p>
        </w:tc>
        <w:tc>
          <w:tcPr>
            <w:tcW w:w="1417" w:type="dxa"/>
            <w:gridSpan w:val="2"/>
            <w:tcBorders>
              <w:top w:val="single" w:sz="4" w:space="0" w:color="auto"/>
              <w:bottom w:val="single" w:sz="4" w:space="0" w:color="auto"/>
            </w:tcBorders>
            <w:shd w:val="clear" w:color="auto" w:fill="auto"/>
            <w:noWrap/>
            <w:vAlign w:val="center"/>
          </w:tcPr>
          <w:p w14:paraId="1E95AFEF" w14:textId="77777777" w:rsidR="00BF0088" w:rsidRPr="00EA0DC7"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Supervisee gender</w:t>
            </w:r>
          </w:p>
        </w:tc>
        <w:tc>
          <w:tcPr>
            <w:tcW w:w="1422" w:type="dxa"/>
            <w:gridSpan w:val="2"/>
            <w:tcBorders>
              <w:top w:val="single" w:sz="4" w:space="0" w:color="auto"/>
              <w:bottom w:val="single" w:sz="4" w:space="0" w:color="auto"/>
            </w:tcBorders>
            <w:shd w:val="clear" w:color="auto" w:fill="auto"/>
            <w:noWrap/>
            <w:vAlign w:val="center"/>
          </w:tcPr>
          <w:p w14:paraId="6F8B2C47" w14:textId="77777777" w:rsidR="00BF0088" w:rsidRPr="00EA0DC7" w:rsidRDefault="00BF0088" w:rsidP="00056D5F">
            <w:pPr>
              <w:widowControl w:val="0"/>
              <w:spacing w:before="240" w:line="276" w:lineRule="auto"/>
              <w:jc w:val="center"/>
              <w:rPr>
                <w:rFonts w:eastAsia="Times New Roman" w:cs="Arial"/>
                <w:b/>
                <w:sz w:val="22"/>
              </w:rPr>
            </w:pPr>
            <w:r w:rsidRPr="00EA0DC7">
              <w:rPr>
                <w:rFonts w:eastAsia="Times New Roman" w:cs="Arial"/>
                <w:b/>
                <w:sz w:val="22"/>
              </w:rPr>
              <w:t>Anxiety x Supervisee gender</w:t>
            </w:r>
          </w:p>
        </w:tc>
      </w:tr>
      <w:tr w:rsidR="00BF0088" w:rsidRPr="00EA0DC7" w14:paraId="344AB7B1" w14:textId="77777777" w:rsidTr="00F61FAD">
        <w:trPr>
          <w:gridAfter w:val="1"/>
          <w:wAfter w:w="18" w:type="dxa"/>
          <w:trHeight w:val="300"/>
        </w:trPr>
        <w:tc>
          <w:tcPr>
            <w:tcW w:w="1985" w:type="dxa"/>
            <w:tcBorders>
              <w:top w:val="single" w:sz="4" w:space="0" w:color="auto"/>
            </w:tcBorders>
            <w:shd w:val="clear" w:color="auto" w:fill="auto"/>
            <w:noWrap/>
          </w:tcPr>
          <w:p w14:paraId="1AB482DE" w14:textId="77777777" w:rsidR="00BF0088" w:rsidRPr="00EA0DC7" w:rsidRDefault="00BF0088" w:rsidP="00056D5F">
            <w:pPr>
              <w:widowControl w:val="0"/>
              <w:spacing w:before="240" w:line="360" w:lineRule="auto"/>
              <w:jc w:val="right"/>
              <w:rPr>
                <w:rFonts w:eastAsia="Times New Roman" w:cs="Arial"/>
                <w:b/>
                <w:bCs/>
                <w:i/>
                <w:iCs/>
                <w:sz w:val="22"/>
              </w:rPr>
            </w:pPr>
            <w:r w:rsidRPr="00EA0DC7">
              <w:rPr>
                <w:rFonts w:eastAsia="Times New Roman" w:cs="Arial"/>
                <w:b/>
                <w:sz w:val="22"/>
              </w:rPr>
              <w:t xml:space="preserve"> Supervisee gender</w:t>
            </w:r>
          </w:p>
        </w:tc>
        <w:tc>
          <w:tcPr>
            <w:tcW w:w="1135" w:type="dxa"/>
            <w:tcBorders>
              <w:top w:val="single" w:sz="4" w:space="0" w:color="auto"/>
            </w:tcBorders>
            <w:shd w:val="clear" w:color="auto" w:fill="auto"/>
            <w:noWrap/>
          </w:tcPr>
          <w:p w14:paraId="1A0D509F" w14:textId="759ABF4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Male</w:t>
            </w:r>
          </w:p>
        </w:tc>
        <w:tc>
          <w:tcPr>
            <w:tcW w:w="991" w:type="dxa"/>
            <w:gridSpan w:val="2"/>
            <w:tcBorders>
              <w:top w:val="single" w:sz="4" w:space="0" w:color="auto"/>
            </w:tcBorders>
            <w:shd w:val="clear" w:color="auto" w:fill="auto"/>
            <w:noWrap/>
          </w:tcPr>
          <w:p w14:paraId="0BDAB2AA"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Female</w:t>
            </w:r>
          </w:p>
        </w:tc>
        <w:tc>
          <w:tcPr>
            <w:tcW w:w="1137" w:type="dxa"/>
            <w:tcBorders>
              <w:top w:val="single" w:sz="4" w:space="0" w:color="auto"/>
            </w:tcBorders>
            <w:shd w:val="clear" w:color="auto" w:fill="auto"/>
            <w:noWrap/>
          </w:tcPr>
          <w:p w14:paraId="6004E17F"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Male</w:t>
            </w:r>
          </w:p>
        </w:tc>
        <w:tc>
          <w:tcPr>
            <w:tcW w:w="1133" w:type="dxa"/>
            <w:gridSpan w:val="2"/>
            <w:tcBorders>
              <w:top w:val="single" w:sz="4" w:space="0" w:color="auto"/>
            </w:tcBorders>
            <w:shd w:val="clear" w:color="auto" w:fill="auto"/>
            <w:noWrap/>
          </w:tcPr>
          <w:p w14:paraId="364BB8C1"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Female</w:t>
            </w:r>
          </w:p>
        </w:tc>
        <w:tc>
          <w:tcPr>
            <w:tcW w:w="990" w:type="dxa"/>
            <w:tcBorders>
              <w:top w:val="single" w:sz="4" w:space="0" w:color="auto"/>
            </w:tcBorders>
            <w:shd w:val="clear" w:color="auto" w:fill="auto"/>
            <w:noWrap/>
          </w:tcPr>
          <w:p w14:paraId="11FB8202"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Male</w:t>
            </w:r>
          </w:p>
        </w:tc>
        <w:tc>
          <w:tcPr>
            <w:tcW w:w="1134" w:type="dxa"/>
            <w:tcBorders>
              <w:top w:val="single" w:sz="4" w:space="0" w:color="auto"/>
            </w:tcBorders>
            <w:shd w:val="clear" w:color="auto" w:fill="auto"/>
            <w:noWrap/>
          </w:tcPr>
          <w:p w14:paraId="78B73B8C"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Female</w:t>
            </w:r>
          </w:p>
        </w:tc>
        <w:tc>
          <w:tcPr>
            <w:tcW w:w="709" w:type="dxa"/>
            <w:tcBorders>
              <w:top w:val="single" w:sz="4" w:space="0" w:color="auto"/>
            </w:tcBorders>
            <w:shd w:val="clear" w:color="auto" w:fill="auto"/>
            <w:noWrap/>
          </w:tcPr>
          <w:p w14:paraId="28746C3D" w14:textId="77777777" w:rsidR="00BF0088" w:rsidRPr="00EA0DC7" w:rsidRDefault="00BF0088" w:rsidP="00056D5F">
            <w:pPr>
              <w:widowControl w:val="0"/>
              <w:spacing w:before="240" w:line="360" w:lineRule="auto"/>
              <w:jc w:val="center"/>
              <w:rPr>
                <w:rFonts w:eastAsia="Times New Roman" w:cs="Arial"/>
                <w:b/>
                <w:i/>
                <w:iCs/>
                <w:sz w:val="22"/>
              </w:rPr>
            </w:pPr>
            <w:r w:rsidRPr="00EA0DC7">
              <w:rPr>
                <w:rFonts w:eastAsia="Times New Roman" w:cs="Arial"/>
                <w:b/>
                <w:i/>
                <w:iCs/>
                <w:sz w:val="22"/>
              </w:rPr>
              <w:t>F</w:t>
            </w:r>
          </w:p>
        </w:tc>
        <w:tc>
          <w:tcPr>
            <w:tcW w:w="850" w:type="dxa"/>
            <w:tcBorders>
              <w:top w:val="single" w:sz="4" w:space="0" w:color="auto"/>
            </w:tcBorders>
            <w:shd w:val="clear" w:color="auto" w:fill="auto"/>
            <w:noWrap/>
          </w:tcPr>
          <w:p w14:paraId="156915BD" w14:textId="2580C702" w:rsidR="00BF0088" w:rsidRPr="00EA0DC7" w:rsidRDefault="00B854C2" w:rsidP="00056D5F">
            <w:pPr>
              <w:widowControl w:val="0"/>
              <w:spacing w:before="240" w:line="360" w:lineRule="auto"/>
              <w:jc w:val="center"/>
              <w:rPr>
                <w:rFonts w:eastAsia="Times New Roman" w:cs="Arial"/>
                <w:b/>
                <w:i/>
                <w:iCs/>
                <w:sz w:val="22"/>
              </w:rPr>
            </w:pPr>
            <w:r w:rsidRPr="00EA0DC7">
              <w:rPr>
                <w:rFonts w:eastAsia="Times New Roman" w:cs="Arial"/>
                <w:b/>
                <w:i/>
                <w:iCs/>
                <w:sz w:val="22"/>
              </w:rPr>
              <w:t>p</w:t>
            </w:r>
          </w:p>
        </w:tc>
        <w:tc>
          <w:tcPr>
            <w:tcW w:w="851" w:type="dxa"/>
            <w:tcBorders>
              <w:top w:val="single" w:sz="4" w:space="0" w:color="auto"/>
            </w:tcBorders>
            <w:shd w:val="clear" w:color="auto" w:fill="auto"/>
            <w:noWrap/>
          </w:tcPr>
          <w:p w14:paraId="7B73A243" w14:textId="77777777" w:rsidR="00BF0088" w:rsidRPr="00EA0DC7" w:rsidRDefault="00BF0088" w:rsidP="00056D5F">
            <w:pPr>
              <w:widowControl w:val="0"/>
              <w:spacing w:before="240" w:line="360" w:lineRule="auto"/>
              <w:jc w:val="center"/>
              <w:rPr>
                <w:rFonts w:eastAsia="Times New Roman" w:cs="Arial"/>
                <w:b/>
                <w:sz w:val="22"/>
              </w:rPr>
            </w:pPr>
            <w:r w:rsidRPr="00EA0DC7">
              <w:rPr>
                <w:rFonts w:eastAsia="Times New Roman" w:cs="Arial"/>
                <w:b/>
                <w:sz w:val="22"/>
              </w:rPr>
              <w:t>MC</w:t>
            </w:r>
          </w:p>
        </w:tc>
        <w:tc>
          <w:tcPr>
            <w:tcW w:w="708" w:type="dxa"/>
            <w:tcBorders>
              <w:top w:val="single" w:sz="4" w:space="0" w:color="auto"/>
            </w:tcBorders>
            <w:shd w:val="clear" w:color="auto" w:fill="auto"/>
            <w:noWrap/>
          </w:tcPr>
          <w:p w14:paraId="1E24E3CC" w14:textId="77777777" w:rsidR="00BF0088" w:rsidRPr="00EA0DC7" w:rsidRDefault="00BF0088" w:rsidP="00056D5F">
            <w:pPr>
              <w:widowControl w:val="0"/>
              <w:spacing w:before="240" w:line="360" w:lineRule="auto"/>
              <w:jc w:val="center"/>
              <w:rPr>
                <w:rFonts w:eastAsia="Times New Roman" w:cs="Arial"/>
                <w:b/>
                <w:i/>
                <w:iCs/>
                <w:sz w:val="22"/>
              </w:rPr>
            </w:pPr>
            <w:r w:rsidRPr="00EA0DC7">
              <w:rPr>
                <w:rFonts w:eastAsia="Times New Roman" w:cs="Arial"/>
                <w:b/>
                <w:i/>
                <w:iCs/>
                <w:sz w:val="22"/>
              </w:rPr>
              <w:t>F</w:t>
            </w:r>
          </w:p>
        </w:tc>
        <w:tc>
          <w:tcPr>
            <w:tcW w:w="709" w:type="dxa"/>
            <w:tcBorders>
              <w:top w:val="single" w:sz="4" w:space="0" w:color="auto"/>
            </w:tcBorders>
            <w:shd w:val="clear" w:color="auto" w:fill="auto"/>
            <w:noWrap/>
          </w:tcPr>
          <w:p w14:paraId="0843BB8A" w14:textId="27C83872" w:rsidR="00BF0088" w:rsidRPr="00EA0DC7" w:rsidRDefault="00B854C2" w:rsidP="00056D5F">
            <w:pPr>
              <w:widowControl w:val="0"/>
              <w:spacing w:before="240" w:line="360" w:lineRule="auto"/>
              <w:jc w:val="center"/>
              <w:rPr>
                <w:rFonts w:eastAsia="Times New Roman" w:cs="Arial"/>
                <w:b/>
                <w:i/>
                <w:iCs/>
                <w:sz w:val="22"/>
              </w:rPr>
            </w:pPr>
            <w:r w:rsidRPr="00EA0DC7">
              <w:rPr>
                <w:rFonts w:eastAsia="Times New Roman" w:cs="Arial"/>
                <w:b/>
                <w:i/>
                <w:iCs/>
                <w:sz w:val="22"/>
              </w:rPr>
              <w:t>p</w:t>
            </w:r>
          </w:p>
        </w:tc>
        <w:tc>
          <w:tcPr>
            <w:tcW w:w="709" w:type="dxa"/>
            <w:tcBorders>
              <w:top w:val="single" w:sz="4" w:space="0" w:color="auto"/>
            </w:tcBorders>
            <w:shd w:val="clear" w:color="auto" w:fill="auto"/>
            <w:noWrap/>
          </w:tcPr>
          <w:p w14:paraId="297E59FA" w14:textId="77777777" w:rsidR="00BF0088" w:rsidRPr="00EA0DC7" w:rsidRDefault="00BF0088" w:rsidP="00056D5F">
            <w:pPr>
              <w:widowControl w:val="0"/>
              <w:spacing w:before="240" w:line="360" w:lineRule="auto"/>
              <w:jc w:val="center"/>
              <w:rPr>
                <w:rFonts w:eastAsia="Times New Roman" w:cs="Arial"/>
                <w:b/>
                <w:i/>
                <w:iCs/>
                <w:sz w:val="22"/>
              </w:rPr>
            </w:pPr>
            <w:r w:rsidRPr="00EA0DC7">
              <w:rPr>
                <w:rFonts w:eastAsia="Times New Roman" w:cs="Arial"/>
                <w:b/>
                <w:i/>
                <w:iCs/>
                <w:sz w:val="22"/>
              </w:rPr>
              <w:t>F</w:t>
            </w:r>
          </w:p>
        </w:tc>
        <w:tc>
          <w:tcPr>
            <w:tcW w:w="713" w:type="dxa"/>
            <w:tcBorders>
              <w:top w:val="single" w:sz="4" w:space="0" w:color="auto"/>
            </w:tcBorders>
            <w:shd w:val="clear" w:color="auto" w:fill="auto"/>
            <w:noWrap/>
          </w:tcPr>
          <w:p w14:paraId="6F4E922D" w14:textId="3F694265" w:rsidR="00BF0088" w:rsidRPr="00EA0DC7" w:rsidRDefault="00056D5F" w:rsidP="00056D5F">
            <w:pPr>
              <w:widowControl w:val="0"/>
              <w:spacing w:before="240" w:line="360" w:lineRule="auto"/>
              <w:jc w:val="center"/>
              <w:rPr>
                <w:rFonts w:eastAsia="Times New Roman" w:cs="Arial"/>
                <w:b/>
                <w:i/>
                <w:iCs/>
                <w:sz w:val="22"/>
              </w:rPr>
            </w:pPr>
            <w:r w:rsidRPr="00EA0DC7">
              <w:rPr>
                <w:rFonts w:eastAsia="Times New Roman" w:cs="Arial"/>
                <w:b/>
                <w:i/>
                <w:iCs/>
                <w:sz w:val="22"/>
              </w:rPr>
              <w:t>p</w:t>
            </w:r>
          </w:p>
        </w:tc>
      </w:tr>
      <w:tr w:rsidR="00BF0088" w:rsidRPr="00EA0DC7" w14:paraId="6497C463" w14:textId="77777777" w:rsidTr="00F61FAD">
        <w:trPr>
          <w:gridAfter w:val="1"/>
          <w:wAfter w:w="18" w:type="dxa"/>
          <w:trHeight w:val="300"/>
        </w:trPr>
        <w:tc>
          <w:tcPr>
            <w:tcW w:w="1985" w:type="dxa"/>
            <w:tcBorders>
              <w:top w:val="single" w:sz="4" w:space="0" w:color="auto"/>
            </w:tcBorders>
            <w:shd w:val="clear" w:color="auto" w:fill="auto"/>
            <w:noWrap/>
          </w:tcPr>
          <w:p w14:paraId="3175D825" w14:textId="77777777" w:rsidR="00BF0088" w:rsidRPr="00EA0DC7" w:rsidRDefault="00BF0088" w:rsidP="00056D5F">
            <w:pPr>
              <w:widowControl w:val="0"/>
              <w:spacing w:before="240" w:line="276" w:lineRule="auto"/>
              <w:jc w:val="left"/>
              <w:rPr>
                <w:rFonts w:eastAsia="Times New Roman" w:cs="Arial"/>
                <w:b/>
                <w:sz w:val="22"/>
              </w:rPr>
            </w:pPr>
            <w:r w:rsidRPr="00EA0DC7">
              <w:rPr>
                <w:rFonts w:eastAsia="Times New Roman" w:cs="Arial"/>
                <w:b/>
                <w:sz w:val="22"/>
              </w:rPr>
              <w:t>Focus of supervision</w:t>
            </w:r>
          </w:p>
        </w:tc>
        <w:tc>
          <w:tcPr>
            <w:tcW w:w="1135" w:type="dxa"/>
            <w:tcBorders>
              <w:top w:val="single" w:sz="4" w:space="0" w:color="auto"/>
            </w:tcBorders>
            <w:shd w:val="clear" w:color="auto" w:fill="auto"/>
            <w:noWrap/>
          </w:tcPr>
          <w:p w14:paraId="10F1CAED" w14:textId="77777777" w:rsidR="00BF0088" w:rsidRPr="00EA0DC7" w:rsidRDefault="00BF0088" w:rsidP="00056D5F">
            <w:pPr>
              <w:widowControl w:val="0"/>
              <w:spacing w:line="276" w:lineRule="auto"/>
              <w:jc w:val="center"/>
              <w:rPr>
                <w:rFonts w:eastAsia="Times New Roman" w:cs="Arial"/>
                <w:sz w:val="22"/>
              </w:rPr>
            </w:pPr>
          </w:p>
        </w:tc>
        <w:tc>
          <w:tcPr>
            <w:tcW w:w="991" w:type="dxa"/>
            <w:gridSpan w:val="2"/>
            <w:tcBorders>
              <w:top w:val="single" w:sz="4" w:space="0" w:color="auto"/>
            </w:tcBorders>
            <w:shd w:val="clear" w:color="auto" w:fill="auto"/>
            <w:noWrap/>
          </w:tcPr>
          <w:p w14:paraId="2702A484" w14:textId="77777777" w:rsidR="00BF0088" w:rsidRPr="00EA0DC7" w:rsidRDefault="00BF0088" w:rsidP="00056D5F">
            <w:pPr>
              <w:widowControl w:val="0"/>
              <w:spacing w:line="276" w:lineRule="auto"/>
              <w:jc w:val="center"/>
              <w:rPr>
                <w:rFonts w:eastAsia="Times New Roman" w:cs="Arial"/>
                <w:sz w:val="22"/>
              </w:rPr>
            </w:pPr>
          </w:p>
        </w:tc>
        <w:tc>
          <w:tcPr>
            <w:tcW w:w="1137" w:type="dxa"/>
            <w:tcBorders>
              <w:top w:val="single" w:sz="4" w:space="0" w:color="auto"/>
            </w:tcBorders>
            <w:shd w:val="clear" w:color="auto" w:fill="auto"/>
            <w:noWrap/>
          </w:tcPr>
          <w:p w14:paraId="2B6E1B32" w14:textId="77777777" w:rsidR="00BF0088" w:rsidRPr="00EA0DC7" w:rsidRDefault="00BF0088" w:rsidP="00056D5F">
            <w:pPr>
              <w:widowControl w:val="0"/>
              <w:spacing w:line="276" w:lineRule="auto"/>
              <w:jc w:val="center"/>
              <w:rPr>
                <w:rFonts w:eastAsia="Times New Roman" w:cs="Arial"/>
                <w:sz w:val="22"/>
              </w:rPr>
            </w:pPr>
          </w:p>
        </w:tc>
        <w:tc>
          <w:tcPr>
            <w:tcW w:w="1133" w:type="dxa"/>
            <w:gridSpan w:val="2"/>
            <w:tcBorders>
              <w:top w:val="single" w:sz="4" w:space="0" w:color="auto"/>
            </w:tcBorders>
            <w:shd w:val="clear" w:color="auto" w:fill="auto"/>
            <w:noWrap/>
          </w:tcPr>
          <w:p w14:paraId="3A160C54" w14:textId="77777777" w:rsidR="00BF0088" w:rsidRPr="00EA0DC7" w:rsidRDefault="00BF0088" w:rsidP="00056D5F">
            <w:pPr>
              <w:widowControl w:val="0"/>
              <w:spacing w:line="276" w:lineRule="auto"/>
              <w:jc w:val="center"/>
              <w:rPr>
                <w:rFonts w:eastAsia="Times New Roman" w:cs="Arial"/>
                <w:sz w:val="22"/>
              </w:rPr>
            </w:pPr>
          </w:p>
        </w:tc>
        <w:tc>
          <w:tcPr>
            <w:tcW w:w="990" w:type="dxa"/>
            <w:tcBorders>
              <w:top w:val="single" w:sz="4" w:space="0" w:color="auto"/>
            </w:tcBorders>
            <w:shd w:val="clear" w:color="auto" w:fill="auto"/>
            <w:noWrap/>
          </w:tcPr>
          <w:p w14:paraId="7AE3D112" w14:textId="77777777" w:rsidR="00BF0088" w:rsidRPr="00EA0DC7" w:rsidRDefault="00BF0088" w:rsidP="00056D5F">
            <w:pPr>
              <w:widowControl w:val="0"/>
              <w:spacing w:line="276" w:lineRule="auto"/>
              <w:jc w:val="center"/>
              <w:rPr>
                <w:rFonts w:eastAsia="Times New Roman" w:cs="Arial"/>
                <w:sz w:val="22"/>
              </w:rPr>
            </w:pPr>
          </w:p>
        </w:tc>
        <w:tc>
          <w:tcPr>
            <w:tcW w:w="1134" w:type="dxa"/>
            <w:tcBorders>
              <w:top w:val="single" w:sz="4" w:space="0" w:color="auto"/>
            </w:tcBorders>
            <w:shd w:val="clear" w:color="auto" w:fill="auto"/>
            <w:noWrap/>
          </w:tcPr>
          <w:p w14:paraId="10D8A896" w14:textId="77777777" w:rsidR="00BF0088" w:rsidRPr="00EA0DC7" w:rsidRDefault="00BF0088" w:rsidP="00056D5F">
            <w:pPr>
              <w:widowControl w:val="0"/>
              <w:spacing w:line="276" w:lineRule="auto"/>
              <w:jc w:val="center"/>
              <w:rPr>
                <w:rFonts w:eastAsia="Times New Roman" w:cs="Arial"/>
                <w:sz w:val="22"/>
              </w:rPr>
            </w:pPr>
          </w:p>
        </w:tc>
        <w:tc>
          <w:tcPr>
            <w:tcW w:w="709" w:type="dxa"/>
            <w:tcBorders>
              <w:top w:val="single" w:sz="4" w:space="0" w:color="auto"/>
            </w:tcBorders>
            <w:shd w:val="clear" w:color="auto" w:fill="auto"/>
            <w:noWrap/>
          </w:tcPr>
          <w:p w14:paraId="62C83E82" w14:textId="77777777" w:rsidR="00BF0088" w:rsidRPr="00EA0DC7" w:rsidRDefault="00BF0088" w:rsidP="00056D5F">
            <w:pPr>
              <w:widowControl w:val="0"/>
              <w:spacing w:line="276" w:lineRule="auto"/>
              <w:jc w:val="center"/>
              <w:rPr>
                <w:rFonts w:eastAsia="Times New Roman" w:cs="Arial"/>
                <w:i/>
                <w:iCs/>
                <w:sz w:val="22"/>
              </w:rPr>
            </w:pPr>
          </w:p>
        </w:tc>
        <w:tc>
          <w:tcPr>
            <w:tcW w:w="850" w:type="dxa"/>
            <w:tcBorders>
              <w:top w:val="single" w:sz="4" w:space="0" w:color="auto"/>
            </w:tcBorders>
            <w:shd w:val="clear" w:color="auto" w:fill="auto"/>
            <w:noWrap/>
          </w:tcPr>
          <w:p w14:paraId="3712EE06" w14:textId="77777777" w:rsidR="00BF0088" w:rsidRPr="00EA0DC7" w:rsidRDefault="00BF0088" w:rsidP="00056D5F">
            <w:pPr>
              <w:widowControl w:val="0"/>
              <w:spacing w:line="276" w:lineRule="auto"/>
              <w:jc w:val="center"/>
              <w:rPr>
                <w:rFonts w:eastAsia="Times New Roman" w:cs="Arial"/>
                <w:i/>
                <w:iCs/>
                <w:sz w:val="22"/>
              </w:rPr>
            </w:pPr>
          </w:p>
        </w:tc>
        <w:tc>
          <w:tcPr>
            <w:tcW w:w="851" w:type="dxa"/>
            <w:tcBorders>
              <w:top w:val="single" w:sz="4" w:space="0" w:color="auto"/>
            </w:tcBorders>
            <w:shd w:val="clear" w:color="auto" w:fill="auto"/>
            <w:noWrap/>
          </w:tcPr>
          <w:p w14:paraId="6C422C20" w14:textId="77777777" w:rsidR="00BF0088" w:rsidRPr="00EA0DC7" w:rsidRDefault="00BF0088" w:rsidP="00056D5F">
            <w:pPr>
              <w:widowControl w:val="0"/>
              <w:spacing w:line="276" w:lineRule="auto"/>
              <w:jc w:val="center"/>
              <w:rPr>
                <w:rFonts w:eastAsia="Times New Roman" w:cs="Arial"/>
                <w:sz w:val="22"/>
              </w:rPr>
            </w:pPr>
          </w:p>
        </w:tc>
        <w:tc>
          <w:tcPr>
            <w:tcW w:w="708" w:type="dxa"/>
            <w:tcBorders>
              <w:top w:val="single" w:sz="4" w:space="0" w:color="auto"/>
            </w:tcBorders>
            <w:shd w:val="clear" w:color="auto" w:fill="auto"/>
            <w:noWrap/>
          </w:tcPr>
          <w:p w14:paraId="41A3C08F" w14:textId="77777777" w:rsidR="00BF0088" w:rsidRPr="00EA0DC7" w:rsidRDefault="00BF0088" w:rsidP="00056D5F">
            <w:pPr>
              <w:widowControl w:val="0"/>
              <w:spacing w:line="276" w:lineRule="auto"/>
              <w:jc w:val="center"/>
              <w:rPr>
                <w:rFonts w:eastAsia="Times New Roman" w:cs="Arial"/>
                <w:i/>
                <w:iCs/>
                <w:sz w:val="22"/>
              </w:rPr>
            </w:pPr>
          </w:p>
        </w:tc>
        <w:tc>
          <w:tcPr>
            <w:tcW w:w="709" w:type="dxa"/>
            <w:tcBorders>
              <w:top w:val="single" w:sz="4" w:space="0" w:color="auto"/>
            </w:tcBorders>
            <w:shd w:val="clear" w:color="auto" w:fill="auto"/>
            <w:noWrap/>
          </w:tcPr>
          <w:p w14:paraId="421F0E62" w14:textId="77777777" w:rsidR="00BF0088" w:rsidRPr="00EA0DC7" w:rsidRDefault="00BF0088" w:rsidP="00056D5F">
            <w:pPr>
              <w:widowControl w:val="0"/>
              <w:spacing w:line="276" w:lineRule="auto"/>
              <w:jc w:val="center"/>
              <w:rPr>
                <w:rFonts w:eastAsia="Times New Roman" w:cs="Arial"/>
                <w:i/>
                <w:iCs/>
                <w:sz w:val="22"/>
              </w:rPr>
            </w:pPr>
          </w:p>
        </w:tc>
        <w:tc>
          <w:tcPr>
            <w:tcW w:w="709" w:type="dxa"/>
            <w:tcBorders>
              <w:top w:val="single" w:sz="4" w:space="0" w:color="auto"/>
            </w:tcBorders>
            <w:shd w:val="clear" w:color="auto" w:fill="auto"/>
            <w:noWrap/>
          </w:tcPr>
          <w:p w14:paraId="3C7796AD" w14:textId="77777777" w:rsidR="00BF0088" w:rsidRPr="00EA0DC7" w:rsidRDefault="00BF0088" w:rsidP="00056D5F">
            <w:pPr>
              <w:widowControl w:val="0"/>
              <w:spacing w:line="276" w:lineRule="auto"/>
              <w:jc w:val="center"/>
              <w:rPr>
                <w:rFonts w:eastAsia="Times New Roman" w:cs="Arial"/>
                <w:i/>
                <w:iCs/>
                <w:sz w:val="22"/>
              </w:rPr>
            </w:pPr>
          </w:p>
        </w:tc>
        <w:tc>
          <w:tcPr>
            <w:tcW w:w="713" w:type="dxa"/>
            <w:tcBorders>
              <w:top w:val="single" w:sz="4" w:space="0" w:color="auto"/>
            </w:tcBorders>
            <w:shd w:val="clear" w:color="auto" w:fill="auto"/>
            <w:noWrap/>
          </w:tcPr>
          <w:p w14:paraId="52DC32DA" w14:textId="77777777" w:rsidR="00BF0088" w:rsidRPr="00EA0DC7" w:rsidRDefault="00BF0088" w:rsidP="00056D5F">
            <w:pPr>
              <w:widowControl w:val="0"/>
              <w:spacing w:line="276" w:lineRule="auto"/>
              <w:jc w:val="center"/>
              <w:rPr>
                <w:rFonts w:eastAsia="Times New Roman" w:cs="Arial"/>
                <w:i/>
                <w:iCs/>
                <w:sz w:val="22"/>
              </w:rPr>
            </w:pPr>
          </w:p>
        </w:tc>
      </w:tr>
      <w:tr w:rsidR="00BF0088" w:rsidRPr="00EA0DC7" w14:paraId="58F27973" w14:textId="77777777" w:rsidTr="00F61FAD">
        <w:trPr>
          <w:gridAfter w:val="1"/>
          <w:wAfter w:w="18" w:type="dxa"/>
          <w:trHeight w:val="300"/>
        </w:trPr>
        <w:tc>
          <w:tcPr>
            <w:tcW w:w="1985" w:type="dxa"/>
            <w:shd w:val="clear" w:color="auto" w:fill="auto"/>
            <w:noWrap/>
          </w:tcPr>
          <w:p w14:paraId="2D55F916" w14:textId="77777777" w:rsidR="00BF0088" w:rsidRPr="00EA0DC7" w:rsidRDefault="00BF0088" w:rsidP="00056D5F">
            <w:pPr>
              <w:widowControl w:val="0"/>
              <w:spacing w:line="276" w:lineRule="auto"/>
              <w:rPr>
                <w:rFonts w:eastAsia="Times New Roman" w:cs="Arial"/>
                <w:sz w:val="22"/>
              </w:rPr>
            </w:pPr>
            <w:r w:rsidRPr="00EA0DC7">
              <w:rPr>
                <w:rFonts w:eastAsia="Times New Roman" w:cs="Arial"/>
                <w:sz w:val="22"/>
              </w:rPr>
              <w:t>Alliance</w:t>
            </w:r>
          </w:p>
        </w:tc>
        <w:tc>
          <w:tcPr>
            <w:tcW w:w="1135" w:type="dxa"/>
            <w:shd w:val="clear" w:color="auto" w:fill="auto"/>
            <w:noWrap/>
          </w:tcPr>
          <w:p w14:paraId="564182C7"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2.79 (1.22)</w:t>
            </w:r>
          </w:p>
        </w:tc>
        <w:tc>
          <w:tcPr>
            <w:tcW w:w="991" w:type="dxa"/>
            <w:gridSpan w:val="2"/>
            <w:shd w:val="clear" w:color="auto" w:fill="auto"/>
            <w:noWrap/>
          </w:tcPr>
          <w:p w14:paraId="2A42F891"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3.18 (1.11)</w:t>
            </w:r>
          </w:p>
        </w:tc>
        <w:tc>
          <w:tcPr>
            <w:tcW w:w="1137" w:type="dxa"/>
            <w:shd w:val="clear" w:color="auto" w:fill="auto"/>
            <w:noWrap/>
          </w:tcPr>
          <w:p w14:paraId="66469835"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2.92 (1.26)</w:t>
            </w:r>
          </w:p>
        </w:tc>
        <w:tc>
          <w:tcPr>
            <w:tcW w:w="1133" w:type="dxa"/>
            <w:gridSpan w:val="2"/>
            <w:shd w:val="clear" w:color="auto" w:fill="auto"/>
            <w:noWrap/>
          </w:tcPr>
          <w:p w14:paraId="3D4A18AC"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3.47 (1.10)</w:t>
            </w:r>
          </w:p>
        </w:tc>
        <w:tc>
          <w:tcPr>
            <w:tcW w:w="990" w:type="dxa"/>
            <w:shd w:val="clear" w:color="auto" w:fill="auto"/>
            <w:noWrap/>
          </w:tcPr>
          <w:p w14:paraId="5EA15C25"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2.44 (1.10)</w:t>
            </w:r>
          </w:p>
        </w:tc>
        <w:tc>
          <w:tcPr>
            <w:tcW w:w="1134" w:type="dxa"/>
            <w:shd w:val="clear" w:color="auto" w:fill="auto"/>
            <w:noWrap/>
          </w:tcPr>
          <w:p w14:paraId="6F58D33A"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2.87 (1.10)</w:t>
            </w:r>
          </w:p>
        </w:tc>
        <w:tc>
          <w:tcPr>
            <w:tcW w:w="709" w:type="dxa"/>
            <w:shd w:val="clear" w:color="auto" w:fill="auto"/>
            <w:noWrap/>
          </w:tcPr>
          <w:p w14:paraId="3DAC4577"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13.0</w:t>
            </w:r>
          </w:p>
        </w:tc>
        <w:tc>
          <w:tcPr>
            <w:tcW w:w="850" w:type="dxa"/>
            <w:shd w:val="clear" w:color="auto" w:fill="auto"/>
            <w:noWrap/>
          </w:tcPr>
          <w:p w14:paraId="14F1C791"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&lt;.001</w:t>
            </w:r>
          </w:p>
        </w:tc>
        <w:tc>
          <w:tcPr>
            <w:tcW w:w="851" w:type="dxa"/>
            <w:shd w:val="clear" w:color="auto" w:fill="auto"/>
            <w:noWrap/>
          </w:tcPr>
          <w:p w14:paraId="1A81B748"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2&gt;1&gt;3</w:t>
            </w:r>
          </w:p>
        </w:tc>
        <w:tc>
          <w:tcPr>
            <w:tcW w:w="708" w:type="dxa"/>
            <w:shd w:val="clear" w:color="auto" w:fill="auto"/>
            <w:noWrap/>
          </w:tcPr>
          <w:p w14:paraId="7D610212"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4.31</w:t>
            </w:r>
          </w:p>
        </w:tc>
        <w:tc>
          <w:tcPr>
            <w:tcW w:w="709" w:type="dxa"/>
            <w:shd w:val="clear" w:color="auto" w:fill="auto"/>
            <w:noWrap/>
          </w:tcPr>
          <w:p w14:paraId="0D99603B"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.041</w:t>
            </w:r>
          </w:p>
        </w:tc>
        <w:tc>
          <w:tcPr>
            <w:tcW w:w="709" w:type="dxa"/>
            <w:shd w:val="clear" w:color="auto" w:fill="auto"/>
            <w:noWrap/>
          </w:tcPr>
          <w:p w14:paraId="500D7C4B"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0.29</w:t>
            </w:r>
          </w:p>
        </w:tc>
        <w:tc>
          <w:tcPr>
            <w:tcW w:w="713" w:type="dxa"/>
            <w:shd w:val="clear" w:color="auto" w:fill="auto"/>
            <w:noWrap/>
          </w:tcPr>
          <w:p w14:paraId="30662050" w14:textId="4726D554" w:rsidR="00BF0088" w:rsidRPr="00EA0DC7" w:rsidRDefault="00D45A29" w:rsidP="00056D5F">
            <w:pPr>
              <w:widowControl w:val="0"/>
              <w:spacing w:line="276" w:lineRule="auto"/>
              <w:jc w:val="center"/>
              <w:rPr>
                <w:rFonts w:eastAsia="Times New Roman" w:cs="Arial"/>
                <w:i/>
                <w:sz w:val="22"/>
              </w:rPr>
            </w:pPr>
            <w:r w:rsidRPr="00EA0DC7">
              <w:rPr>
                <w:rFonts w:eastAsia="Times New Roman" w:cs="Arial"/>
                <w:i/>
                <w:sz w:val="22"/>
              </w:rPr>
              <w:t>ns</w:t>
            </w:r>
          </w:p>
        </w:tc>
      </w:tr>
      <w:tr w:rsidR="00BF0088" w:rsidRPr="00EA0DC7" w14:paraId="582B2D65" w14:textId="77777777" w:rsidTr="00F61FAD">
        <w:trPr>
          <w:gridAfter w:val="1"/>
          <w:wAfter w:w="18" w:type="dxa"/>
          <w:trHeight w:val="300"/>
        </w:trPr>
        <w:tc>
          <w:tcPr>
            <w:tcW w:w="1985" w:type="dxa"/>
            <w:shd w:val="clear" w:color="auto" w:fill="auto"/>
            <w:noWrap/>
          </w:tcPr>
          <w:p w14:paraId="692A0931" w14:textId="77777777" w:rsidR="00BF0088" w:rsidRPr="00EA0DC7" w:rsidRDefault="00BF0088" w:rsidP="00056D5F">
            <w:pPr>
              <w:widowControl w:val="0"/>
              <w:spacing w:line="276" w:lineRule="auto"/>
              <w:rPr>
                <w:rFonts w:eastAsia="Times New Roman" w:cs="Arial"/>
                <w:sz w:val="22"/>
              </w:rPr>
            </w:pPr>
            <w:r w:rsidRPr="00EA0DC7">
              <w:rPr>
                <w:rFonts w:eastAsia="Times New Roman" w:cs="Arial"/>
                <w:sz w:val="22"/>
              </w:rPr>
              <w:t>Technique</w:t>
            </w:r>
          </w:p>
        </w:tc>
        <w:tc>
          <w:tcPr>
            <w:tcW w:w="1135" w:type="dxa"/>
            <w:shd w:val="clear" w:color="auto" w:fill="auto"/>
            <w:noWrap/>
          </w:tcPr>
          <w:p w14:paraId="0CAF8388"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3.71 (1.09)</w:t>
            </w:r>
          </w:p>
        </w:tc>
        <w:tc>
          <w:tcPr>
            <w:tcW w:w="991" w:type="dxa"/>
            <w:gridSpan w:val="2"/>
            <w:shd w:val="clear" w:color="auto" w:fill="auto"/>
            <w:noWrap/>
          </w:tcPr>
          <w:p w14:paraId="4455AD02"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3.78 (0.92)</w:t>
            </w:r>
          </w:p>
        </w:tc>
        <w:tc>
          <w:tcPr>
            <w:tcW w:w="1137" w:type="dxa"/>
            <w:shd w:val="clear" w:color="auto" w:fill="auto"/>
            <w:noWrap/>
          </w:tcPr>
          <w:p w14:paraId="25DAECD6"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3.81 (1.02)</w:t>
            </w:r>
          </w:p>
        </w:tc>
        <w:tc>
          <w:tcPr>
            <w:tcW w:w="1133" w:type="dxa"/>
            <w:gridSpan w:val="2"/>
            <w:shd w:val="clear" w:color="auto" w:fill="auto"/>
            <w:noWrap/>
          </w:tcPr>
          <w:p w14:paraId="5ABC8FAE"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3.52 (1.01)</w:t>
            </w:r>
          </w:p>
        </w:tc>
        <w:tc>
          <w:tcPr>
            <w:tcW w:w="990" w:type="dxa"/>
            <w:shd w:val="clear" w:color="auto" w:fill="auto"/>
            <w:noWrap/>
          </w:tcPr>
          <w:p w14:paraId="0EE0DA0F"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3.60 (0.96)</w:t>
            </w:r>
          </w:p>
        </w:tc>
        <w:tc>
          <w:tcPr>
            <w:tcW w:w="1134" w:type="dxa"/>
            <w:shd w:val="clear" w:color="auto" w:fill="auto"/>
            <w:noWrap/>
          </w:tcPr>
          <w:p w14:paraId="631A2EBD"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4.00 (0.76)</w:t>
            </w:r>
          </w:p>
        </w:tc>
        <w:tc>
          <w:tcPr>
            <w:tcW w:w="709" w:type="dxa"/>
            <w:shd w:val="clear" w:color="auto" w:fill="auto"/>
            <w:noWrap/>
          </w:tcPr>
          <w:p w14:paraId="7E7FF8D3"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0.81</w:t>
            </w:r>
          </w:p>
        </w:tc>
        <w:tc>
          <w:tcPr>
            <w:tcW w:w="850" w:type="dxa"/>
            <w:shd w:val="clear" w:color="auto" w:fill="auto"/>
            <w:noWrap/>
          </w:tcPr>
          <w:p w14:paraId="0E79B3A3" w14:textId="133E2287" w:rsidR="00BF0088" w:rsidRPr="00EA0DC7" w:rsidRDefault="00D45A29" w:rsidP="00056D5F">
            <w:pPr>
              <w:widowControl w:val="0"/>
              <w:spacing w:line="276" w:lineRule="auto"/>
              <w:jc w:val="center"/>
              <w:rPr>
                <w:rFonts w:eastAsia="Times New Roman" w:cs="Arial"/>
                <w:i/>
                <w:sz w:val="22"/>
              </w:rPr>
            </w:pPr>
            <w:r w:rsidRPr="00EA0DC7">
              <w:rPr>
                <w:rFonts w:eastAsia="Times New Roman" w:cs="Arial"/>
                <w:i/>
                <w:sz w:val="22"/>
              </w:rPr>
              <w:t>ns</w:t>
            </w:r>
          </w:p>
        </w:tc>
        <w:tc>
          <w:tcPr>
            <w:tcW w:w="851" w:type="dxa"/>
            <w:shd w:val="clear" w:color="auto" w:fill="auto"/>
            <w:noWrap/>
          </w:tcPr>
          <w:p w14:paraId="6DED26CA"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w:t>
            </w:r>
          </w:p>
        </w:tc>
        <w:tc>
          <w:tcPr>
            <w:tcW w:w="708" w:type="dxa"/>
            <w:shd w:val="clear" w:color="auto" w:fill="auto"/>
            <w:noWrap/>
          </w:tcPr>
          <w:p w14:paraId="3DF60486"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.139</w:t>
            </w:r>
          </w:p>
        </w:tc>
        <w:tc>
          <w:tcPr>
            <w:tcW w:w="709" w:type="dxa"/>
            <w:shd w:val="clear" w:color="auto" w:fill="auto"/>
            <w:noWrap/>
          </w:tcPr>
          <w:p w14:paraId="22186D4F" w14:textId="33E59D81" w:rsidR="00BF0088" w:rsidRPr="00EA0DC7" w:rsidRDefault="00D45A29" w:rsidP="00056D5F">
            <w:pPr>
              <w:widowControl w:val="0"/>
              <w:spacing w:line="276" w:lineRule="auto"/>
              <w:jc w:val="center"/>
              <w:rPr>
                <w:rFonts w:eastAsia="Times New Roman" w:cs="Arial"/>
                <w:i/>
                <w:sz w:val="22"/>
              </w:rPr>
            </w:pPr>
            <w:r w:rsidRPr="00EA0DC7">
              <w:rPr>
                <w:rFonts w:eastAsia="Times New Roman" w:cs="Arial"/>
                <w:i/>
                <w:sz w:val="22"/>
              </w:rPr>
              <w:t>ns</w:t>
            </w:r>
          </w:p>
        </w:tc>
        <w:tc>
          <w:tcPr>
            <w:tcW w:w="709" w:type="dxa"/>
            <w:shd w:val="clear" w:color="auto" w:fill="auto"/>
            <w:noWrap/>
          </w:tcPr>
          <w:p w14:paraId="1E26475E"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5.45</w:t>
            </w:r>
          </w:p>
        </w:tc>
        <w:tc>
          <w:tcPr>
            <w:tcW w:w="713" w:type="dxa"/>
            <w:shd w:val="clear" w:color="auto" w:fill="auto"/>
            <w:noWrap/>
          </w:tcPr>
          <w:p w14:paraId="3D8CA88E" w14:textId="77777777" w:rsidR="00BF0088" w:rsidRPr="00EA0DC7" w:rsidRDefault="00BF0088" w:rsidP="00056D5F">
            <w:pPr>
              <w:widowControl w:val="0"/>
              <w:spacing w:line="276" w:lineRule="auto"/>
              <w:jc w:val="center"/>
              <w:rPr>
                <w:rFonts w:eastAsia="Times New Roman" w:cs="Arial"/>
                <w:sz w:val="22"/>
              </w:rPr>
            </w:pPr>
            <w:r w:rsidRPr="00EA0DC7">
              <w:rPr>
                <w:rFonts w:eastAsia="Times New Roman" w:cs="Arial"/>
                <w:sz w:val="22"/>
              </w:rPr>
              <w:t>.005</w:t>
            </w:r>
          </w:p>
        </w:tc>
      </w:tr>
      <w:tr w:rsidR="00D45A29" w:rsidRPr="00EA0DC7" w14:paraId="74A4DCE8" w14:textId="77777777" w:rsidTr="00D45A29">
        <w:trPr>
          <w:gridAfter w:val="1"/>
          <w:wAfter w:w="18" w:type="dxa"/>
          <w:trHeight w:val="300"/>
        </w:trPr>
        <w:tc>
          <w:tcPr>
            <w:tcW w:w="1985" w:type="dxa"/>
            <w:tcBorders>
              <w:bottom w:val="single" w:sz="4" w:space="0" w:color="auto"/>
            </w:tcBorders>
            <w:shd w:val="clear" w:color="auto" w:fill="auto"/>
            <w:noWrap/>
          </w:tcPr>
          <w:p w14:paraId="0B79656B" w14:textId="77777777" w:rsidR="00BF0088" w:rsidRPr="00EA0DC7" w:rsidRDefault="00BF0088" w:rsidP="00056D5F">
            <w:pPr>
              <w:widowControl w:val="0"/>
              <w:spacing w:line="276" w:lineRule="auto"/>
              <w:rPr>
                <w:rFonts w:eastAsia="Times New Roman" w:cs="Arial"/>
                <w:sz w:val="22"/>
              </w:rPr>
            </w:pPr>
            <w:r w:rsidRPr="00EA0DC7">
              <w:rPr>
                <w:rFonts w:eastAsia="Times New Roman" w:cs="Arial"/>
                <w:sz w:val="22"/>
              </w:rPr>
              <w:t>Case management</w:t>
            </w:r>
          </w:p>
        </w:tc>
        <w:tc>
          <w:tcPr>
            <w:tcW w:w="1135" w:type="dxa"/>
            <w:tcBorders>
              <w:bottom w:val="single" w:sz="4" w:space="0" w:color="auto"/>
            </w:tcBorders>
            <w:shd w:val="clear" w:color="auto" w:fill="auto"/>
            <w:noWrap/>
          </w:tcPr>
          <w:p w14:paraId="4B3478A9"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3.03 (1.23)</w:t>
            </w:r>
          </w:p>
        </w:tc>
        <w:tc>
          <w:tcPr>
            <w:tcW w:w="991" w:type="dxa"/>
            <w:gridSpan w:val="2"/>
            <w:tcBorders>
              <w:bottom w:val="single" w:sz="4" w:space="0" w:color="auto"/>
            </w:tcBorders>
            <w:shd w:val="clear" w:color="auto" w:fill="auto"/>
            <w:noWrap/>
          </w:tcPr>
          <w:p w14:paraId="3705CD7A"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3.19 (1.38)</w:t>
            </w:r>
          </w:p>
        </w:tc>
        <w:tc>
          <w:tcPr>
            <w:tcW w:w="1137" w:type="dxa"/>
            <w:tcBorders>
              <w:bottom w:val="single" w:sz="4" w:space="0" w:color="auto"/>
            </w:tcBorders>
            <w:shd w:val="clear" w:color="auto" w:fill="auto"/>
            <w:noWrap/>
          </w:tcPr>
          <w:p w14:paraId="74A8923D"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2.88 (1.22)</w:t>
            </w:r>
          </w:p>
        </w:tc>
        <w:tc>
          <w:tcPr>
            <w:tcW w:w="1133" w:type="dxa"/>
            <w:gridSpan w:val="2"/>
            <w:tcBorders>
              <w:bottom w:val="single" w:sz="4" w:space="0" w:color="auto"/>
            </w:tcBorders>
            <w:shd w:val="clear" w:color="auto" w:fill="auto"/>
            <w:noWrap/>
          </w:tcPr>
          <w:p w14:paraId="01FF34F6"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2.81 (1.44)</w:t>
            </w:r>
          </w:p>
        </w:tc>
        <w:tc>
          <w:tcPr>
            <w:tcW w:w="990" w:type="dxa"/>
            <w:tcBorders>
              <w:bottom w:val="single" w:sz="4" w:space="0" w:color="auto"/>
            </w:tcBorders>
            <w:shd w:val="clear" w:color="auto" w:fill="auto"/>
            <w:noWrap/>
          </w:tcPr>
          <w:p w14:paraId="369F6C27"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2.90 (1.34)</w:t>
            </w:r>
          </w:p>
        </w:tc>
        <w:tc>
          <w:tcPr>
            <w:tcW w:w="1134" w:type="dxa"/>
            <w:tcBorders>
              <w:bottom w:val="single" w:sz="4" w:space="0" w:color="auto"/>
            </w:tcBorders>
            <w:shd w:val="clear" w:color="auto" w:fill="auto"/>
            <w:noWrap/>
          </w:tcPr>
          <w:p w14:paraId="1D04E326"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2.40 (1.33)</w:t>
            </w:r>
          </w:p>
        </w:tc>
        <w:tc>
          <w:tcPr>
            <w:tcW w:w="709" w:type="dxa"/>
            <w:tcBorders>
              <w:bottom w:val="single" w:sz="4" w:space="0" w:color="auto"/>
            </w:tcBorders>
            <w:shd w:val="clear" w:color="auto" w:fill="auto"/>
            <w:noWrap/>
          </w:tcPr>
          <w:p w14:paraId="5F8ADE27"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4.81</w:t>
            </w:r>
          </w:p>
        </w:tc>
        <w:tc>
          <w:tcPr>
            <w:tcW w:w="850" w:type="dxa"/>
            <w:tcBorders>
              <w:bottom w:val="single" w:sz="4" w:space="0" w:color="auto"/>
            </w:tcBorders>
            <w:shd w:val="clear" w:color="auto" w:fill="auto"/>
            <w:noWrap/>
          </w:tcPr>
          <w:p w14:paraId="6D796498"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.009</w:t>
            </w:r>
          </w:p>
        </w:tc>
        <w:tc>
          <w:tcPr>
            <w:tcW w:w="851" w:type="dxa"/>
            <w:tcBorders>
              <w:bottom w:val="single" w:sz="4" w:space="0" w:color="auto"/>
            </w:tcBorders>
            <w:shd w:val="clear" w:color="auto" w:fill="auto"/>
            <w:noWrap/>
          </w:tcPr>
          <w:p w14:paraId="651500AB"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1&gt;3</w:t>
            </w:r>
          </w:p>
        </w:tc>
        <w:tc>
          <w:tcPr>
            <w:tcW w:w="708" w:type="dxa"/>
            <w:tcBorders>
              <w:bottom w:val="single" w:sz="4" w:space="0" w:color="auto"/>
            </w:tcBorders>
            <w:shd w:val="clear" w:color="auto" w:fill="auto"/>
            <w:noWrap/>
          </w:tcPr>
          <w:p w14:paraId="71C79E39"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.326</w:t>
            </w:r>
          </w:p>
        </w:tc>
        <w:tc>
          <w:tcPr>
            <w:tcW w:w="709" w:type="dxa"/>
            <w:tcBorders>
              <w:bottom w:val="single" w:sz="4" w:space="0" w:color="auto"/>
            </w:tcBorders>
            <w:shd w:val="clear" w:color="auto" w:fill="auto"/>
            <w:noWrap/>
          </w:tcPr>
          <w:p w14:paraId="120DE573" w14:textId="399610A1" w:rsidR="00BF0088" w:rsidRPr="00EA0DC7" w:rsidRDefault="00D45A29" w:rsidP="00056D5F">
            <w:pPr>
              <w:widowControl w:val="0"/>
              <w:spacing w:after="0" w:line="276" w:lineRule="auto"/>
              <w:jc w:val="center"/>
              <w:rPr>
                <w:rFonts w:eastAsia="Times New Roman" w:cs="Arial"/>
                <w:i/>
                <w:sz w:val="22"/>
              </w:rPr>
            </w:pPr>
            <w:r w:rsidRPr="00EA0DC7">
              <w:rPr>
                <w:rFonts w:eastAsia="Times New Roman" w:cs="Arial"/>
                <w:i/>
                <w:sz w:val="22"/>
              </w:rPr>
              <w:t>ns</w:t>
            </w:r>
          </w:p>
        </w:tc>
        <w:tc>
          <w:tcPr>
            <w:tcW w:w="709" w:type="dxa"/>
            <w:tcBorders>
              <w:bottom w:val="single" w:sz="4" w:space="0" w:color="auto"/>
            </w:tcBorders>
            <w:shd w:val="clear" w:color="auto" w:fill="auto"/>
            <w:noWrap/>
          </w:tcPr>
          <w:p w14:paraId="3A282041" w14:textId="77777777" w:rsidR="00BF0088" w:rsidRPr="00EA0DC7" w:rsidRDefault="00BF0088" w:rsidP="00056D5F">
            <w:pPr>
              <w:widowControl w:val="0"/>
              <w:spacing w:after="0" w:line="276" w:lineRule="auto"/>
              <w:jc w:val="center"/>
              <w:rPr>
                <w:rFonts w:eastAsia="Times New Roman" w:cs="Arial"/>
                <w:sz w:val="22"/>
              </w:rPr>
            </w:pPr>
            <w:r w:rsidRPr="00EA0DC7">
              <w:rPr>
                <w:rFonts w:eastAsia="Times New Roman" w:cs="Arial"/>
                <w:sz w:val="22"/>
              </w:rPr>
              <w:t>2.62</w:t>
            </w:r>
          </w:p>
        </w:tc>
        <w:tc>
          <w:tcPr>
            <w:tcW w:w="713" w:type="dxa"/>
            <w:tcBorders>
              <w:bottom w:val="single" w:sz="4" w:space="0" w:color="auto"/>
            </w:tcBorders>
            <w:shd w:val="clear" w:color="auto" w:fill="auto"/>
            <w:noWrap/>
          </w:tcPr>
          <w:p w14:paraId="306A2F49" w14:textId="3703135E" w:rsidR="00BF0088" w:rsidRPr="00EA0DC7" w:rsidRDefault="00D45A29" w:rsidP="00056D5F">
            <w:pPr>
              <w:widowControl w:val="0"/>
              <w:spacing w:after="0" w:line="276" w:lineRule="auto"/>
              <w:jc w:val="center"/>
              <w:rPr>
                <w:rFonts w:eastAsia="Times New Roman" w:cs="Arial"/>
                <w:i/>
                <w:sz w:val="22"/>
              </w:rPr>
            </w:pPr>
            <w:r w:rsidRPr="00EA0DC7">
              <w:rPr>
                <w:rFonts w:eastAsia="Times New Roman" w:cs="Arial"/>
                <w:i/>
                <w:sz w:val="22"/>
              </w:rPr>
              <w:t>ns</w:t>
            </w:r>
          </w:p>
        </w:tc>
      </w:tr>
      <w:tr w:rsidR="00D45A29" w:rsidRPr="00EA0DC7" w14:paraId="5B26A32E" w14:textId="77777777" w:rsidTr="00D45A29">
        <w:trPr>
          <w:gridAfter w:val="1"/>
          <w:wAfter w:w="18" w:type="dxa"/>
          <w:trHeight w:val="300"/>
        </w:trPr>
        <w:tc>
          <w:tcPr>
            <w:tcW w:w="13754" w:type="dxa"/>
            <w:gridSpan w:val="16"/>
            <w:tcBorders>
              <w:top w:val="single" w:sz="4" w:space="0" w:color="auto"/>
              <w:bottom w:val="single" w:sz="4" w:space="0" w:color="auto"/>
            </w:tcBorders>
            <w:shd w:val="clear" w:color="auto" w:fill="auto"/>
            <w:noWrap/>
          </w:tcPr>
          <w:p w14:paraId="5B735855" w14:textId="77777777" w:rsidR="00D45A29" w:rsidRDefault="00D45A29" w:rsidP="00D45A29">
            <w:pPr>
              <w:widowControl w:val="0"/>
              <w:spacing w:after="0" w:line="276" w:lineRule="auto"/>
              <w:jc w:val="left"/>
              <w:rPr>
                <w:rFonts w:eastAsia="Times New Roman" w:cs="Arial"/>
                <w:sz w:val="22"/>
              </w:rPr>
            </w:pPr>
            <w:r w:rsidRPr="00EA0DC7">
              <w:rPr>
                <w:rFonts w:eastAsia="Times New Roman" w:cs="Arial"/>
                <w:i/>
                <w:sz w:val="22"/>
              </w:rPr>
              <w:t>ns</w:t>
            </w:r>
            <w:r w:rsidRPr="00EA0DC7">
              <w:rPr>
                <w:rFonts w:eastAsia="Times New Roman" w:cs="Arial"/>
                <w:sz w:val="22"/>
              </w:rPr>
              <w:t xml:space="preserve"> = not significant</w:t>
            </w:r>
          </w:p>
          <w:p w14:paraId="1CBB5E8A" w14:textId="6DB68965" w:rsidR="00EC7588" w:rsidRPr="00EA0DC7" w:rsidRDefault="00EC7588" w:rsidP="00D45A29">
            <w:pPr>
              <w:widowControl w:val="0"/>
              <w:spacing w:after="0" w:line="276" w:lineRule="auto"/>
              <w:jc w:val="left"/>
              <w:rPr>
                <w:rFonts w:eastAsia="Times New Roman" w:cs="Arial"/>
                <w:i/>
                <w:sz w:val="22"/>
              </w:rPr>
            </w:pPr>
            <w:r>
              <w:rPr>
                <w:rFonts w:eastAsia="Times New Roman" w:cs="Arial"/>
                <w:sz w:val="22"/>
              </w:rPr>
              <w:t>MC = multiple comparisons</w:t>
            </w:r>
          </w:p>
        </w:tc>
      </w:tr>
    </w:tbl>
    <w:p w14:paraId="14248B09" w14:textId="77777777" w:rsidR="00F67668" w:rsidRPr="00EA0DC7" w:rsidRDefault="00F67668" w:rsidP="00FD2A1D">
      <w:pPr>
        <w:widowControl w:val="0"/>
        <w:spacing w:after="0"/>
        <w:ind w:firstLine="720"/>
        <w:rPr>
          <w:rFonts w:cs="Arial"/>
        </w:rPr>
        <w:sectPr w:rsidR="00F67668" w:rsidRPr="00EA0DC7" w:rsidSect="00344C58">
          <w:pgSz w:w="16838" w:h="11906" w:orient="landscape"/>
          <w:pgMar w:top="1440" w:right="1440" w:bottom="2268" w:left="1440" w:header="709" w:footer="709" w:gutter="0"/>
          <w:cols w:space="708"/>
          <w:docGrid w:linePitch="360"/>
        </w:sectPr>
      </w:pPr>
    </w:p>
    <w:p w14:paraId="125305F2" w14:textId="24BDA71B" w:rsidR="008A7246" w:rsidRPr="00EA0DC7" w:rsidRDefault="008A7246" w:rsidP="00F67668">
      <w:pPr>
        <w:pStyle w:val="Heading4"/>
        <w:numPr>
          <w:ilvl w:val="0"/>
          <w:numId w:val="0"/>
        </w:numPr>
        <w:rPr>
          <w:rFonts w:cs="Arial"/>
        </w:rPr>
      </w:pPr>
      <w:r w:rsidRPr="00EA0DC7">
        <w:rPr>
          <w:rStyle w:val="Heading4Char"/>
          <w:i/>
        </w:rPr>
        <w:lastRenderedPageBreak/>
        <w:t>5.3.2.1 Alliance focus</w:t>
      </w:r>
    </w:p>
    <w:p w14:paraId="11ECE4A7" w14:textId="1D56499E" w:rsidR="00FD2A1D" w:rsidRPr="00EA0DC7" w:rsidRDefault="00FD2A1D" w:rsidP="00FD2A1D">
      <w:pPr>
        <w:widowControl w:val="0"/>
        <w:spacing w:after="0"/>
        <w:ind w:firstLine="720"/>
        <w:rPr>
          <w:rFonts w:cs="Arial"/>
        </w:rPr>
      </w:pPr>
      <w:r w:rsidRPr="00EA0DC7">
        <w:rPr>
          <w:rFonts w:cs="Arial"/>
        </w:rPr>
        <w:t>There was an overall effect of supervisee anxiety (</w:t>
      </w:r>
      <w:r w:rsidRPr="00EA0DC7">
        <w:rPr>
          <w:rFonts w:cs="Arial"/>
          <w:i/>
        </w:rPr>
        <w:t>F</w:t>
      </w:r>
      <w:r w:rsidRPr="00EA0DC7">
        <w:rPr>
          <w:rFonts w:cs="Arial"/>
        </w:rPr>
        <w:t>(1.75,143.5) = 13.0,</w:t>
      </w:r>
      <w:r w:rsidRPr="00EA0DC7">
        <w:rPr>
          <w:rFonts w:cs="Arial"/>
          <w:i/>
        </w:rPr>
        <w:t xml:space="preserve"> </w:t>
      </w:r>
      <w:r w:rsidR="00B854C2" w:rsidRPr="00EA0DC7">
        <w:rPr>
          <w:rFonts w:cs="Arial"/>
          <w:i/>
        </w:rPr>
        <w:t>p</w:t>
      </w:r>
      <w:r w:rsidRPr="00EA0DC7">
        <w:rPr>
          <w:rFonts w:cs="Arial"/>
        </w:rPr>
        <w:t xml:space="preserve"> &lt; .001, partial</w:t>
      </w:r>
      <w:r w:rsidRPr="00EA0DC7">
        <w:rPr>
          <w:rFonts w:cs="Arial"/>
          <w:i/>
        </w:rPr>
        <w:t xml:space="preserve"> ɳ</w:t>
      </w:r>
      <w:r w:rsidRPr="00EA0DC7">
        <w:rPr>
          <w:rFonts w:cs="Arial"/>
          <w:i/>
          <w:vertAlign w:val="superscript"/>
        </w:rPr>
        <w:t>2</w:t>
      </w:r>
      <w:r w:rsidRPr="00EA0DC7">
        <w:rPr>
          <w:rFonts w:cs="Arial"/>
        </w:rPr>
        <w:t xml:space="preserve"> = 0.14) on alliance focus. Post-hoc multiple comparisons showed that supervisors focused on the alliance most when the supervisee was state anxious (</w:t>
      </w:r>
      <w:r w:rsidRPr="00EA0DC7">
        <w:rPr>
          <w:rFonts w:cs="Arial"/>
          <w:i/>
        </w:rPr>
        <w:t>M</w:t>
      </w:r>
      <w:r w:rsidRPr="00EA0DC7">
        <w:rPr>
          <w:rFonts w:cs="Arial"/>
        </w:rPr>
        <w:t xml:space="preserve"> = 3.21, </w:t>
      </w:r>
      <w:r w:rsidRPr="00EA0DC7">
        <w:rPr>
          <w:rFonts w:cs="Arial"/>
          <w:i/>
        </w:rPr>
        <w:t>SD</w:t>
      </w:r>
      <w:r w:rsidRPr="00EA0DC7">
        <w:rPr>
          <w:rFonts w:cs="Arial"/>
        </w:rPr>
        <w:t xml:space="preserve"> = 1.20), less when they were trait anxious (</w:t>
      </w:r>
      <w:r w:rsidRPr="00EA0DC7">
        <w:rPr>
          <w:rFonts w:cs="Arial"/>
          <w:i/>
        </w:rPr>
        <w:t>M</w:t>
      </w:r>
      <w:r w:rsidRPr="00EA0DC7">
        <w:rPr>
          <w:rFonts w:cs="Arial"/>
        </w:rPr>
        <w:t xml:space="preserve"> = 3.00, </w:t>
      </w:r>
      <w:r w:rsidRPr="00EA0DC7">
        <w:rPr>
          <w:rFonts w:cs="Arial"/>
          <w:i/>
        </w:rPr>
        <w:t>SD</w:t>
      </w:r>
      <w:r w:rsidRPr="00EA0DC7">
        <w:rPr>
          <w:rFonts w:cs="Arial"/>
        </w:rPr>
        <w:t xml:space="preserve"> = 1.17), and least for calm supervisees (</w:t>
      </w:r>
      <w:r w:rsidRPr="00EA0DC7">
        <w:rPr>
          <w:rFonts w:cs="Arial"/>
          <w:i/>
        </w:rPr>
        <w:t>M</w:t>
      </w:r>
      <w:r w:rsidRPr="00EA0DC7">
        <w:rPr>
          <w:rFonts w:cs="Arial"/>
        </w:rPr>
        <w:t xml:space="preserve"> = 2.67, </w:t>
      </w:r>
      <w:r w:rsidRPr="00EA0DC7">
        <w:rPr>
          <w:rFonts w:cs="Arial"/>
          <w:i/>
        </w:rPr>
        <w:t>SD</w:t>
      </w:r>
      <w:r w:rsidRPr="00EA0DC7">
        <w:rPr>
          <w:rFonts w:cs="Arial"/>
        </w:rPr>
        <w:t xml:space="preserve"> = 1.11), all differences </w:t>
      </w:r>
      <w:r w:rsidRPr="00EA0DC7">
        <w:rPr>
          <w:rFonts w:cs="Arial"/>
          <w:i/>
        </w:rPr>
        <w:t xml:space="preserve">– </w:t>
      </w:r>
      <w:r w:rsidR="00B854C2" w:rsidRPr="00EA0DC7">
        <w:rPr>
          <w:rFonts w:cs="Arial"/>
          <w:i/>
        </w:rPr>
        <w:t>p</w:t>
      </w:r>
      <w:r w:rsidRPr="00EA0DC7">
        <w:rPr>
          <w:rFonts w:cs="Arial"/>
        </w:rPr>
        <w:t xml:space="preserve"> &lt; .05. There was an overall effect of supervisee gender (</w:t>
      </w:r>
      <w:r w:rsidRPr="00EA0DC7">
        <w:rPr>
          <w:rFonts w:cs="Arial"/>
          <w:i/>
        </w:rPr>
        <w:t>F</w:t>
      </w:r>
      <w:r w:rsidRPr="00EA0DC7">
        <w:rPr>
          <w:rFonts w:cs="Arial"/>
        </w:rPr>
        <w:t>(1,82) = 4.31,</w:t>
      </w:r>
      <w:r w:rsidRPr="00EA0DC7">
        <w:rPr>
          <w:rFonts w:cs="Arial"/>
          <w:i/>
        </w:rPr>
        <w:t xml:space="preserve"> </w:t>
      </w:r>
      <w:r w:rsidR="00B854C2" w:rsidRPr="00EA0DC7">
        <w:rPr>
          <w:rFonts w:cs="Arial"/>
          <w:i/>
        </w:rPr>
        <w:t>p</w:t>
      </w:r>
      <w:r w:rsidRPr="00EA0DC7">
        <w:rPr>
          <w:rFonts w:cs="Arial"/>
        </w:rPr>
        <w:t xml:space="preserve"> = .041, partial </w:t>
      </w:r>
      <w:r w:rsidRPr="00EA0DC7">
        <w:rPr>
          <w:rFonts w:cs="Arial"/>
          <w:i/>
        </w:rPr>
        <w:t>ɳ</w:t>
      </w:r>
      <w:r w:rsidRPr="00EA0DC7">
        <w:rPr>
          <w:rFonts w:cs="Arial"/>
          <w:i/>
          <w:vertAlign w:val="superscript"/>
        </w:rPr>
        <w:t>2</w:t>
      </w:r>
      <w:r w:rsidRPr="00EA0DC7">
        <w:rPr>
          <w:rFonts w:cs="Arial"/>
        </w:rPr>
        <w:t xml:space="preserve"> = 0.04) on alliance focus, indicating that supervisors focused more on the alliance when advising female (</w:t>
      </w:r>
      <w:r w:rsidRPr="00EA0DC7">
        <w:rPr>
          <w:rFonts w:cs="Arial"/>
          <w:i/>
        </w:rPr>
        <w:t>M</w:t>
      </w:r>
      <w:r w:rsidRPr="00EA0DC7">
        <w:rPr>
          <w:rFonts w:cs="Arial"/>
        </w:rPr>
        <w:t xml:space="preserve"> = 3.17, </w:t>
      </w:r>
      <w:r w:rsidRPr="00EA0DC7">
        <w:rPr>
          <w:rFonts w:cs="Arial"/>
          <w:i/>
        </w:rPr>
        <w:t>SD</w:t>
      </w:r>
      <w:r w:rsidRPr="00EA0DC7">
        <w:rPr>
          <w:rFonts w:cs="Arial"/>
        </w:rPr>
        <w:t xml:space="preserve"> = 0.99) than male clinicians (</w:t>
      </w:r>
      <w:r w:rsidRPr="00EA0DC7">
        <w:rPr>
          <w:rFonts w:cs="Arial"/>
          <w:i/>
        </w:rPr>
        <w:t>M</w:t>
      </w:r>
      <w:r w:rsidRPr="00EA0DC7">
        <w:rPr>
          <w:rFonts w:cs="Arial"/>
        </w:rPr>
        <w:t xml:space="preserve"> = 2.72, </w:t>
      </w:r>
      <w:r w:rsidRPr="00EA0DC7">
        <w:rPr>
          <w:rFonts w:cs="Arial"/>
          <w:i/>
        </w:rPr>
        <w:t>SD</w:t>
      </w:r>
      <w:r w:rsidRPr="00EA0DC7">
        <w:rPr>
          <w:rFonts w:cs="Arial"/>
        </w:rPr>
        <w:t xml:space="preserve"> = 1.00). There was no significant interaction of the two factors.</w:t>
      </w:r>
    </w:p>
    <w:p w14:paraId="32E4B2FD" w14:textId="34FA16FA" w:rsidR="008A7246" w:rsidRPr="00EA0DC7" w:rsidRDefault="008A7246" w:rsidP="008A7246">
      <w:pPr>
        <w:pStyle w:val="Heading4"/>
        <w:rPr>
          <w:rFonts w:cs="Arial"/>
        </w:rPr>
      </w:pPr>
      <w:r w:rsidRPr="00EA0DC7">
        <w:rPr>
          <w:rStyle w:val="Heading4Char"/>
          <w:i/>
        </w:rPr>
        <w:t>5.3.2.2 Case management focus</w:t>
      </w:r>
    </w:p>
    <w:p w14:paraId="480C9E41" w14:textId="09F263A0" w:rsidR="00FD2A1D" w:rsidRPr="00EA0DC7" w:rsidRDefault="00FD2A1D" w:rsidP="00FD2A1D">
      <w:pPr>
        <w:widowControl w:val="0"/>
        <w:spacing w:after="0"/>
        <w:ind w:firstLine="720"/>
        <w:rPr>
          <w:rFonts w:cs="Arial"/>
        </w:rPr>
      </w:pPr>
      <w:r w:rsidRPr="00EA0DC7">
        <w:rPr>
          <w:rFonts w:cs="Arial"/>
        </w:rPr>
        <w:t>There was an overall effect of supervisee anxiety (</w:t>
      </w:r>
      <w:r w:rsidRPr="00EA0DC7">
        <w:rPr>
          <w:rFonts w:cs="Arial"/>
          <w:i/>
        </w:rPr>
        <w:t>F</w:t>
      </w:r>
      <w:r w:rsidRPr="00EA0DC7">
        <w:rPr>
          <w:rFonts w:cs="Arial"/>
        </w:rPr>
        <w:t>(2,162) = 4.81,</w:t>
      </w:r>
      <w:r w:rsidRPr="00EA0DC7">
        <w:rPr>
          <w:rFonts w:cs="Arial"/>
          <w:i/>
        </w:rPr>
        <w:t xml:space="preserve"> </w:t>
      </w:r>
      <w:r w:rsidR="00B854C2" w:rsidRPr="00EA0DC7">
        <w:rPr>
          <w:rFonts w:cs="Arial"/>
          <w:i/>
        </w:rPr>
        <w:t>p</w:t>
      </w:r>
      <w:r w:rsidRPr="00EA0DC7">
        <w:rPr>
          <w:rFonts w:cs="Arial"/>
        </w:rPr>
        <w:t xml:space="preserve"> = .009, partial </w:t>
      </w:r>
      <w:r w:rsidRPr="00EA0DC7">
        <w:rPr>
          <w:rFonts w:cs="Arial"/>
          <w:i/>
        </w:rPr>
        <w:t>ɳ</w:t>
      </w:r>
      <w:r w:rsidRPr="00EA0DC7">
        <w:rPr>
          <w:rFonts w:cs="Arial"/>
          <w:vertAlign w:val="superscript"/>
        </w:rPr>
        <w:t>2</w:t>
      </w:r>
      <w:r w:rsidRPr="00EA0DC7">
        <w:rPr>
          <w:rFonts w:cs="Arial"/>
        </w:rPr>
        <w:t xml:space="preserve"> = 0.06). Post-hoc multiple comparisons indicated that supervisors focused more on case management issues with trait anxious supervisees (</w:t>
      </w:r>
      <w:r w:rsidRPr="00EA0DC7">
        <w:rPr>
          <w:rFonts w:cs="Arial"/>
          <w:i/>
        </w:rPr>
        <w:t>M</w:t>
      </w:r>
      <w:r w:rsidRPr="00EA0DC7">
        <w:rPr>
          <w:rFonts w:cs="Arial"/>
        </w:rPr>
        <w:t xml:space="preserve"> = 3.11, </w:t>
      </w:r>
      <w:r w:rsidRPr="00EA0DC7">
        <w:rPr>
          <w:rFonts w:cs="Arial"/>
          <w:i/>
        </w:rPr>
        <w:t>SD</w:t>
      </w:r>
      <w:r w:rsidRPr="00EA0DC7">
        <w:rPr>
          <w:rFonts w:cs="Arial"/>
        </w:rPr>
        <w:t xml:space="preserve"> = 1.31) than with calm supervisees (</w:t>
      </w:r>
      <w:r w:rsidRPr="00EA0DC7">
        <w:rPr>
          <w:rFonts w:cs="Arial"/>
          <w:i/>
        </w:rPr>
        <w:t>M</w:t>
      </w:r>
      <w:r w:rsidRPr="00EA0DC7">
        <w:rPr>
          <w:rFonts w:cs="Arial"/>
        </w:rPr>
        <w:t xml:space="preserve"> = 2.64, </w:t>
      </w:r>
      <w:r w:rsidRPr="00EA0DC7">
        <w:rPr>
          <w:rFonts w:cs="Arial"/>
          <w:i/>
        </w:rPr>
        <w:t>SD</w:t>
      </w:r>
      <w:r w:rsidRPr="00EA0DC7">
        <w:rPr>
          <w:rFonts w:cs="Arial"/>
        </w:rPr>
        <w:t xml:space="preserve"> = 1.35), </w:t>
      </w:r>
      <w:r w:rsidR="00B854C2" w:rsidRPr="00EA0DC7">
        <w:rPr>
          <w:rFonts w:cs="Arial"/>
          <w:i/>
        </w:rPr>
        <w:t>p</w:t>
      </w:r>
      <w:r w:rsidRPr="00EA0DC7">
        <w:rPr>
          <w:rFonts w:cs="Arial"/>
        </w:rPr>
        <w:t xml:space="preserve"> = .005, but there were no differences between these and the state anxious supervisees. There were no main or interaction effects involving supervisee gender.</w:t>
      </w:r>
    </w:p>
    <w:p w14:paraId="09EE3316" w14:textId="72ECBD87" w:rsidR="00DE47D8" w:rsidRPr="00EA0DC7" w:rsidRDefault="00DE47D8" w:rsidP="00DE47D8">
      <w:pPr>
        <w:pStyle w:val="Heading4"/>
        <w:rPr>
          <w:rFonts w:cs="Arial"/>
        </w:rPr>
      </w:pPr>
      <w:r w:rsidRPr="00EA0DC7">
        <w:rPr>
          <w:rStyle w:val="Heading4Char"/>
          <w:i/>
        </w:rPr>
        <w:t>5.3.2.3 Technique focus</w:t>
      </w:r>
    </w:p>
    <w:p w14:paraId="271FF74F" w14:textId="696CB1CF" w:rsidR="00FD2A1D" w:rsidRPr="00EA0DC7" w:rsidRDefault="00FD2A1D" w:rsidP="00FD2A1D">
      <w:pPr>
        <w:widowControl w:val="0"/>
        <w:spacing w:after="0"/>
        <w:ind w:firstLine="720"/>
        <w:rPr>
          <w:rFonts w:cs="Arial"/>
        </w:rPr>
      </w:pPr>
      <w:r w:rsidRPr="00EA0DC7">
        <w:rPr>
          <w:rFonts w:cs="Arial"/>
        </w:rPr>
        <w:t>There were no main effects of supervisee anxiety or gender on technique focus. However, there was an interaction effect of supervisee anxiety x gender (</w:t>
      </w:r>
      <w:r w:rsidRPr="00EA0DC7">
        <w:rPr>
          <w:rFonts w:cs="Arial"/>
          <w:i/>
        </w:rPr>
        <w:t>F</w:t>
      </w:r>
      <w:r w:rsidRPr="00EA0DC7">
        <w:rPr>
          <w:rFonts w:cs="Arial"/>
        </w:rPr>
        <w:t>(2,172) = 5.45,</w:t>
      </w:r>
      <w:r w:rsidRPr="00EA0DC7">
        <w:rPr>
          <w:rFonts w:cs="Arial"/>
          <w:i/>
        </w:rPr>
        <w:t xml:space="preserve"> </w:t>
      </w:r>
      <w:r w:rsidR="00B854C2" w:rsidRPr="00EA0DC7">
        <w:rPr>
          <w:rFonts w:cs="Arial"/>
          <w:i/>
        </w:rPr>
        <w:t>p</w:t>
      </w:r>
      <w:r w:rsidRPr="00EA0DC7">
        <w:rPr>
          <w:rFonts w:cs="Arial"/>
        </w:rPr>
        <w:t xml:space="preserve"> = .005). Post hoc </w:t>
      </w:r>
      <w:r w:rsidRPr="00EA0DC7">
        <w:rPr>
          <w:rFonts w:cs="Arial"/>
          <w:i/>
        </w:rPr>
        <w:t>t</w:t>
      </w:r>
      <w:r w:rsidRPr="00EA0DC7">
        <w:rPr>
          <w:rFonts w:cs="Arial"/>
        </w:rPr>
        <w:t xml:space="preserve">-tests were used to investigate this effect. Supervisors focused more on technique for trait anxious </w:t>
      </w:r>
      <w:r w:rsidRPr="00EA0DC7">
        <w:rPr>
          <w:rFonts w:cs="Arial"/>
        </w:rPr>
        <w:lastRenderedPageBreak/>
        <w:t>than for state anxious female supervisees (</w:t>
      </w:r>
      <w:r w:rsidRPr="00EA0DC7">
        <w:rPr>
          <w:rFonts w:cs="Arial"/>
          <w:i/>
        </w:rPr>
        <w:t>t</w:t>
      </w:r>
      <w:r w:rsidRPr="00EA0DC7">
        <w:rPr>
          <w:rFonts w:cs="Arial"/>
        </w:rPr>
        <w:t xml:space="preserve">(45) = 2.21, </w:t>
      </w:r>
      <w:r w:rsidR="00B854C2" w:rsidRPr="00EA0DC7">
        <w:rPr>
          <w:rFonts w:cs="Arial"/>
          <w:i/>
        </w:rPr>
        <w:t>p</w:t>
      </w:r>
      <w:r w:rsidRPr="00EA0DC7">
        <w:rPr>
          <w:rFonts w:cs="Arial"/>
          <w:i/>
        </w:rPr>
        <w:t xml:space="preserve"> </w:t>
      </w:r>
      <w:r w:rsidRPr="00EA0DC7">
        <w:rPr>
          <w:rFonts w:cs="Arial"/>
        </w:rPr>
        <w:t xml:space="preserve">= .032, Cohen’s </w:t>
      </w:r>
      <w:r w:rsidRPr="00EA0DC7">
        <w:rPr>
          <w:rFonts w:cs="Arial"/>
          <w:i/>
        </w:rPr>
        <w:t>d</w:t>
      </w:r>
      <w:r w:rsidRPr="00EA0DC7">
        <w:rPr>
          <w:rFonts w:cs="Arial"/>
        </w:rPr>
        <w:t xml:space="preserve"> = 0.33), and more on technique for calm female supervisees than state anxious females (</w:t>
      </w:r>
      <w:r w:rsidRPr="00EA0DC7">
        <w:rPr>
          <w:rFonts w:cs="Arial"/>
          <w:i/>
        </w:rPr>
        <w:t>t</w:t>
      </w:r>
      <w:r w:rsidRPr="00EA0DC7">
        <w:rPr>
          <w:rFonts w:cs="Arial"/>
        </w:rPr>
        <w:t xml:space="preserve">(45) = 3.23, </w:t>
      </w:r>
      <w:r w:rsidR="00B854C2" w:rsidRPr="00EA0DC7">
        <w:rPr>
          <w:rFonts w:cs="Arial"/>
          <w:i/>
        </w:rPr>
        <w:t>p</w:t>
      </w:r>
      <w:r w:rsidRPr="00EA0DC7">
        <w:rPr>
          <w:rFonts w:cs="Arial"/>
          <w:i/>
        </w:rPr>
        <w:t xml:space="preserve"> </w:t>
      </w:r>
      <w:r w:rsidRPr="00EA0DC7">
        <w:rPr>
          <w:rFonts w:cs="Arial"/>
        </w:rPr>
        <w:t xml:space="preserve">= .002, Cohen’s </w:t>
      </w:r>
      <w:r w:rsidRPr="00EA0DC7">
        <w:rPr>
          <w:rFonts w:cs="Arial"/>
          <w:i/>
        </w:rPr>
        <w:t>d</w:t>
      </w:r>
      <w:r w:rsidRPr="00EA0DC7">
        <w:rPr>
          <w:rFonts w:cs="Arial"/>
        </w:rPr>
        <w:t xml:space="preserve"> = 0.26). The trait anxious female supervisees were not treated significantly differently to the calm female supervisees (</w:t>
      </w:r>
      <w:r w:rsidRPr="00EA0DC7">
        <w:rPr>
          <w:rFonts w:cs="Arial"/>
          <w:i/>
        </w:rPr>
        <w:t>t</w:t>
      </w:r>
      <w:r w:rsidRPr="00EA0DC7">
        <w:rPr>
          <w:rFonts w:cs="Arial"/>
        </w:rPr>
        <w:t>(45) = 1.75,</w:t>
      </w:r>
      <w:r w:rsidRPr="00EA0DC7">
        <w:rPr>
          <w:rFonts w:cs="Arial"/>
          <w:i/>
        </w:rPr>
        <w:t xml:space="preserve"> </w:t>
      </w:r>
      <w:r w:rsidR="00B854C2" w:rsidRPr="00EA0DC7">
        <w:rPr>
          <w:rFonts w:cs="Arial"/>
          <w:i/>
        </w:rPr>
        <w:t>p</w:t>
      </w:r>
      <w:r w:rsidRPr="00EA0DC7">
        <w:rPr>
          <w:rFonts w:cs="Arial"/>
          <w:i/>
        </w:rPr>
        <w:t xml:space="preserve"> </w:t>
      </w:r>
      <w:r w:rsidRPr="00EA0DC7">
        <w:rPr>
          <w:rFonts w:cs="Arial"/>
        </w:rPr>
        <w:t>= .086), though the direction of differences is in keeping with the hypothesis that anxious supervisees are not directed towards therapeutic techniques when treating depression. There were no such differences in supervisor focus for male supervisees with different anxiety levels. In addition, focus on technique was higher for calm female supervisees than for calm males (</w:t>
      </w:r>
      <w:r w:rsidRPr="00EA0DC7">
        <w:rPr>
          <w:rFonts w:cs="Arial"/>
          <w:i/>
        </w:rPr>
        <w:t>t</w:t>
      </w:r>
      <w:r w:rsidRPr="00EA0DC7">
        <w:rPr>
          <w:rFonts w:cs="Arial"/>
        </w:rPr>
        <w:t xml:space="preserve">(87) = 2.01, </w:t>
      </w:r>
      <w:r w:rsidR="00B854C2" w:rsidRPr="00EA0DC7">
        <w:rPr>
          <w:rFonts w:cs="Arial"/>
          <w:i/>
        </w:rPr>
        <w:t>p</w:t>
      </w:r>
      <w:r w:rsidRPr="00EA0DC7">
        <w:rPr>
          <w:rFonts w:cs="Arial"/>
          <w:i/>
        </w:rPr>
        <w:t xml:space="preserve"> </w:t>
      </w:r>
      <w:r w:rsidRPr="00EA0DC7">
        <w:rPr>
          <w:rFonts w:cs="Arial"/>
        </w:rPr>
        <w:t xml:space="preserve">= .047, Cohen’s </w:t>
      </w:r>
      <w:r w:rsidRPr="00EA0DC7">
        <w:rPr>
          <w:rFonts w:cs="Arial"/>
          <w:i/>
        </w:rPr>
        <w:t>d</w:t>
      </w:r>
      <w:r w:rsidRPr="00EA0DC7">
        <w:rPr>
          <w:rFonts w:cs="Arial"/>
        </w:rPr>
        <w:t xml:space="preserve"> = 0.46), but not under other supervisee anxiety conditions.</w:t>
      </w:r>
    </w:p>
    <w:p w14:paraId="7E4A0558" w14:textId="7529ABB8" w:rsidR="00DE47D8" w:rsidRPr="00EA0DC7" w:rsidRDefault="00DE47D8" w:rsidP="00DE47D8">
      <w:pPr>
        <w:pStyle w:val="Heading4"/>
        <w:rPr>
          <w:rStyle w:val="Heading4Char"/>
        </w:rPr>
      </w:pPr>
      <w:r w:rsidRPr="00EA0DC7">
        <w:rPr>
          <w:rStyle w:val="Heading4Char"/>
          <w:i/>
        </w:rPr>
        <w:t>5.3.2.4 Supplementary analyses</w:t>
      </w:r>
    </w:p>
    <w:p w14:paraId="105F676C" w14:textId="3268EC9D" w:rsidR="00FD2A1D" w:rsidRPr="00EA0DC7" w:rsidRDefault="00FD2A1D" w:rsidP="00FD2A1D">
      <w:pPr>
        <w:widowControl w:val="0"/>
        <w:spacing w:after="0"/>
        <w:ind w:firstLine="720"/>
        <w:rPr>
          <w:rFonts w:cs="Arial"/>
        </w:rPr>
      </w:pPr>
      <w:r w:rsidRPr="00EA0DC7">
        <w:rPr>
          <w:rFonts w:cs="Arial"/>
        </w:rPr>
        <w:t>To ensure that these findings were not a product of differences in participant characteristics, further ANOVAs were conducted with supervisor age as a covariate and supervisor gender as independent variable. With these variables factored in, the only significant result remaining was the supervisee anxiety by gender interaction effect for technique focus (</w:t>
      </w:r>
      <w:r w:rsidRPr="00EA0DC7">
        <w:rPr>
          <w:rFonts w:cs="Arial"/>
          <w:i/>
        </w:rPr>
        <w:t>F</w:t>
      </w:r>
      <w:r w:rsidRPr="00EA0DC7">
        <w:rPr>
          <w:rFonts w:cs="Arial"/>
        </w:rPr>
        <w:t>(2,164) = 5.40,</w:t>
      </w:r>
      <w:r w:rsidRPr="00EA0DC7">
        <w:rPr>
          <w:rFonts w:cs="Arial"/>
          <w:i/>
        </w:rPr>
        <w:t xml:space="preserve"> </w:t>
      </w:r>
      <w:r w:rsidR="00B854C2" w:rsidRPr="00EA0DC7">
        <w:rPr>
          <w:rFonts w:cs="Arial"/>
          <w:i/>
        </w:rPr>
        <w:t>p</w:t>
      </w:r>
      <w:r w:rsidRPr="00EA0DC7">
        <w:rPr>
          <w:rFonts w:cs="Arial"/>
        </w:rPr>
        <w:t xml:space="preserve"> = .005, partial </w:t>
      </w:r>
      <w:r w:rsidRPr="00EA0DC7">
        <w:rPr>
          <w:rFonts w:cs="Arial"/>
          <w:i/>
        </w:rPr>
        <w:t>ɳ</w:t>
      </w:r>
      <w:r w:rsidRPr="00EA0DC7">
        <w:rPr>
          <w:rFonts w:cs="Arial"/>
          <w:i/>
          <w:vertAlign w:val="superscript"/>
        </w:rPr>
        <w:t>2</w:t>
      </w:r>
      <w:r w:rsidRPr="00EA0DC7">
        <w:rPr>
          <w:rFonts w:cs="Arial"/>
        </w:rPr>
        <w:t xml:space="preserve"> = 0.06). This result suggests that this interaction is a robust one. The age and gender of supervisors did not affect how they proposed delivering supervision to different subsets of therapists.</w:t>
      </w:r>
    </w:p>
    <w:p w14:paraId="4E670401" w14:textId="6FBE56E0" w:rsidR="0002370C" w:rsidRPr="00EA0DC7" w:rsidRDefault="0002370C" w:rsidP="000B25F9">
      <w:pPr>
        <w:widowControl w:val="0"/>
        <w:ind w:firstLine="720"/>
        <w:rPr>
          <w:rFonts w:cs="Arial"/>
          <w:szCs w:val="24"/>
        </w:rPr>
      </w:pPr>
      <w:r w:rsidRPr="00EA0DC7">
        <w:rPr>
          <w:rFonts w:cs="Arial"/>
          <w:szCs w:val="24"/>
        </w:rPr>
        <w:t>To summarise, there was a robust pattern of reported supervisory practice, where supervisee anxiety and gender each played a part. Supervisors were less likely to focus state anxious females on the use of core CBT techniques, but the same did not apply to anxious male supervisees.</w:t>
      </w:r>
    </w:p>
    <w:p w14:paraId="6A7A3A67" w14:textId="54111F9C" w:rsidR="0002370C" w:rsidRPr="00EA0DC7" w:rsidRDefault="00B854C2" w:rsidP="000B25F9">
      <w:pPr>
        <w:pStyle w:val="Heading3"/>
      </w:pPr>
      <w:r w:rsidRPr="00EA0DC7">
        <w:lastRenderedPageBreak/>
        <w:t>5.3.</w:t>
      </w:r>
      <w:r w:rsidR="00046249" w:rsidRPr="00EA0DC7">
        <w:t>3</w:t>
      </w:r>
      <w:r w:rsidRPr="00EA0DC7">
        <w:t xml:space="preserve"> </w:t>
      </w:r>
      <w:r w:rsidR="0002370C" w:rsidRPr="00EA0DC7">
        <w:t>Supervision styles when directing supervisees delivering CBT for depression</w:t>
      </w:r>
    </w:p>
    <w:p w14:paraId="6E1F5FC0" w14:textId="77777777" w:rsidR="0002370C" w:rsidRPr="00EA0DC7" w:rsidRDefault="0002370C" w:rsidP="0002370C">
      <w:pPr>
        <w:widowControl w:val="0"/>
        <w:spacing w:after="0"/>
        <w:rPr>
          <w:rFonts w:cs="Arial"/>
          <w:szCs w:val="24"/>
        </w:rPr>
      </w:pPr>
      <w:r w:rsidRPr="00EA0DC7">
        <w:rPr>
          <w:rFonts w:cs="Arial"/>
          <w:b/>
          <w:szCs w:val="24"/>
        </w:rPr>
        <w:tab/>
      </w:r>
      <w:r w:rsidRPr="00EA0DC7">
        <w:rPr>
          <w:rFonts w:cs="Arial"/>
          <w:szCs w:val="24"/>
        </w:rPr>
        <w:t xml:space="preserve">Addressing the second aim, a two-step cluster analysis was carried out to identify natural patterns of supervisory practice. Using the supervisors’ scores for their degree of focus on different supervision aspects (alliance, techniques, case management), a two-cluster solution was found. The difference between the two clusters was in alliance focus. The first cluster (53.7% of the sample) was </w:t>
      </w:r>
      <w:r w:rsidRPr="00EA0DC7">
        <w:rPr>
          <w:rFonts w:cs="Arial"/>
          <w:i/>
          <w:szCs w:val="24"/>
        </w:rPr>
        <w:t>high alliance-focused</w:t>
      </w:r>
      <w:r w:rsidRPr="00EA0DC7">
        <w:rPr>
          <w:rFonts w:cs="Arial"/>
          <w:szCs w:val="24"/>
        </w:rPr>
        <w:t xml:space="preserve"> and the second (46.3% of the sample) was </w:t>
      </w:r>
      <w:r w:rsidRPr="00EA0DC7">
        <w:rPr>
          <w:rFonts w:cs="Arial"/>
          <w:i/>
          <w:szCs w:val="24"/>
        </w:rPr>
        <w:t>low alliance-focused</w:t>
      </w:r>
      <w:r w:rsidRPr="00EA0DC7">
        <w:rPr>
          <w:rFonts w:cs="Arial"/>
          <w:szCs w:val="24"/>
        </w:rPr>
        <w:t>. Technique and case management focus were not different between the two clusters.</w:t>
      </w:r>
    </w:p>
    <w:p w14:paraId="2A4E8FE9" w14:textId="6227DF40" w:rsidR="000B25F9" w:rsidRPr="00EA0DC7" w:rsidRDefault="000B25F9" w:rsidP="000B25F9">
      <w:pPr>
        <w:pStyle w:val="Heading4"/>
        <w:rPr>
          <w:rStyle w:val="Heading4Char"/>
          <w:i/>
        </w:rPr>
      </w:pPr>
      <w:r w:rsidRPr="00EA0DC7">
        <w:rPr>
          <w:rStyle w:val="Heading4Char"/>
          <w:i/>
        </w:rPr>
        <w:t xml:space="preserve">5.3.3.1 </w:t>
      </w:r>
      <w:r w:rsidR="0002370C" w:rsidRPr="00EA0DC7">
        <w:t>Clinical validation of the supervisor clusters</w:t>
      </w:r>
    </w:p>
    <w:p w14:paraId="44A93CE4" w14:textId="54505EB8" w:rsidR="0002370C" w:rsidRPr="00EA0DC7" w:rsidRDefault="0002370C" w:rsidP="0002370C">
      <w:pPr>
        <w:widowControl w:val="0"/>
        <w:spacing w:after="0"/>
        <w:ind w:firstLine="720"/>
        <w:rPr>
          <w:rFonts w:cs="Arial"/>
          <w:szCs w:val="24"/>
        </w:rPr>
      </w:pPr>
      <w:r w:rsidRPr="00EA0DC7">
        <w:rPr>
          <w:rFonts w:cs="Arial"/>
          <w:szCs w:val="24"/>
        </w:rPr>
        <w:t xml:space="preserve">Independent samples </w:t>
      </w:r>
      <w:r w:rsidRPr="00EA0DC7">
        <w:rPr>
          <w:rFonts w:cs="Arial"/>
          <w:i/>
          <w:szCs w:val="24"/>
        </w:rPr>
        <w:t>t-</w:t>
      </w:r>
      <w:r w:rsidRPr="00EA0DC7">
        <w:rPr>
          <w:rFonts w:cs="Arial"/>
          <w:szCs w:val="24"/>
        </w:rPr>
        <w:t>tests were used to compare the clusters on participant dimensional characteristics (age; time qualified; time using CBT; time as an accredited therapist; time as an accredited supervisor; number of supervisees; hours spent supervising; caseload; percentage of patients with a primary diagnosis of depression; percentage with a secondary diagnosis of depression; RSE total; IUS inhibitory and IUS prospective). No differences were found on any of these variables. A number of categorical variables were examined for their association with cluster membership, including: gender; current country of residence; country of training; background profession; therapist accreditation; supervisor accreditation; and the use of treatment manuals. Of these, only accreditation as a supervisor was associated with cluster membership (</w:t>
      </w:r>
      <w:r w:rsidRPr="00EA0DC7">
        <w:rPr>
          <w:rFonts w:cs="Arial"/>
          <w:i/>
          <w:szCs w:val="24"/>
        </w:rPr>
        <w:t>χ</w:t>
      </w:r>
      <w:r w:rsidRPr="00EA0DC7">
        <w:rPr>
          <w:rFonts w:cs="Arial"/>
          <w:i/>
          <w:szCs w:val="24"/>
          <w:vertAlign w:val="superscript"/>
        </w:rPr>
        <w:t>2</w:t>
      </w:r>
      <w:r w:rsidRPr="00EA0DC7">
        <w:rPr>
          <w:rFonts w:cs="Arial"/>
          <w:szCs w:val="24"/>
        </w:rPr>
        <w:t xml:space="preserve"> (</w:t>
      </w:r>
      <w:r w:rsidRPr="00EA0DC7">
        <w:rPr>
          <w:rFonts w:cs="Arial"/>
          <w:i/>
          <w:szCs w:val="24"/>
        </w:rPr>
        <w:t>df</w:t>
      </w:r>
      <w:r w:rsidRPr="00EA0DC7">
        <w:rPr>
          <w:rFonts w:cs="Arial"/>
          <w:szCs w:val="24"/>
        </w:rPr>
        <w:t xml:space="preserve"> = 1) = 4.37,</w:t>
      </w:r>
      <w:r w:rsidRPr="00EA0DC7">
        <w:rPr>
          <w:rFonts w:cs="Arial"/>
          <w:i/>
          <w:szCs w:val="24"/>
        </w:rPr>
        <w:t xml:space="preserve"> p</w:t>
      </w:r>
      <w:r w:rsidRPr="00EA0DC7">
        <w:rPr>
          <w:rFonts w:cs="Arial"/>
          <w:szCs w:val="24"/>
        </w:rPr>
        <w:t xml:space="preserve"> = .037). In the </w:t>
      </w:r>
      <w:r w:rsidRPr="00EA0DC7">
        <w:rPr>
          <w:rFonts w:cs="Arial"/>
          <w:i/>
          <w:szCs w:val="24"/>
        </w:rPr>
        <w:t>high alliance-focused</w:t>
      </w:r>
      <w:r w:rsidRPr="00EA0DC7">
        <w:rPr>
          <w:rFonts w:cs="Arial"/>
          <w:szCs w:val="24"/>
        </w:rPr>
        <w:t xml:space="preserve"> cluster, 54.5% were accredited. In contrast, only 31.6% were accredited in the </w:t>
      </w:r>
      <w:r w:rsidRPr="00EA0DC7">
        <w:rPr>
          <w:rFonts w:cs="Arial"/>
          <w:i/>
          <w:szCs w:val="24"/>
        </w:rPr>
        <w:t>low alliance-focused</w:t>
      </w:r>
      <w:r w:rsidRPr="00EA0DC7">
        <w:rPr>
          <w:rFonts w:cs="Arial"/>
          <w:szCs w:val="24"/>
        </w:rPr>
        <w:t xml:space="preserve"> cluster. </w:t>
      </w:r>
    </w:p>
    <w:p w14:paraId="2B91BF49" w14:textId="77777777" w:rsidR="0002370C" w:rsidRPr="00EA0DC7" w:rsidRDefault="0002370C" w:rsidP="0002370C">
      <w:pPr>
        <w:widowControl w:val="0"/>
        <w:spacing w:after="0"/>
        <w:ind w:firstLine="720"/>
        <w:rPr>
          <w:rFonts w:cs="Arial"/>
          <w:szCs w:val="24"/>
        </w:rPr>
      </w:pPr>
      <w:r w:rsidRPr="00EA0DC7">
        <w:rPr>
          <w:rFonts w:cs="Arial"/>
          <w:szCs w:val="24"/>
        </w:rPr>
        <w:lastRenderedPageBreak/>
        <w:t xml:space="preserve">Although there were no dimensional relationships with supervisors’ IUS or RSE scores, it is possible that levels of anxiety and self-esteem among supervisors are more clinically valid as categorical variables. Therefore, the supervisors were divided into two groups on each variable (IUS prospective, IUS inhibitory, RSE), according to whether they scored above or below the median score on that scale. One-tailed chi-squared tests were used to determine associations between the two supervisor clusters and high/low scores on each scale. The only significant finding involved scores on the IUS prospective scale. Supervisors who were high scorers on the IUS prospective anxiety scale were more likely to be in the </w:t>
      </w:r>
      <w:r w:rsidRPr="00EA0DC7">
        <w:rPr>
          <w:rFonts w:cs="Arial"/>
          <w:i/>
          <w:szCs w:val="24"/>
        </w:rPr>
        <w:t>high-alliance focused</w:t>
      </w:r>
      <w:r w:rsidRPr="00EA0DC7">
        <w:rPr>
          <w:rFonts w:cs="Arial"/>
          <w:szCs w:val="24"/>
        </w:rPr>
        <w:t xml:space="preserve"> cluster (</w:t>
      </w:r>
      <w:r w:rsidRPr="00EA0DC7">
        <w:rPr>
          <w:rFonts w:cs="Arial"/>
          <w:i/>
          <w:szCs w:val="24"/>
        </w:rPr>
        <w:t>χ</w:t>
      </w:r>
      <w:r w:rsidRPr="00EA0DC7">
        <w:rPr>
          <w:rFonts w:cs="Arial"/>
          <w:i/>
          <w:szCs w:val="24"/>
          <w:vertAlign w:val="superscript"/>
        </w:rPr>
        <w:t>2</w:t>
      </w:r>
      <w:r w:rsidRPr="00EA0DC7">
        <w:rPr>
          <w:rFonts w:cs="Arial"/>
          <w:szCs w:val="24"/>
        </w:rPr>
        <w:t xml:space="preserve"> (</w:t>
      </w:r>
      <w:r w:rsidRPr="00EA0DC7">
        <w:rPr>
          <w:rFonts w:cs="Arial"/>
          <w:i/>
          <w:szCs w:val="24"/>
        </w:rPr>
        <w:t>df</w:t>
      </w:r>
      <w:r w:rsidRPr="00EA0DC7">
        <w:rPr>
          <w:rFonts w:cs="Arial"/>
          <w:szCs w:val="24"/>
        </w:rPr>
        <w:t xml:space="preserve"> = 1) = 3.49,</w:t>
      </w:r>
      <w:r w:rsidRPr="00EA0DC7">
        <w:rPr>
          <w:rFonts w:cs="Arial"/>
          <w:i/>
          <w:szCs w:val="24"/>
        </w:rPr>
        <w:t xml:space="preserve"> p</w:t>
      </w:r>
      <w:r w:rsidRPr="00EA0DC7">
        <w:rPr>
          <w:rFonts w:cs="Arial"/>
          <w:szCs w:val="24"/>
        </w:rPr>
        <w:t xml:space="preserve"> = .031). </w:t>
      </w:r>
    </w:p>
    <w:p w14:paraId="7417BC65" w14:textId="241706AD" w:rsidR="0002370C" w:rsidRPr="00EA0DC7" w:rsidRDefault="0002370C" w:rsidP="00D5176F">
      <w:pPr>
        <w:widowControl w:val="0"/>
        <w:spacing w:after="0"/>
        <w:ind w:firstLine="720"/>
        <w:rPr>
          <w:rFonts w:cs="Arial"/>
        </w:rPr>
      </w:pPr>
      <w:r w:rsidRPr="00EA0DC7">
        <w:rPr>
          <w:rFonts w:cs="Arial"/>
          <w:szCs w:val="24"/>
        </w:rPr>
        <w:t>In addition, ANOVAs were carried out to test the difference in dimensional levels of supervisory focus for those high and low scoring groups on each on the IUS scales and the RSE. The only significant result indicated that high scorers on the IUS prospective scale focused more on the alliance than low scorers (</w:t>
      </w:r>
      <w:r w:rsidRPr="00EA0DC7">
        <w:rPr>
          <w:rFonts w:cs="Arial"/>
          <w:i/>
          <w:szCs w:val="24"/>
        </w:rPr>
        <w:t>F</w:t>
      </w:r>
      <w:r w:rsidRPr="00EA0DC7">
        <w:rPr>
          <w:rFonts w:cs="Arial"/>
          <w:szCs w:val="24"/>
        </w:rPr>
        <w:t>(1,81) = 5.14,</w:t>
      </w:r>
      <w:r w:rsidRPr="00EA0DC7">
        <w:rPr>
          <w:rFonts w:cs="Arial"/>
          <w:i/>
          <w:szCs w:val="24"/>
        </w:rPr>
        <w:t xml:space="preserve"> p</w:t>
      </w:r>
      <w:r w:rsidRPr="00EA0DC7">
        <w:rPr>
          <w:rFonts w:cs="Arial"/>
          <w:szCs w:val="24"/>
        </w:rPr>
        <w:t xml:space="preserve"> = .026), confirming the finding above. Therefore, it can be concluded that supervisors with higher prospective anxiety levels focus their supervisees more on the alliance than supervisors with low anxiety levels.</w:t>
      </w:r>
    </w:p>
    <w:p w14:paraId="370F45EB" w14:textId="7BEAA197" w:rsidR="00FD2A1D" w:rsidRPr="00EA0DC7" w:rsidRDefault="00465EA5" w:rsidP="00B920D4">
      <w:pPr>
        <w:pStyle w:val="Heading2"/>
        <w:spacing w:before="200"/>
      </w:pPr>
      <w:bookmarkStart w:id="163" w:name="_Toc47039850"/>
      <w:r w:rsidRPr="00EA0DC7">
        <w:t>5.4</w:t>
      </w:r>
      <w:r w:rsidR="00BF0088" w:rsidRPr="00EA0DC7">
        <w:t xml:space="preserve"> </w:t>
      </w:r>
      <w:r w:rsidR="00FD2A1D" w:rsidRPr="00EA0DC7">
        <w:t>Discussion</w:t>
      </w:r>
      <w:bookmarkEnd w:id="163"/>
    </w:p>
    <w:p w14:paraId="5FFA1E3D" w14:textId="2F2626A9" w:rsidR="00FD2A1D" w:rsidRPr="00EA0DC7" w:rsidRDefault="00FD2A1D" w:rsidP="00FD2A1D">
      <w:pPr>
        <w:widowControl w:val="0"/>
        <w:spacing w:after="0"/>
        <w:rPr>
          <w:rFonts w:cs="Arial"/>
        </w:rPr>
      </w:pPr>
      <w:r w:rsidRPr="00EA0DC7">
        <w:rPr>
          <w:rFonts w:cs="Arial"/>
          <w:b/>
          <w:bCs/>
        </w:rPr>
        <w:tab/>
      </w:r>
      <w:r w:rsidRPr="00EA0DC7">
        <w:rPr>
          <w:rFonts w:cs="Arial"/>
        </w:rPr>
        <w:t xml:space="preserve">This experimental study has explored the focus of clinical supervision for therapists treating cases of depression. The study aimed to explore how supervisee anxiety and gender impact the advice that supervisors give in supervision. It was hypothesised that supervisors would focus ‘calm’ </w:t>
      </w:r>
      <w:r w:rsidRPr="00EA0DC7">
        <w:rPr>
          <w:rFonts w:cs="Arial"/>
        </w:rPr>
        <w:lastRenderedPageBreak/>
        <w:t xml:space="preserve">supervisees more on CBT techniques than ‘anxious’ supervisees. This hypothesis was supported, but only when the supervisors were working with female supervisees who were state anxious. Male supervisees were supervised in the same way, regardless of their anxiety. These findings imply that, in the supervisors’ eyes, supervisee anxiety has an influence on guidance only if that supervisee is female. </w:t>
      </w:r>
      <w:r w:rsidRPr="00EA0DC7">
        <w:rPr>
          <w:rFonts w:cs="Arial"/>
          <w:bCs/>
        </w:rPr>
        <w:t xml:space="preserve">It was also hypothesised that supervisors would focus male supervisees more on CBT techniques than female supervisees. Overall, supervisors focused both male and female supervisees on CBT techniques to the same extent. However, supervisors focused female supervisees more on alliance work than males. </w:t>
      </w:r>
      <w:r w:rsidRPr="00EA0DC7">
        <w:rPr>
          <w:rFonts w:cs="Arial"/>
        </w:rPr>
        <w:t xml:space="preserve">To summarise, both supervisee anxiety and gender had an impact on supervisor focus in supervision. </w:t>
      </w:r>
    </w:p>
    <w:p w14:paraId="65A5DCA9" w14:textId="6059AF87" w:rsidR="00E11D19" w:rsidRPr="00EA0DC7" w:rsidRDefault="00E11D19" w:rsidP="00992A39">
      <w:pPr>
        <w:widowControl w:val="0"/>
        <w:spacing w:after="0"/>
        <w:ind w:firstLine="720"/>
        <w:rPr>
          <w:rFonts w:cs="Arial"/>
          <w:szCs w:val="24"/>
        </w:rPr>
      </w:pPr>
      <w:r w:rsidRPr="00EA0DC7">
        <w:rPr>
          <w:rFonts w:cs="Arial"/>
          <w:szCs w:val="24"/>
        </w:rPr>
        <w:t xml:space="preserve">The second aim was to investigate whether patterns of supervisor focus fall into natural groupings, and whether such groups are validated by the supervisors’ own characteristics. It was hypothesised that supervisors with high anxiety would focus their supervisees less on CBT techniques. There was no difference in reported practice of male and female supervisors. However, </w:t>
      </w:r>
      <w:r w:rsidR="00437123" w:rsidRPr="00EA0DC7">
        <w:rPr>
          <w:rFonts w:cs="Arial"/>
          <w:szCs w:val="24"/>
        </w:rPr>
        <w:t>supervisors that are more anxious</w:t>
      </w:r>
      <w:r w:rsidRPr="00EA0DC7">
        <w:rPr>
          <w:rFonts w:cs="Arial"/>
          <w:szCs w:val="24"/>
        </w:rPr>
        <w:t xml:space="preserve"> were likely to focus on the therapist developing a good alliance with the patient, rather than focusing them on delivering evidence-based techniques. </w:t>
      </w:r>
    </w:p>
    <w:p w14:paraId="1966EA25" w14:textId="77777777" w:rsidR="00FD2A1D" w:rsidRPr="00EA0DC7" w:rsidRDefault="00FD2A1D" w:rsidP="00FD2A1D">
      <w:pPr>
        <w:widowControl w:val="0"/>
        <w:spacing w:after="0"/>
        <w:ind w:firstLine="720"/>
        <w:rPr>
          <w:rFonts w:cs="Arial"/>
        </w:rPr>
      </w:pPr>
      <w:r w:rsidRPr="00EA0DC7">
        <w:rPr>
          <w:rFonts w:cs="Arial"/>
        </w:rPr>
        <w:t xml:space="preserve">This finding supports the conclusion that supervisors have biases (whether implicit or explicit) in how they support the work of different clinicians treating depression. Dennhag et al. (2012) showed that bias came from the supervisor having a prior working relationship with the therapist, but here it is based purely on therapist characteristics. There are a number of possible </w:t>
      </w:r>
      <w:r w:rsidRPr="00EA0DC7">
        <w:rPr>
          <w:rFonts w:cs="Arial"/>
        </w:rPr>
        <w:lastRenderedPageBreak/>
        <w:t>explanations for this finding. Perhaps supervisors are aware that anxious therapists tend to focus on immediate patient comfort to the exclusion of more change-oriented methods (Deacon et al., 2013). Therefore, supervisors might be particularly reluctant to push anxious therapists towards more anxiety-evoking aspects of therapy (e.g., behavioural techniques). Alternatively, supervisors might feel that supervisee anxiety is preventing the establishment of a good therapeutic alliance with the patient (Hardy, Cahill, &amp; Barkham, 2009). A third possible explanation is that supervisors might be reluctant to challenge their supervisee because they do not want to disrupt the supervisory relationship, as it has been suggested that poor supervisory relationships can be harmful to supervisee growth (Gray, Ladany, Walker, &amp; Ancis, 2001).</w:t>
      </w:r>
    </w:p>
    <w:p w14:paraId="1C315B12" w14:textId="1C796933" w:rsidR="00FD2A1D" w:rsidRPr="00EA0DC7" w:rsidRDefault="00FD2A1D" w:rsidP="00FD2A1D">
      <w:pPr>
        <w:widowControl w:val="0"/>
        <w:spacing w:after="0"/>
        <w:ind w:firstLine="720"/>
        <w:rPr>
          <w:rFonts w:cs="Arial"/>
        </w:rPr>
      </w:pPr>
      <w:r w:rsidRPr="00EA0DC7">
        <w:rPr>
          <w:rFonts w:cs="Arial"/>
        </w:rPr>
        <w:t xml:space="preserve">However, none of these possibilities account for the fact that this pattern of focus exists only when supervisors are directing </w:t>
      </w:r>
      <w:r w:rsidRPr="00EA0DC7">
        <w:rPr>
          <w:rFonts w:cs="Arial"/>
          <w:u w:val="single"/>
        </w:rPr>
        <w:t>female</w:t>
      </w:r>
      <w:r w:rsidRPr="00EA0DC7">
        <w:rPr>
          <w:rFonts w:cs="Arial"/>
        </w:rPr>
        <w:t xml:space="preserve"> supervisees in treating depression. Perhaps male and female supervisors assume that female therapists are likely to have a more anxious disposition, by virtu</w:t>
      </w:r>
      <w:r w:rsidR="000E2548" w:rsidRPr="00EA0DC7">
        <w:rPr>
          <w:rFonts w:cs="Arial"/>
        </w:rPr>
        <w:t xml:space="preserve">e of their gender (e.g., Leahy et al., </w:t>
      </w:r>
      <w:r w:rsidRPr="00EA0DC7">
        <w:rPr>
          <w:rFonts w:cs="Arial"/>
        </w:rPr>
        <w:t>2012). Therefore, any display of anxiety might lead supervisors to assume that female clinicians are more vulnerable than males. However, any such assumption would be ill-founded, as therapist gender has little consistent impact on therapy performance and patient outcome, with females sometimes performing better than males (Branson, &amp; Shafran, 2015</w:t>
      </w:r>
      <w:r w:rsidR="000E2548" w:rsidRPr="00EA0DC7">
        <w:rPr>
          <w:rFonts w:cs="Arial"/>
        </w:rPr>
        <w:t>; Huppert at al.</w:t>
      </w:r>
      <w:r w:rsidRPr="00EA0DC7">
        <w:rPr>
          <w:rFonts w:cs="Arial"/>
        </w:rPr>
        <w:t xml:space="preserve">, 2001). An alternative explanation is that supervisors might feel that females are more likely to pick up on cues that there are alliance problems, which might stall therapy progression. Supervisors might therefore take female supervisees’ anxiety more seriously than that of male supervisees and hold off focusing on CBT techniques </w:t>
      </w:r>
      <w:r w:rsidRPr="00EA0DC7">
        <w:rPr>
          <w:rFonts w:cs="Arial"/>
        </w:rPr>
        <w:lastRenderedPageBreak/>
        <w:t>accordingly. The finding that supervisors are more likely to focus females on alliance work than males would support this explanation.</w:t>
      </w:r>
    </w:p>
    <w:p w14:paraId="2C7F7BE9" w14:textId="37F7B907" w:rsidR="00FD2A1D" w:rsidRPr="00EA0DC7" w:rsidRDefault="00FD2A1D" w:rsidP="00FD2A1D">
      <w:pPr>
        <w:widowControl w:val="0"/>
        <w:spacing w:after="0"/>
        <w:ind w:firstLine="720"/>
        <w:rPr>
          <w:rFonts w:cs="Arial"/>
          <w:szCs w:val="24"/>
        </w:rPr>
      </w:pPr>
      <w:r w:rsidRPr="00EA0DC7">
        <w:rPr>
          <w:rFonts w:cs="Arial"/>
        </w:rPr>
        <w:t xml:space="preserve">It is worthy of note that supervisor gender was unrelated to this different treatment of male and female supervisees. Nelson and Holloway (1990) found a similar pattern in their study of power balance in supervision, where both male and female supervisors assumed more power in supervision with female supervisees than with male supervisees. There is similar evidence of gender relevance in other domains. For example, Steinpreis, </w:t>
      </w:r>
      <w:r w:rsidRPr="00EA0DC7">
        <w:rPr>
          <w:rFonts w:cs="Arial"/>
          <w:bCs/>
          <w:noProof/>
          <w:lang w:val="de-DE"/>
        </w:rPr>
        <w:t>Anders, and Ritzke</w:t>
      </w:r>
      <w:r w:rsidRPr="00EA0DC7">
        <w:rPr>
          <w:rFonts w:cs="Arial"/>
        </w:rPr>
        <w:t xml:space="preserve"> (1999) discovered that regardless of their own gender, employers were more likely to offer positions and higher starting salaries to men than women with identical curricula vitae. </w:t>
      </w:r>
      <w:r w:rsidR="00E11D19" w:rsidRPr="00EA0DC7">
        <w:rPr>
          <w:rFonts w:cs="Arial"/>
          <w:szCs w:val="24"/>
        </w:rPr>
        <w:t>Thus, it is understandable that both male and female supervisors treated female supervisees differently to males.</w:t>
      </w:r>
    </w:p>
    <w:p w14:paraId="5403CC33" w14:textId="58E00547" w:rsidR="00E11D19" w:rsidRPr="00EA0DC7" w:rsidRDefault="00E11D19" w:rsidP="00E11D19">
      <w:pPr>
        <w:widowControl w:val="0"/>
        <w:spacing w:after="0"/>
        <w:ind w:firstLine="720"/>
        <w:rPr>
          <w:rFonts w:cs="Arial"/>
          <w:szCs w:val="24"/>
        </w:rPr>
      </w:pPr>
      <w:r w:rsidRPr="00EA0DC7">
        <w:rPr>
          <w:rFonts w:cs="Arial"/>
          <w:szCs w:val="24"/>
        </w:rPr>
        <w:t>Not only does therapist anxiety have an impact on supervision sessions, but so does supervisor anxiety. Two distinct types of supervisor emerged from the sample – those with a low focus on the therapeutic alliance and those with a stronger focus on the alliance. Those supervisors in the latter group were distinguished by a greater level of prospective anxiety. One of the functions of the alliance is to offer a soothing bond (Greenberg, 2009). This soothing effect might mean that alliance building is a more relaxing aspect of therapy than other aspects (e.g., technique work). Alliance work might therefore be viewed as less anxiety-provoking for both supervisor and supervisee. This focus on less anxiety-provoking aspects of therapy by anxious supervisors seems to mirror that of anxious therapists. Anxious therapists avoid anxiety-provoking features of therapy, not wanting to distress the patient (Meyer</w:t>
      </w:r>
      <w:r w:rsidR="0065163F" w:rsidRPr="00EA0DC7">
        <w:rPr>
          <w:rFonts w:cs="Arial"/>
          <w:szCs w:val="24"/>
        </w:rPr>
        <w:t xml:space="preserve"> et al., </w:t>
      </w:r>
      <w:r w:rsidRPr="00EA0DC7">
        <w:rPr>
          <w:rFonts w:cs="Arial"/>
          <w:szCs w:val="24"/>
        </w:rPr>
        <w:t xml:space="preserve">2014; Waller et al., 2012). Such a pattern would be </w:t>
      </w:r>
      <w:r w:rsidRPr="00EA0DC7">
        <w:rPr>
          <w:rFonts w:cs="Arial"/>
          <w:szCs w:val="24"/>
        </w:rPr>
        <w:lastRenderedPageBreak/>
        <w:t>compatible with the proposal that parallel processes exist between supervision and therapy (Tracey et al., 2012).</w:t>
      </w:r>
    </w:p>
    <w:p w14:paraId="35820474" w14:textId="003C17E8" w:rsidR="00E11D19" w:rsidRPr="00EA0DC7" w:rsidRDefault="00E11D19" w:rsidP="00D5176F">
      <w:pPr>
        <w:widowControl w:val="0"/>
        <w:spacing w:after="0"/>
        <w:ind w:firstLine="720"/>
        <w:rPr>
          <w:rFonts w:cs="Arial"/>
          <w:szCs w:val="24"/>
        </w:rPr>
      </w:pPr>
      <w:r w:rsidRPr="00EA0DC7">
        <w:rPr>
          <w:rFonts w:cs="Arial"/>
          <w:szCs w:val="24"/>
        </w:rPr>
        <w:t xml:space="preserve">It is important to understand how the findings of this research relate to the various models of supervisory practice that exist in the literature. Supervision models often have one main focus – typically either the alliance (Hawkins &amp; Shohet, 1989) or technique (Carroll, 1996). In contrast, the naturally-occurring supervisor types in the current study were distinguished purely by a high or low level of focus on the alliance, with both having a concurrent focus on treatment techniques. Although supervision models go some way to describe how supervision is conducted, different supervisor types need be taken into account in these models. Some models, such as the Discrimination Model (Bernard, 1979), suggest that supervisors should take on different roles (teacher, counsellor, consultant) and areas of focus (intervention, conceptualisation, personalisation), depending on the case that their supervisee presents in supervision. However, results from this study indicate that supervisors can have their own patterns of supervisory </w:t>
      </w:r>
      <w:r w:rsidR="00201410" w:rsidRPr="00EA0DC7">
        <w:rPr>
          <w:rFonts w:cs="Arial"/>
          <w:szCs w:val="24"/>
        </w:rPr>
        <w:t>focus that</w:t>
      </w:r>
      <w:r w:rsidRPr="00EA0DC7">
        <w:rPr>
          <w:rFonts w:cs="Arial"/>
          <w:szCs w:val="24"/>
        </w:rPr>
        <w:t xml:space="preserve"> are related to their own characteristics, not the case presentation or supervisee. Such models should take account of our intrapersonal characteristics as factors that might bias how we deliver supervision (Dennhag et al., 2012; Simpson-Southward at al., </w:t>
      </w:r>
      <w:r w:rsidR="00BC5E1D" w:rsidRPr="00EA0DC7">
        <w:rPr>
          <w:rFonts w:cs="Arial"/>
          <w:szCs w:val="24"/>
        </w:rPr>
        <w:t>2018</w:t>
      </w:r>
      <w:r w:rsidRPr="00EA0DC7">
        <w:rPr>
          <w:rFonts w:cs="Arial"/>
          <w:szCs w:val="24"/>
        </w:rPr>
        <w:t>).</w:t>
      </w:r>
    </w:p>
    <w:p w14:paraId="31C1603A" w14:textId="77777777" w:rsidR="00FD2A1D" w:rsidRPr="00EA0DC7" w:rsidRDefault="00FD2A1D" w:rsidP="00FD2A1D">
      <w:pPr>
        <w:widowControl w:val="0"/>
        <w:spacing w:after="0"/>
        <w:ind w:firstLine="720"/>
        <w:rPr>
          <w:rFonts w:cs="Arial"/>
        </w:rPr>
      </w:pPr>
      <w:r w:rsidRPr="00EA0DC7">
        <w:rPr>
          <w:rFonts w:cs="Arial"/>
        </w:rPr>
        <w:t xml:space="preserve">Although supervision is commonly represented as necessary to keep therapists on track </w:t>
      </w:r>
      <w:r w:rsidRPr="00EA0DC7">
        <w:rPr>
          <w:rFonts w:cs="Arial"/>
          <w:noProof/>
        </w:rPr>
        <w:t>(Bernard &amp; Goodyear, 2004; Care Quality Commission, 2013; van Ooijen, 2000)</w:t>
      </w:r>
      <w:r w:rsidRPr="00EA0DC7">
        <w:rPr>
          <w:rFonts w:cs="Arial"/>
        </w:rPr>
        <w:t xml:space="preserve">, the present study suggests that this assumption is not straightforward. Supervisors themselves are influenced by similar factors to therapists, causing them to drift away from encouraging their supervisees </w:t>
      </w:r>
      <w:r w:rsidRPr="00EA0DC7">
        <w:rPr>
          <w:rFonts w:cs="Arial"/>
        </w:rPr>
        <w:lastRenderedPageBreak/>
        <w:t xml:space="preserve">to deliver best practice. Indeed, supervisory drift might even contribute to or exacerbate therapist drift, influencing differences in patient outcome across settings (Gibbons et al., 2013). </w:t>
      </w:r>
    </w:p>
    <w:p w14:paraId="62956EF4" w14:textId="6C2015CE" w:rsidR="00FD2A1D" w:rsidRPr="00EA0DC7" w:rsidRDefault="00FD2A1D" w:rsidP="00FD2A1D">
      <w:pPr>
        <w:widowControl w:val="0"/>
        <w:spacing w:after="0"/>
        <w:ind w:firstLine="720"/>
        <w:rPr>
          <w:rFonts w:cs="Arial"/>
        </w:rPr>
      </w:pPr>
      <w:r w:rsidRPr="00EA0DC7">
        <w:rPr>
          <w:rFonts w:cs="Arial"/>
        </w:rPr>
        <w:t xml:space="preserve">These findings are informative to both clinical and research practice. With regards to clinical practice, greater regulation of supervision might make a difference to patient outcomes. Such regulation might take the form of more stringent protocols for supervision in clinical settings, similar to those used in many RCTs </w:t>
      </w:r>
      <w:r w:rsidRPr="00EA0DC7">
        <w:rPr>
          <w:rFonts w:cs="Arial"/>
          <w:bCs/>
          <w:noProof/>
        </w:rPr>
        <w:t>(Gibbons et al., 2013; Roth</w:t>
      </w:r>
      <w:r w:rsidR="000E2548" w:rsidRPr="00EA0DC7">
        <w:rPr>
          <w:rFonts w:cs="Arial"/>
          <w:bCs/>
          <w:noProof/>
        </w:rPr>
        <w:t xml:space="preserve"> et al.,</w:t>
      </w:r>
      <w:r w:rsidRPr="00EA0DC7">
        <w:rPr>
          <w:rFonts w:cs="Arial"/>
          <w:bCs/>
          <w:noProof/>
        </w:rPr>
        <w:t xml:space="preserve"> 2010)</w:t>
      </w:r>
      <w:r w:rsidRPr="00EA0DC7">
        <w:rPr>
          <w:rFonts w:cs="Arial"/>
        </w:rPr>
        <w:t xml:space="preserve">. In particular, protocols should address clinician characteristics and how they might influence supervision (and, ultimately, therapy outcome). The tendency to supervise anxious female clinicians differently to all others is a particular concern, and more gender-neutral supervisory practice might be a specific part of supervisor training. </w:t>
      </w:r>
      <w:r w:rsidR="00E11D19" w:rsidRPr="00EA0DC7">
        <w:rPr>
          <w:rFonts w:cs="Arial"/>
          <w:szCs w:val="24"/>
        </w:rPr>
        <w:t>Furthermore, supervisors’ own anxieties could be addressed in training and ongoing professional development, as has been recommended for anxious therapists delivering exposure-based therapy (</w:t>
      </w:r>
      <w:r w:rsidR="00E11D19" w:rsidRPr="00EA0DC7">
        <w:rPr>
          <w:rFonts w:cs="Arial"/>
          <w:noProof/>
          <w:szCs w:val="24"/>
        </w:rPr>
        <w:t>Farrell</w:t>
      </w:r>
      <w:r w:rsidR="008F2B17" w:rsidRPr="00EA0DC7">
        <w:rPr>
          <w:rFonts w:cs="Arial"/>
          <w:noProof/>
          <w:szCs w:val="24"/>
        </w:rPr>
        <w:t xml:space="preserve"> et al.,</w:t>
      </w:r>
      <w:r w:rsidR="00E11D19" w:rsidRPr="00EA0DC7">
        <w:rPr>
          <w:rFonts w:cs="Arial"/>
          <w:noProof/>
          <w:szCs w:val="24"/>
        </w:rPr>
        <w:t xml:space="preserve"> 2013).</w:t>
      </w:r>
      <w:r w:rsidR="00E11D19" w:rsidRPr="00EA0DC7">
        <w:rPr>
          <w:rFonts w:cs="Arial"/>
        </w:rPr>
        <w:t xml:space="preserve"> </w:t>
      </w:r>
      <w:r w:rsidRPr="00EA0DC7">
        <w:rPr>
          <w:rFonts w:cs="Arial"/>
        </w:rPr>
        <w:t xml:space="preserve">This study can also inform future research. Within research protocols, supervision is often used to ensure therapist adherence. Results of this study indicate that supervision by itself might not be enough to ensure adherence, as supervisors themselves may drift. This supervisory drift should be acknowledged within future study designs, possibly requiring researchers to monitor adherence to expected supervisory practice as well as monitoring therapists’ adherence. </w:t>
      </w:r>
    </w:p>
    <w:p w14:paraId="19CE7756" w14:textId="52A03075" w:rsidR="004F5D5E" w:rsidRPr="00EA0DC7" w:rsidRDefault="00FD2A1D" w:rsidP="00FD2A1D">
      <w:pPr>
        <w:widowControl w:val="0"/>
        <w:spacing w:after="0"/>
        <w:ind w:firstLine="720"/>
        <w:rPr>
          <w:rFonts w:cs="Arial"/>
        </w:rPr>
      </w:pPr>
      <w:r w:rsidRPr="00EA0DC7">
        <w:rPr>
          <w:rFonts w:cs="Arial"/>
        </w:rPr>
        <w:t xml:space="preserve">Further research is clearly needed to elaborate on these early findings. Such research will need to examine the effects of therapist characteristics on supervision focus for disorders other than depression, as well as within that </w:t>
      </w:r>
      <w:r w:rsidRPr="00EA0DC7">
        <w:rPr>
          <w:rFonts w:cs="Arial"/>
        </w:rPr>
        <w:lastRenderedPageBreak/>
        <w:t>domain. The therapy process is an active, triadic relationship between the supervisor, therapist and patient (Tracey</w:t>
      </w:r>
      <w:r w:rsidR="0064440E" w:rsidRPr="00EA0DC7">
        <w:rPr>
          <w:rFonts w:cs="Arial"/>
          <w:bCs/>
          <w:noProof/>
        </w:rPr>
        <w:t xml:space="preserve"> et al., 2012</w:t>
      </w:r>
      <w:r w:rsidRPr="00EA0DC7">
        <w:rPr>
          <w:rFonts w:cs="Arial"/>
        </w:rPr>
        <w:t>), and that three-way interaction should be further analysed. Combining and manipulating both therapist and patient variables will paint a more realistic picture of the supervision process. How supervisors deal with therapy-interfering behaviours from therapists or patients will provide further insight into this complex relationship. For example, will s</w:t>
      </w:r>
      <w:r w:rsidR="00D25108" w:rsidRPr="00EA0DC7">
        <w:rPr>
          <w:rFonts w:cs="Arial"/>
        </w:rPr>
        <w:t>upervisors accept non-adherence</w:t>
      </w:r>
      <w:r w:rsidRPr="00EA0DC7">
        <w:rPr>
          <w:rFonts w:cs="Arial"/>
        </w:rPr>
        <w:t xml:space="preserve"> from anxious female but not calm male clinicians</w:t>
      </w:r>
      <w:r w:rsidR="00D25108" w:rsidRPr="00EA0DC7">
        <w:rPr>
          <w:rFonts w:cs="Arial"/>
        </w:rPr>
        <w:t>? Will they allow non-adherence</w:t>
      </w:r>
      <w:r w:rsidRPr="00EA0DC7">
        <w:rPr>
          <w:rFonts w:cs="Arial"/>
        </w:rPr>
        <w:t xml:space="preserve"> from an inexperienced therapist, or a patient with a more complex condition? And will supervisors</w:t>
      </w:r>
      <w:r w:rsidR="00405B7D" w:rsidRPr="00EA0DC7">
        <w:rPr>
          <w:rFonts w:cs="Arial"/>
        </w:rPr>
        <w:t>’</w:t>
      </w:r>
      <w:r w:rsidRPr="00EA0DC7">
        <w:rPr>
          <w:rFonts w:cs="Arial"/>
        </w:rPr>
        <w:t xml:space="preserve"> own anxieties affect how they deal with refusal from therapists and patients? These are questions that can be addressed using experimental studies, similar to the present one. As participant representativeness was unclear in our study due to the sampling method used, further research should improve on this. Finally, further investigation would benefit from naturalistic studies of real-life clinical and supervisory practice and its relation to patient outcome.</w:t>
      </w:r>
    </w:p>
    <w:p w14:paraId="54BCBF94" w14:textId="77777777" w:rsidR="004F5D5E" w:rsidRPr="00EA0DC7" w:rsidRDefault="004F5D5E">
      <w:pPr>
        <w:spacing w:line="276" w:lineRule="auto"/>
        <w:jc w:val="left"/>
        <w:rPr>
          <w:rFonts w:cs="Arial"/>
        </w:rPr>
      </w:pPr>
      <w:r w:rsidRPr="00EA0DC7">
        <w:rPr>
          <w:rFonts w:cs="Arial"/>
        </w:rPr>
        <w:br w:type="page"/>
      </w:r>
    </w:p>
    <w:p w14:paraId="67B98A4E" w14:textId="0F0E8152" w:rsidR="0048758F" w:rsidRPr="00EA0DC7" w:rsidRDefault="001027B1" w:rsidP="003447C9">
      <w:pPr>
        <w:pStyle w:val="Heading1"/>
        <w:ind w:left="0"/>
      </w:pPr>
      <w:bookmarkStart w:id="164" w:name="_Toc47039851"/>
      <w:r w:rsidRPr="00EA0DC7">
        <w:lastRenderedPageBreak/>
        <w:t>–</w:t>
      </w:r>
      <w:r w:rsidR="0048758F" w:rsidRPr="00EA0DC7">
        <w:t xml:space="preserve"> The role of supervision for depression: Dealing with non-adherence from patients and therapists</w:t>
      </w:r>
      <w:bookmarkEnd w:id="164"/>
    </w:p>
    <w:p w14:paraId="53FBC2CD" w14:textId="77777777" w:rsidR="0048758F" w:rsidRPr="00EA0DC7" w:rsidRDefault="0048758F" w:rsidP="0048758F">
      <w:pPr>
        <w:pStyle w:val="Heading2"/>
        <w:numPr>
          <w:ilvl w:val="1"/>
          <w:numId w:val="17"/>
        </w:numPr>
      </w:pPr>
      <w:r w:rsidRPr="00EA0DC7">
        <w:t xml:space="preserve"> </w:t>
      </w:r>
      <w:bookmarkStart w:id="165" w:name="_Toc47039852"/>
      <w:r w:rsidRPr="00EA0DC7">
        <w:t>Background and aims</w:t>
      </w:r>
      <w:bookmarkEnd w:id="165"/>
    </w:p>
    <w:p w14:paraId="7C6D24F6" w14:textId="77777777" w:rsidR="0048758F" w:rsidRPr="00EA0DC7" w:rsidRDefault="0048758F" w:rsidP="0048758F">
      <w:pPr>
        <w:ind w:firstLine="720"/>
      </w:pPr>
      <w:r w:rsidRPr="00EA0DC7">
        <w:t xml:space="preserve">Adherence is a key aspect of psychotherapy, and can refer to the actions of both therapists and patients. Therapist adherence refers to the extent to which interventions are delivered in line with the specific treatment model or manual (Waltz, Addis, Koerner, &amp; Jacobson, 1993). In contrast, patient adherence refers to the extent to which the patient’s behaviours correspond to those mutually agreed upon with their therapist </w:t>
      </w:r>
      <w:r w:rsidRPr="00EA0DC7">
        <w:rPr>
          <w:rFonts w:cs="Arial"/>
        </w:rPr>
        <w:t>(</w:t>
      </w:r>
      <w:r w:rsidRPr="00EA0DC7">
        <w:t xml:space="preserve">World Health Organisation, 2003). A lack of adherence from patients is often seen as a therapy-interfering behaviour, whereas the same from therapists might be viewed as being ‘creative’ (Waller, 2009). This view is highlighted through the use of the term ‘non-compliance’ (rather than non-adherence) for patients (e.g., Helbig &amp; Fehm, 2004; Kazantzis &amp; Lampropoulos, 2002), but not for therapists. Although this term implies that such behaviours are more problematic from patients, both parties have the potential to be equally disruptive to the therapy process. </w:t>
      </w:r>
    </w:p>
    <w:p w14:paraId="022FE031" w14:textId="5B192233" w:rsidR="0048758F" w:rsidRPr="00EA0DC7" w:rsidRDefault="0048758F" w:rsidP="00E9216A">
      <w:pPr>
        <w:ind w:firstLine="720"/>
      </w:pPr>
      <w:r w:rsidRPr="00EA0DC7">
        <w:t xml:space="preserve">Both therapist and patient adherence are necessary to ensure effective treatments. Therapist adherence to concrete aspects of cognitive therapy (e.g., reviewing homework, labelling cognitive beliefs) predicts later symptom change in patients with depression (DeRubeis &amp; Feeley, 1990). </w:t>
      </w:r>
      <w:r w:rsidRPr="00EA0DC7">
        <w:rPr>
          <w:rFonts w:cs="Arial"/>
        </w:rPr>
        <w:t xml:space="preserve">Adherence also interacts with other therapy variables. For example, adherence positively </w:t>
      </w:r>
      <w:r w:rsidRPr="00EA0DC7">
        <w:rPr>
          <w:rFonts w:cs="Arial"/>
        </w:rPr>
        <w:lastRenderedPageBreak/>
        <w:t>predicts therapeutic alliance (Brauhardt et al., 2014; Loeb et al., 2005).</w:t>
      </w:r>
      <w:r w:rsidRPr="00EA0DC7">
        <w:t xml:space="preserve"> Patient adherence in CBT is often measured in terms of completed homework tasks. The use of homework allows patients to apply skills that they have learned in-session to situations outside of therapy, thereby generalising these skills to natural settings (Kazantzis &amp; Lampropoulos, 2002). Alfonsson, Olsson and Hursti (2015) found that a greater number of homework exercises completed by patients predicts better patient outcomes, and a meta-analysis by Mausbach, Moore, Roesch, Cardenas and Patterson (2010) found a small to medium effect of homework compliance on patient outcome.</w:t>
      </w:r>
    </w:p>
    <w:p w14:paraId="01B85DCB" w14:textId="3D993DFF" w:rsidR="0048758F" w:rsidRPr="00EA0DC7" w:rsidRDefault="0048758F" w:rsidP="0048758F">
      <w:pPr>
        <w:ind w:firstLine="720"/>
      </w:pPr>
      <w:r w:rsidRPr="00EA0DC7">
        <w:t xml:space="preserve">One of the roles of a supervisor is to ensure that therapists adhere to therapy protocols, with the aim of giving patients the best possible outcome (Milne &amp; James, 2000). A number of studies have found that supervision does indeed increase therapist adherence (e.g., Beidas et al., 2012; Sholomskas et al., 2005). However, studies in Chapters 4 and 5 of this thesis demonstrate that supervisors treat therapists and patients differently, depending on their personal characteristics and the characteristics of the supervisors themselves (Simpson-Southward et al., 2016; 2018). </w:t>
      </w:r>
    </w:p>
    <w:p w14:paraId="18F2EBC0" w14:textId="62B27E15" w:rsidR="0048758F" w:rsidRPr="00EA0DC7" w:rsidRDefault="0048758F" w:rsidP="0048758F">
      <w:pPr>
        <w:ind w:firstLine="720"/>
      </w:pPr>
      <w:r w:rsidRPr="00EA0DC7">
        <w:t xml:space="preserve">The need to ensure adherence is particularly important for behavioural aspects of CBT. Clinicians often fail to implement such aspects of therapy, despite evidence suggesting these are the more powerful elements of CBT (Dimidjian et al., 2006; Jacobson et al., 1996). As these aspects of therapy can be anxiety-provoking for the patient, this lack of adherence might be explained as a desire on the part of the clinician to protect the patient from short-term distress (e.g., Meehl, 1973). However, this clinician decision can come at the cost of patient recovery in the long-term (Waller &amp; Turner, 2016). </w:t>
      </w:r>
      <w:r w:rsidRPr="00EA0DC7">
        <w:lastRenderedPageBreak/>
        <w:t xml:space="preserve">It is important to understand why it </w:t>
      </w:r>
      <w:r w:rsidR="00201410" w:rsidRPr="00EA0DC7">
        <w:t>is that such decisions are made in order</w:t>
      </w:r>
      <w:r w:rsidRPr="00EA0DC7">
        <w:t xml:space="preserve"> to assist supervisors in identifying situations where they might be at risk of delivering therapy sub-optimally. </w:t>
      </w:r>
    </w:p>
    <w:p w14:paraId="3A4AD54D" w14:textId="77777777" w:rsidR="0048758F" w:rsidRPr="00EA0DC7" w:rsidRDefault="0048758F" w:rsidP="0048758F">
      <w:pPr>
        <w:ind w:firstLine="720"/>
      </w:pPr>
      <w:r w:rsidRPr="00EA0DC7">
        <w:t>Therefore, the aim of this set of three mini-studies is to investigate how the characteristics of patients, therapists, and supervisors interact in order to impact the way in which supervisors react to non-adherence. Specifically, the studies will consider non-adherence to a key behavioural aspect of CBT for depression – behavioural activation. It is expected that some supervisee characteristics (e.g., a lack of experience, anxiety), and patient characteristics (e.g., complexity of case) will lead supervisors to avoid encouraging a return to behavioural activation. It is also expected that there will be an interaction of both supervisee and patient characteristics in determining supervision focus. Finally, it is expected that supervisors will fall into natural groupings according to their stated supervisory focus and these groups will be related to the supervisors’ own characteristics (e.g., anxiety, self-esteem). Each mini-study will use a different set of six vignettes, the details of which are outlined below, along with specific aims and hypotheses for each study.</w:t>
      </w:r>
    </w:p>
    <w:p w14:paraId="63E5B1CC" w14:textId="77777777" w:rsidR="0048758F" w:rsidRPr="00EA0DC7" w:rsidRDefault="0048758F" w:rsidP="0048758F">
      <w:pPr>
        <w:pStyle w:val="Heading2"/>
      </w:pPr>
      <w:bookmarkStart w:id="166" w:name="_Toc47039853"/>
      <w:r w:rsidRPr="00EA0DC7">
        <w:t>6.2 General method</w:t>
      </w:r>
      <w:bookmarkEnd w:id="166"/>
    </w:p>
    <w:p w14:paraId="7DE2CA07" w14:textId="77777777" w:rsidR="0048758F" w:rsidRPr="00EA0DC7" w:rsidRDefault="0048758F" w:rsidP="0048758F">
      <w:pPr>
        <w:pStyle w:val="Heading3"/>
      </w:pPr>
      <w:r w:rsidRPr="00EA0DC7">
        <w:t>6.2.1 Participants</w:t>
      </w:r>
    </w:p>
    <w:p w14:paraId="006D7678" w14:textId="45660CC6" w:rsidR="0048758F" w:rsidRPr="00EA0DC7" w:rsidRDefault="0048758F" w:rsidP="0048758F">
      <w:pPr>
        <w:rPr>
          <w:rFonts w:cs="Arial"/>
        </w:rPr>
      </w:pPr>
      <w:r w:rsidRPr="00EA0DC7">
        <w:rPr>
          <w:rFonts w:cs="Arial"/>
        </w:rPr>
        <w:tab/>
        <w:t xml:space="preserve">The participants were a sample of 53 clinical supervisors, supervising clinicians delivering CBT to patients with depression. These supervisors took part in all three studies. The supervisors were recruited through email lists of members of CBT organisations across Europe (84.9% currently worked in the UK, 9.4% in Italy, 3.8% in Denmark, and 1.9% in Sweden). The mean age of </w:t>
      </w:r>
      <w:r w:rsidRPr="00EA0DC7">
        <w:rPr>
          <w:rFonts w:cs="Arial"/>
        </w:rPr>
        <w:lastRenderedPageBreak/>
        <w:t xml:space="preserve">the group </w:t>
      </w:r>
      <w:commentRangeStart w:id="167"/>
      <w:r w:rsidRPr="00EA0DC7">
        <w:rPr>
          <w:rFonts w:cs="Arial"/>
        </w:rPr>
        <w:t>was 49.2 years (</w:t>
      </w:r>
      <w:r w:rsidRPr="00EA0DC7">
        <w:rPr>
          <w:rFonts w:cs="Arial"/>
          <w:i/>
        </w:rPr>
        <w:t>SD</w:t>
      </w:r>
      <w:r w:rsidRPr="00EA0DC7">
        <w:rPr>
          <w:rFonts w:cs="Arial"/>
        </w:rPr>
        <w:t xml:space="preserve"> = 9.25</w:t>
      </w:r>
      <w:r w:rsidR="00544BEF">
        <w:rPr>
          <w:rFonts w:cs="Arial"/>
        </w:rPr>
        <w:t xml:space="preserve"> years</w:t>
      </w:r>
      <w:r w:rsidRPr="00EA0DC7">
        <w:rPr>
          <w:rFonts w:cs="Arial"/>
        </w:rPr>
        <w:t>, range = 29-67</w:t>
      </w:r>
      <w:r w:rsidR="00544BEF">
        <w:rPr>
          <w:rFonts w:cs="Arial"/>
        </w:rPr>
        <w:t xml:space="preserve"> years</w:t>
      </w:r>
      <w:r w:rsidRPr="00EA0DC7">
        <w:rPr>
          <w:rFonts w:cs="Arial"/>
        </w:rPr>
        <w:t>)</w:t>
      </w:r>
      <w:commentRangeEnd w:id="167"/>
      <w:r w:rsidR="001962F6">
        <w:rPr>
          <w:rStyle w:val="CommentReference"/>
          <w:rFonts w:eastAsiaTheme="minorHAnsi"/>
          <w:lang w:eastAsia="en-US"/>
        </w:rPr>
        <w:commentReference w:id="167"/>
      </w:r>
      <w:r w:rsidRPr="00EA0DC7">
        <w:rPr>
          <w:rFonts w:cs="Arial"/>
        </w:rPr>
        <w:t xml:space="preserve"> and 64.2% were female. Although all participants were working as clinical supervisors, only 35.8% were accredited supervisors. The mean amount of time the participants had been using CBT to treat </w:t>
      </w:r>
      <w:commentRangeStart w:id="168"/>
      <w:r w:rsidRPr="00EA0DC7">
        <w:rPr>
          <w:rFonts w:cs="Arial"/>
        </w:rPr>
        <w:t>depression was 12.9 years (</w:t>
      </w:r>
      <w:r w:rsidRPr="00EA0DC7">
        <w:rPr>
          <w:rFonts w:cs="Arial"/>
          <w:i/>
        </w:rPr>
        <w:t>SD</w:t>
      </w:r>
      <w:r w:rsidRPr="00EA0DC7">
        <w:rPr>
          <w:rFonts w:cs="Arial"/>
        </w:rPr>
        <w:t xml:space="preserve"> = 6.90</w:t>
      </w:r>
      <w:r w:rsidR="00544BEF">
        <w:rPr>
          <w:rFonts w:cs="Arial"/>
        </w:rPr>
        <w:t xml:space="preserve"> years</w:t>
      </w:r>
      <w:r w:rsidRPr="00EA0DC7">
        <w:rPr>
          <w:rFonts w:cs="Arial"/>
        </w:rPr>
        <w:t>, range = 1.5-35</w:t>
      </w:r>
      <w:r w:rsidR="00544BEF">
        <w:rPr>
          <w:rFonts w:cs="Arial"/>
        </w:rPr>
        <w:t xml:space="preserve"> years</w:t>
      </w:r>
      <w:commentRangeEnd w:id="168"/>
      <w:r w:rsidR="001962F6">
        <w:rPr>
          <w:rStyle w:val="CommentReference"/>
          <w:rFonts w:eastAsiaTheme="minorHAnsi"/>
          <w:lang w:eastAsia="en-US"/>
        </w:rPr>
        <w:commentReference w:id="168"/>
      </w:r>
      <w:r w:rsidRPr="00EA0DC7">
        <w:rPr>
          <w:rFonts w:cs="Arial"/>
        </w:rPr>
        <w:t>). The participants had a range of background professions, including: clinical psychology (</w:t>
      </w:r>
      <w:r w:rsidRPr="00EA0DC7">
        <w:rPr>
          <w:rFonts w:cs="Arial"/>
          <w:i/>
        </w:rPr>
        <w:t>N</w:t>
      </w:r>
      <w:r w:rsidRPr="00EA0DC7">
        <w:rPr>
          <w:rFonts w:cs="Arial"/>
        </w:rPr>
        <w:t xml:space="preserve"> = 13), nursing (</w:t>
      </w:r>
      <w:r w:rsidRPr="00EA0DC7">
        <w:rPr>
          <w:rFonts w:cs="Arial"/>
          <w:i/>
        </w:rPr>
        <w:t>N</w:t>
      </w:r>
      <w:r w:rsidRPr="00EA0DC7">
        <w:rPr>
          <w:rFonts w:cs="Arial"/>
        </w:rPr>
        <w:t xml:space="preserve"> = 12), Improving Access to Psychological Therapies (IAPT) services (</w:t>
      </w:r>
      <w:r w:rsidRPr="00EA0DC7">
        <w:rPr>
          <w:rFonts w:cs="Arial"/>
          <w:i/>
        </w:rPr>
        <w:t>N</w:t>
      </w:r>
      <w:r w:rsidRPr="00EA0DC7">
        <w:rPr>
          <w:rFonts w:cs="Arial"/>
        </w:rPr>
        <w:t xml:space="preserve"> = 8), and counselling psychology (</w:t>
      </w:r>
      <w:r w:rsidRPr="00EA0DC7">
        <w:rPr>
          <w:rFonts w:cs="Arial"/>
          <w:i/>
        </w:rPr>
        <w:t>N</w:t>
      </w:r>
      <w:r w:rsidRPr="00EA0DC7">
        <w:rPr>
          <w:rFonts w:cs="Arial"/>
        </w:rPr>
        <w:t xml:space="preserve"> = 5).</w:t>
      </w:r>
    </w:p>
    <w:p w14:paraId="02756941" w14:textId="112636D4" w:rsidR="00A927EF" w:rsidRPr="00EA0DC7" w:rsidRDefault="00A927EF" w:rsidP="00A927EF">
      <w:pPr>
        <w:pStyle w:val="Heading4"/>
      </w:pPr>
      <w:r w:rsidRPr="00EA0DC7">
        <w:rPr>
          <w:rStyle w:val="Heading4Char"/>
          <w:bCs/>
          <w:i/>
          <w:iCs/>
        </w:rPr>
        <w:t>6.2.1.1 Sample size estimation</w:t>
      </w:r>
    </w:p>
    <w:p w14:paraId="026679E4" w14:textId="10841155" w:rsidR="0048758F" w:rsidRPr="00EA0DC7" w:rsidRDefault="0048758F" w:rsidP="0048758F">
      <w:pPr>
        <w:ind w:firstLine="720"/>
        <w:rPr>
          <w:rFonts w:cs="Arial"/>
          <w:b/>
        </w:rPr>
      </w:pPr>
      <w:r w:rsidRPr="00EA0DC7">
        <w:rPr>
          <w:rFonts w:cs="Arial"/>
        </w:rPr>
        <w:t>A sample size analysis was perfo</w:t>
      </w:r>
      <w:r w:rsidR="00DE1ABB" w:rsidRPr="00EA0DC7">
        <w:rPr>
          <w:rFonts w:cs="Arial"/>
        </w:rPr>
        <w:t>rmed using G*Power (Faul et al.</w:t>
      </w:r>
      <w:r w:rsidRPr="00EA0DC7">
        <w:rPr>
          <w:rFonts w:cs="Arial"/>
        </w:rPr>
        <w:t>, 2007) to determine the number of participants needed. For a medium to large effect size (with an alpha of .05 and power of 0.80), the sample size required was between 52 and 90. As both medium and large effect sizes were found in the studies in Chapters 4 and 5, the sample size of 53 was deemed adequate for the current study.</w:t>
      </w:r>
    </w:p>
    <w:p w14:paraId="305EDE52" w14:textId="77777777" w:rsidR="0048758F" w:rsidRPr="00EA0DC7" w:rsidRDefault="0048758F" w:rsidP="0048758F">
      <w:pPr>
        <w:pStyle w:val="Heading3"/>
      </w:pPr>
      <w:r w:rsidRPr="00EA0DC7">
        <w:t>6.2.2 Measures and procedure</w:t>
      </w:r>
    </w:p>
    <w:p w14:paraId="01B94E97" w14:textId="1AF3EBBB" w:rsidR="00955F61" w:rsidRPr="00EA0DC7" w:rsidRDefault="0048758F" w:rsidP="00955F61">
      <w:pPr>
        <w:widowControl w:val="0"/>
        <w:spacing w:after="0"/>
        <w:rPr>
          <w:rFonts w:cs="Arial"/>
          <w:szCs w:val="24"/>
        </w:rPr>
      </w:pPr>
      <w:r w:rsidRPr="00EA0DC7">
        <w:rPr>
          <w:rFonts w:cs="Arial"/>
          <w:b/>
        </w:rPr>
        <w:tab/>
      </w:r>
      <w:r w:rsidRPr="00EA0DC7">
        <w:rPr>
          <w:rFonts w:cs="Arial"/>
        </w:rPr>
        <w:t>The three mini-studies were all delivered via one questionnaire pack. Participants completed the online questionnaire (hosted by the website Qualtrics) using a link sent in an email.</w:t>
      </w:r>
      <w:r w:rsidR="00E30E56">
        <w:rPr>
          <w:rFonts w:cs="Arial"/>
        </w:rPr>
        <w:t xml:space="preserve"> </w:t>
      </w:r>
      <w:commentRangeStart w:id="169"/>
      <w:r w:rsidR="00E30E56">
        <w:rPr>
          <w:rFonts w:cs="Arial"/>
        </w:rPr>
        <w:t xml:space="preserve">A sample questionnaire is in </w:t>
      </w:r>
      <w:r w:rsidR="00E30E56" w:rsidRPr="007D75FF">
        <w:rPr>
          <w:rFonts w:cs="Arial"/>
        </w:rPr>
        <w:t>Appendix</w:t>
      </w:r>
      <w:r w:rsidR="00E30E56">
        <w:rPr>
          <w:rFonts w:cs="Arial"/>
        </w:rPr>
        <w:t xml:space="preserve"> </w:t>
      </w:r>
      <w:r w:rsidR="00916EEA">
        <w:rPr>
          <w:rFonts w:cs="Arial"/>
        </w:rPr>
        <w:t>6B.</w:t>
      </w:r>
      <w:r w:rsidRPr="00EA0DC7">
        <w:rPr>
          <w:rFonts w:cs="Arial"/>
        </w:rPr>
        <w:t xml:space="preserve"> </w:t>
      </w:r>
      <w:commentRangeEnd w:id="169"/>
      <w:r w:rsidR="001962F6">
        <w:rPr>
          <w:rStyle w:val="CommentReference"/>
          <w:rFonts w:eastAsiaTheme="minorHAnsi"/>
          <w:lang w:eastAsia="en-US"/>
        </w:rPr>
        <w:commentReference w:id="169"/>
      </w:r>
      <w:r w:rsidRPr="00EA0DC7">
        <w:rPr>
          <w:rFonts w:cs="Arial"/>
        </w:rPr>
        <w:t>Participants read an information sheet and gave consent before starting the study. After filling out demographic information, participants were presented with three case vignettes (one from each of the three studies outlined below). The vignettes were presented in a random order.</w:t>
      </w:r>
      <w:r w:rsidR="00955F61">
        <w:rPr>
          <w:rFonts w:cs="Arial"/>
        </w:rPr>
        <w:t xml:space="preserve"> </w:t>
      </w:r>
      <w:commentRangeStart w:id="170"/>
      <w:r w:rsidR="00955F61">
        <w:rPr>
          <w:rFonts w:cs="Arial"/>
          <w:szCs w:val="24"/>
        </w:rPr>
        <w:t>See Section 4.3.4 for further details on the vignette development.</w:t>
      </w:r>
      <w:commentRangeEnd w:id="170"/>
      <w:r w:rsidR="00364213">
        <w:rPr>
          <w:rStyle w:val="CommentReference"/>
          <w:rFonts w:eastAsiaTheme="minorHAnsi"/>
          <w:lang w:eastAsia="en-US"/>
        </w:rPr>
        <w:commentReference w:id="170"/>
      </w:r>
    </w:p>
    <w:p w14:paraId="4283C17F" w14:textId="52173C3C" w:rsidR="0048758F" w:rsidRPr="00EA0DC7" w:rsidRDefault="0048758F" w:rsidP="0048758F">
      <w:pPr>
        <w:rPr>
          <w:rFonts w:cs="Arial"/>
        </w:rPr>
      </w:pPr>
    </w:p>
    <w:p w14:paraId="53A2FE30" w14:textId="77777777" w:rsidR="0048758F" w:rsidRPr="00EA0DC7" w:rsidRDefault="0048758F" w:rsidP="0048758F">
      <w:pPr>
        <w:rPr>
          <w:rFonts w:cs="Arial"/>
        </w:rPr>
      </w:pPr>
      <w:r w:rsidRPr="00EA0DC7">
        <w:rPr>
          <w:rFonts w:cs="Arial"/>
        </w:rPr>
        <w:tab/>
        <w:t>After each vignette, participants were asked what they would focus on in supervision, given each case. Focus was measured from 0 (‘I would not focus on this’)</w:t>
      </w:r>
      <w:r w:rsidRPr="00EA0DC7">
        <w:rPr>
          <w:rFonts w:cs="Arial"/>
          <w:sz w:val="28"/>
        </w:rPr>
        <w:t xml:space="preserve"> </w:t>
      </w:r>
      <w:r w:rsidRPr="00EA0DC7">
        <w:rPr>
          <w:rFonts w:cs="Arial"/>
        </w:rPr>
        <w:t>to 100 (‘I would focus entirely on this’).</w:t>
      </w:r>
      <w:r w:rsidRPr="00EA0DC7">
        <w:rPr>
          <w:rFonts w:cs="Arial"/>
          <w:sz w:val="28"/>
        </w:rPr>
        <w:t xml:space="preserve"> </w:t>
      </w:r>
      <w:r w:rsidRPr="00EA0DC7">
        <w:rPr>
          <w:rFonts w:cs="Arial"/>
        </w:rPr>
        <w:t xml:space="preserve">The questions referred to three general aspects of supervision (therapeutic techniques, therapeutic alliance, and case management issues). These aspects were based on three main functions of supervision often described in the literature. The functions are described by </w:t>
      </w:r>
      <w:r w:rsidRPr="00EA0DC7">
        <w:rPr>
          <w:rFonts w:cs="Arial"/>
        </w:rPr>
        <w:fldChar w:fldCharType="begin" w:fldLock="1"/>
      </w:r>
      <w:r w:rsidRPr="00EA0DC7">
        <w:rPr>
          <w:rFonts w:cs="Arial"/>
        </w:rPr>
        <w:instrText>ADDIN CSL_CITATION {"citationItems":[{"id":"ITEM-1","itemData":{"author":[{"dropping-particle":"","family":"Proctor","given":"B.","non-dropping-particle":"","parse-names":false,"suffix":""}],"container-title":"Enabling and ensuring: Supervision in practice","editor":[{"dropping-particle":"","family":"Marken","given":"M.","non-dropping-particle":"","parse-names":false,"suffix":""},{"dropping-particle":"","family":"Payne","given":"M.","non-dropping-particle":"","parse-names":false,"suffix":""}],"id":"ITEM-1","issued":{"date-parts":[["1986"]]},"page":"21-34","publisher":"National Youth Bureau and Council for Education and Training in Youth and Community Work","publisher-place":"Leicester, UK","title":"Supervision: A co-operative exercise in accountability","type":"chapter"},"uris":["http://www.mendeley.com/documents/?uuid=ee8c2501-f2a3-44a8-adb8-77ea5b862429"]}],"mendeley":{"formattedCitation":"(Proctor, 1986)","manualFormatting":"Proctor (1988)","plainTextFormattedCitation":"(Proctor, 1986)","previouslyFormattedCitation":"(Proctor, 1986)"},"properties":{"noteIndex":0},"schema":"https://github.com/citation-style-language/schema/raw/master/csl-citation.json"}</w:instrText>
      </w:r>
      <w:r w:rsidRPr="00EA0DC7">
        <w:rPr>
          <w:rFonts w:cs="Arial"/>
        </w:rPr>
        <w:fldChar w:fldCharType="separate"/>
      </w:r>
      <w:r w:rsidRPr="00EA0DC7">
        <w:rPr>
          <w:rFonts w:cs="Arial"/>
          <w:noProof/>
        </w:rPr>
        <w:t>Proctor (1988)</w:t>
      </w:r>
      <w:r w:rsidRPr="00EA0DC7">
        <w:rPr>
          <w:rFonts w:cs="Arial"/>
        </w:rPr>
        <w:fldChar w:fldCharType="end"/>
      </w:r>
      <w:r w:rsidRPr="00EA0DC7">
        <w:rPr>
          <w:rFonts w:cs="Arial"/>
        </w:rPr>
        <w:t xml:space="preserve"> as ‘formative’ (education and development of the supervisee), ‘normative’ (managerial and ethical responsibilities), and ‘restorative’ (emotional aspects of work). </w:t>
      </w:r>
      <w:r w:rsidRPr="00EA0DC7">
        <w:rPr>
          <w:rFonts w:cs="Arial"/>
        </w:rPr>
        <w:fldChar w:fldCharType="begin" w:fldLock="1"/>
      </w:r>
      <w:r w:rsidRPr="00EA0DC7">
        <w:rPr>
          <w:rFonts w:cs="Arial"/>
        </w:rPr>
        <w:instrText>ADDIN CSL_CITATION { "citationItems" : [ { "id" : "ITEM-1", "itemData" : { "author" : [ { "dropping-particle" : "", "family" : "Kadushin", "given" : "A.", "non-dropping-particle" : "", "parse-names" : false, "suffix" : "" } ], "id" : "ITEM-1", "issued" : { "date-parts" : [ [ "1976" ] ] }, "publisher" : "Columbia University Press", "publisher-place" : "New York, NY", "title" : "Supervision in social work", "type" : "book" }, "uris" : [ "http://www.mendeley.com/documents/?uuid=05eada30-8e59-4cc2-8d39-96d158d581b2" ] } ], "mendeley" : { "formattedCitation" : "(Kadushin, 1976)", "manualFormatting" : "Kadushin (1976)", "plainTextFormattedCitation" : "(Kadushin, 1976)", "previouslyFormattedCitation" : "(Kadushin, 1976)" }, "properties" : {  }, "schema" : "https://github.com/citation-style-language/schema/raw/master/csl-citation.json" }</w:instrText>
      </w:r>
      <w:r w:rsidRPr="00EA0DC7">
        <w:rPr>
          <w:rFonts w:cs="Arial"/>
        </w:rPr>
        <w:fldChar w:fldCharType="separate"/>
      </w:r>
      <w:r w:rsidRPr="00EA0DC7">
        <w:rPr>
          <w:rFonts w:cs="Arial"/>
          <w:noProof/>
        </w:rPr>
        <w:t>Kadushin (1976)</w:t>
      </w:r>
      <w:r w:rsidRPr="00EA0DC7">
        <w:rPr>
          <w:rFonts w:cs="Arial"/>
        </w:rPr>
        <w:fldChar w:fldCharType="end"/>
      </w:r>
      <w:r w:rsidRPr="00EA0DC7">
        <w:rPr>
          <w:rFonts w:cs="Arial"/>
        </w:rPr>
        <w:t xml:space="preserve"> describes the same functions as ‘educational’, ‘managerial’, and ‘supportive’.</w:t>
      </w:r>
    </w:p>
    <w:p w14:paraId="2EFE5FE4" w14:textId="3AFE21E8" w:rsidR="0048758F" w:rsidRPr="00EA0DC7" w:rsidRDefault="0048758F" w:rsidP="0048758F">
      <w:pPr>
        <w:rPr>
          <w:rFonts w:cs="Arial"/>
        </w:rPr>
      </w:pPr>
      <w:r w:rsidRPr="00EA0DC7">
        <w:rPr>
          <w:rFonts w:cs="Arial"/>
        </w:rPr>
        <w:tab/>
        <w:t xml:space="preserve">Following the vignettes, participants filled out two measures. The first was the 12-item version of the Intolerance of Uncertainty Scale (IUS; </w:t>
      </w:r>
      <w:r w:rsidRPr="00EA0DC7">
        <w:rPr>
          <w:rFonts w:cs="Arial"/>
        </w:rPr>
        <w:fldChar w:fldCharType="begin" w:fldLock="1"/>
      </w:r>
      <w:r w:rsidRPr="00EA0DC7">
        <w:rPr>
          <w:rFonts w:cs="Arial"/>
        </w:rPr>
        <w:instrText>ADDIN CSL_CITATION { "citationItems" : [ { "id" : "ITEM-1", "itemData" : { "author" : [ { "dropping-particle" : "", "family" : "Carleton", "given" : "R. N.", "non-dropping-particle" : "", "parse-names" : false, "suffix" : "" }, { "dropping-particle" : "", "family" : "Norton", "given" : "M. A.", "non-dropping-particle" : "", "parse-names" : false, "suffix" : "" }, { "dropping-particle" : "", "family" : "Asmundson", "given" : "G. J. G.", "non-dropping-particle" : "", "parse-names" : false, "suffix" : "" } ], "container-title" : "Journal of Anxiety Disorders", "id" : "ITEM-1", "issued" : { "date-parts" : [ [ "2007" ] ] }, "page" : "105-117", "title" : "Fearing the unknown: A short version of the Intolerance of Uncertainty Scale", "type" : "article-journal", "volume" : "21" }, "uris" : [ "http://www.mendeley.com/documents/?uuid=7f104865-9016-48c8-8575-fc62421400a3" ] } ], "mendeley" : { "formattedCitation" : "(Carleton, Norton, &amp; Asmundson, 2007)", "manualFormatting" : "Carleton, Norton, &amp; Asmundson, 2007)", "plainTextFormattedCitation" : "(Carleton, Norton, &amp; Asmundson, 2007)", "previouslyFormattedCitation" : "(Carleton, Norton, &amp; Asmundson, 2007)" }, "properties" : {  }, "schema" : "https://github.com/citation-style-language/schema/raw/master/csl-citation.json" }</w:instrText>
      </w:r>
      <w:r w:rsidRPr="00EA0DC7">
        <w:rPr>
          <w:rFonts w:cs="Arial"/>
        </w:rPr>
        <w:fldChar w:fldCharType="separate"/>
      </w:r>
      <w:r w:rsidRPr="00EA0DC7">
        <w:rPr>
          <w:rFonts w:cs="Arial"/>
          <w:noProof/>
        </w:rPr>
        <w:t>Carleton et al., 2007)</w:t>
      </w:r>
      <w:r w:rsidRPr="00EA0DC7">
        <w:rPr>
          <w:rFonts w:cs="Arial"/>
        </w:rPr>
        <w:fldChar w:fldCharType="end"/>
      </w:r>
      <w:r w:rsidRPr="00EA0DC7">
        <w:rPr>
          <w:rFonts w:cs="Arial"/>
        </w:rPr>
        <w:t xml:space="preserve">, and the second was the Rosenberg Self-Esteem Scale (RSE; </w:t>
      </w:r>
      <w:r w:rsidRPr="00EA0DC7">
        <w:rPr>
          <w:rFonts w:cs="Arial"/>
        </w:rPr>
        <w:fldChar w:fldCharType="begin" w:fldLock="1"/>
      </w:r>
      <w:r w:rsidRPr="00EA0DC7">
        <w:rPr>
          <w:rFonts w:cs="Arial"/>
        </w:rPr>
        <w:instrText>ADDIN CSL_CITATION { "citationItems" : [ { "id" : "ITEM-1", "itemData" : { "author" : [ { "dropping-particle" : "", "family" : "Rosenberg", "given" : "M.", "non-dropping-particle" : "", "parse-names" : false, "suffix" : "" } ], "id" : "ITEM-1", "issued" : { "date-parts" : [ [ "1965" ] ] }, "publisher" : "Princeton University Press", "publisher-place" : "Princeton, NJ", "title" : "Society and the adolescent self-image", "type" : "book" }, "uris" : [ "http://www.mendeley.com/documents/?uuid=91f1e3e7-29e8-4715-8243-e1bb75211548" ] } ], "mendeley" : { "formattedCitation" : "(Rosenberg, 1965)", "manualFormatting" : "Rosenberg, 1965)", "plainTextFormattedCitation" : "(Rosenberg, 1965)", "previouslyFormattedCitation" : "(Rosenberg, 1965)" }, "properties" : {  }, "schema" : "https://github.com/citation-style-language/schema/raw/master/csl-citation.json" }</w:instrText>
      </w:r>
      <w:r w:rsidRPr="00EA0DC7">
        <w:rPr>
          <w:rFonts w:cs="Arial"/>
        </w:rPr>
        <w:fldChar w:fldCharType="separate"/>
      </w:r>
      <w:r w:rsidRPr="00EA0DC7">
        <w:rPr>
          <w:rFonts w:cs="Arial"/>
          <w:noProof/>
        </w:rPr>
        <w:t>Rosenberg, 1965)</w:t>
      </w:r>
      <w:r w:rsidRPr="00EA0DC7">
        <w:rPr>
          <w:rFonts w:cs="Arial"/>
        </w:rPr>
        <w:fldChar w:fldCharType="end"/>
      </w:r>
      <w:r w:rsidRPr="00EA0DC7">
        <w:rPr>
          <w:rFonts w:cs="Arial"/>
        </w:rPr>
        <w:t xml:space="preserve">. </w:t>
      </w:r>
      <w:commentRangeStart w:id="171"/>
      <w:r w:rsidRPr="00EA0DC7">
        <w:rPr>
          <w:rFonts w:cs="Arial"/>
        </w:rPr>
        <w:t xml:space="preserve">For further details about these two measures, see </w:t>
      </w:r>
      <w:r w:rsidR="0093261C">
        <w:rPr>
          <w:rFonts w:cs="Arial"/>
        </w:rPr>
        <w:t>Section 4.3.4</w:t>
      </w:r>
      <w:r w:rsidRPr="00EA0DC7">
        <w:rPr>
          <w:rFonts w:cs="Arial"/>
        </w:rPr>
        <w:t>.</w:t>
      </w:r>
      <w:commentRangeEnd w:id="171"/>
      <w:r w:rsidR="001962F6">
        <w:rPr>
          <w:rStyle w:val="CommentReference"/>
          <w:rFonts w:eastAsiaTheme="minorHAnsi"/>
          <w:lang w:eastAsia="en-US"/>
        </w:rPr>
        <w:commentReference w:id="171"/>
      </w:r>
    </w:p>
    <w:p w14:paraId="6FB1693E" w14:textId="77777777" w:rsidR="0048758F" w:rsidRPr="00EA0DC7" w:rsidRDefault="0048758F" w:rsidP="0048758F">
      <w:pPr>
        <w:pStyle w:val="Heading3"/>
      </w:pPr>
      <w:r w:rsidRPr="00EA0DC7">
        <w:t>6.2.3 Ethics</w:t>
      </w:r>
    </w:p>
    <w:p w14:paraId="041F714E" w14:textId="7E5AD0B4" w:rsidR="0048758F" w:rsidRPr="00EA0DC7" w:rsidRDefault="0048758F" w:rsidP="0048758F">
      <w:pPr>
        <w:ind w:firstLine="720"/>
        <w:rPr>
          <w:rFonts w:cs="Arial"/>
        </w:rPr>
      </w:pPr>
      <w:r w:rsidRPr="00EA0DC7">
        <w:rPr>
          <w:rFonts w:cs="Arial"/>
        </w:rPr>
        <w:t xml:space="preserve">This research was approved by the University of Sheffield's Department of Psychology Research Ethics Committee (see Appendix </w:t>
      </w:r>
      <w:r w:rsidR="00C238B8" w:rsidRPr="00EA0DC7">
        <w:rPr>
          <w:rFonts w:cs="Arial"/>
        </w:rPr>
        <w:t>6A</w:t>
      </w:r>
      <w:r w:rsidRPr="00EA0DC7">
        <w:rPr>
          <w:rFonts w:cs="Arial"/>
        </w:rPr>
        <w:t>).</w:t>
      </w:r>
    </w:p>
    <w:p w14:paraId="454A6187" w14:textId="77777777" w:rsidR="0048758F" w:rsidRPr="00EA0DC7" w:rsidRDefault="0048758F" w:rsidP="0048758F">
      <w:pPr>
        <w:ind w:firstLine="720"/>
        <w:rPr>
          <w:rFonts w:cs="Arial"/>
        </w:rPr>
      </w:pPr>
    </w:p>
    <w:p w14:paraId="518C479E" w14:textId="77777777" w:rsidR="0048758F" w:rsidRPr="00EA0DC7" w:rsidRDefault="0048758F" w:rsidP="004C54F0">
      <w:pPr>
        <w:pStyle w:val="Heading2"/>
        <w:keepNext/>
      </w:pPr>
      <w:bookmarkStart w:id="172" w:name="_Toc47039854"/>
      <w:r w:rsidRPr="00EA0DC7">
        <w:lastRenderedPageBreak/>
        <w:t>6.3 Study 3a – Patient non-adherence and the role of supervisee gender and anxiety</w:t>
      </w:r>
      <w:bookmarkEnd w:id="172"/>
    </w:p>
    <w:p w14:paraId="0DA44E7F" w14:textId="77777777" w:rsidR="0048758F" w:rsidRPr="00EA0DC7" w:rsidRDefault="0048758F" w:rsidP="0048758F">
      <w:pPr>
        <w:pStyle w:val="Heading2"/>
      </w:pPr>
      <w:bookmarkStart w:id="173" w:name="_Toc47039855"/>
      <w:r w:rsidRPr="00EA0DC7">
        <w:t>6.3.1 Background and aims</w:t>
      </w:r>
      <w:bookmarkEnd w:id="173"/>
    </w:p>
    <w:p w14:paraId="7364064C" w14:textId="77777777" w:rsidR="0048758F" w:rsidRPr="00EA0DC7" w:rsidRDefault="0048758F" w:rsidP="0048758F">
      <w:r w:rsidRPr="00EA0DC7">
        <w:tab/>
        <w:t xml:space="preserve">Supervisors have been found to treat their male and female supervisees differently, depending on the supervisee’s level of anxiety (see Chapter 5). Supervisors focus their calmer female supervisees more on therapeutic techniques, relative to state anxious female supervisees. In contrast, male supervisees are supervised in the same way regardless of their anxiety. In addition, supervisors’ own characteristics have been found to affect their recommendations in supervision. For example, supervisors who focus supervisees on case management issues are more likely to be anxious, whereas those who focus on both alliance and technique tend to have higher self-esteem (see Chapter 4). </w:t>
      </w:r>
    </w:p>
    <w:p w14:paraId="5F52793C" w14:textId="77777777" w:rsidR="0048758F" w:rsidRPr="00EA0DC7" w:rsidRDefault="0048758F" w:rsidP="0048758F">
      <w:pPr>
        <w:ind w:firstLine="720"/>
      </w:pPr>
      <w:r w:rsidRPr="00EA0DC7">
        <w:t xml:space="preserve">The current study will investigate the recommendations that supervisors give to their supervisees when the patient is not adhering to the treatment methods for depression, as previously agreed upon by the supervisor and supervisee. It will consider whether such recommendations differ depending on the personal characteristics of the supervisee and supervisor. </w:t>
      </w:r>
    </w:p>
    <w:p w14:paraId="7A01D4BA" w14:textId="373F9F63" w:rsidR="0048758F" w:rsidRPr="00EA0DC7" w:rsidRDefault="0048758F" w:rsidP="0048758F">
      <w:pPr>
        <w:ind w:firstLine="720"/>
      </w:pPr>
      <w:r w:rsidRPr="00EA0DC7">
        <w:t>The first aim is to explore how the gender and anxiety of supervisees impact on advice given by the supervisors. The following hypotheses are</w:t>
      </w:r>
      <w:r w:rsidR="003F64B9" w:rsidRPr="00EA0DC7">
        <w:t xml:space="preserve"> proposed</w:t>
      </w:r>
      <w:r w:rsidRPr="00EA0DC7">
        <w:t xml:space="preserve">: </w:t>
      </w:r>
    </w:p>
    <w:p w14:paraId="334ACCEC" w14:textId="77777777" w:rsidR="0048758F" w:rsidRPr="00EA0DC7" w:rsidRDefault="0048758F" w:rsidP="0048758F">
      <w:pPr>
        <w:pStyle w:val="ListParagraph"/>
        <w:numPr>
          <w:ilvl w:val="0"/>
          <w:numId w:val="36"/>
        </w:numPr>
        <w:spacing w:after="200" w:line="480" w:lineRule="auto"/>
        <w:ind w:left="567"/>
      </w:pPr>
      <w:r w:rsidRPr="00EA0DC7">
        <w:lastRenderedPageBreak/>
        <w:t xml:space="preserve">supervisors will direct their female supervisees in different ways according to the supervisee’s anxiety. Calm female supervisees will be directed back to the originally suggested course of action (behavioural activation), whereas anxious female supervisees will not. </w:t>
      </w:r>
    </w:p>
    <w:p w14:paraId="57A43C32" w14:textId="77777777" w:rsidR="0048758F" w:rsidRPr="00EA0DC7" w:rsidRDefault="0048758F" w:rsidP="0048758F">
      <w:pPr>
        <w:pStyle w:val="ListParagraph"/>
        <w:numPr>
          <w:ilvl w:val="0"/>
          <w:numId w:val="36"/>
        </w:numPr>
        <w:spacing w:after="200" w:line="480" w:lineRule="auto"/>
        <w:ind w:left="567"/>
      </w:pPr>
      <w:r w:rsidRPr="00EA0DC7">
        <w:t xml:space="preserve">male supervisees will be given the same directions by the supervisors, regardless of their anxiety. </w:t>
      </w:r>
    </w:p>
    <w:p w14:paraId="52A6286C" w14:textId="77777777" w:rsidR="0048758F" w:rsidRPr="00EA0DC7" w:rsidRDefault="0048758F" w:rsidP="0048758F">
      <w:pPr>
        <w:ind w:firstLine="720"/>
      </w:pPr>
      <w:r w:rsidRPr="00EA0DC7">
        <w:t>The second aim of this study is to investigate whether patterns of supervisor focus fall into natural groupings, and whether such groups are validated by the supervisors’ own characteristics. Two hypotheses are proposed:</w:t>
      </w:r>
    </w:p>
    <w:p w14:paraId="4B69A468" w14:textId="77777777" w:rsidR="0048758F" w:rsidRPr="00EA0DC7" w:rsidRDefault="0048758F" w:rsidP="0048758F">
      <w:pPr>
        <w:pStyle w:val="ListParagraph"/>
        <w:numPr>
          <w:ilvl w:val="0"/>
          <w:numId w:val="36"/>
        </w:numPr>
        <w:spacing w:after="200" w:line="480" w:lineRule="auto"/>
        <w:ind w:left="567"/>
      </w:pPr>
      <w:r w:rsidRPr="00EA0DC7">
        <w:t>anxious supervisors will not encourage the supervisee to return to the therapeutic techniques</w:t>
      </w:r>
    </w:p>
    <w:p w14:paraId="2ED4F636" w14:textId="77777777" w:rsidR="0048758F" w:rsidRPr="00EA0DC7" w:rsidRDefault="0048758F" w:rsidP="0048758F">
      <w:pPr>
        <w:pStyle w:val="ListParagraph"/>
        <w:numPr>
          <w:ilvl w:val="0"/>
          <w:numId w:val="36"/>
        </w:numPr>
        <w:spacing w:after="200" w:line="480" w:lineRule="auto"/>
        <w:ind w:left="567"/>
      </w:pPr>
      <w:r w:rsidRPr="00EA0DC7">
        <w:t>supervisors with higher self-esteem will encourage supervisees to return to therapeutic techniques.</w:t>
      </w:r>
    </w:p>
    <w:p w14:paraId="3AF63395" w14:textId="77777777" w:rsidR="0048758F" w:rsidRPr="00EA0DC7" w:rsidRDefault="0048758F" w:rsidP="0048758F">
      <w:pPr>
        <w:pStyle w:val="ListParagraph"/>
        <w:ind w:left="567"/>
      </w:pPr>
    </w:p>
    <w:p w14:paraId="1225BD4A" w14:textId="086B1CF6" w:rsidR="0048758F" w:rsidRDefault="0048758F" w:rsidP="0048758F">
      <w:pPr>
        <w:pStyle w:val="Heading2"/>
      </w:pPr>
      <w:bookmarkStart w:id="174" w:name="_Toc47039856"/>
      <w:r w:rsidRPr="00EA0DC7">
        <w:t>6.3.2 Method</w:t>
      </w:r>
      <w:bookmarkEnd w:id="174"/>
    </w:p>
    <w:p w14:paraId="1042ABEA" w14:textId="7F1E846E" w:rsidR="007B7750" w:rsidRPr="007B7750" w:rsidRDefault="007B7750" w:rsidP="00856806">
      <w:r>
        <w:tab/>
      </w:r>
      <w:commentRangeStart w:id="175"/>
      <w:r>
        <w:t xml:space="preserve">Please refer back to </w:t>
      </w:r>
      <w:r w:rsidR="00856806">
        <w:t>S</w:t>
      </w:r>
      <w:r>
        <w:t>ection 6.2 or further detail on participants, measures and procedures, and ethics.</w:t>
      </w:r>
      <w:commentRangeEnd w:id="175"/>
      <w:r w:rsidR="001962F6">
        <w:rPr>
          <w:rStyle w:val="CommentReference"/>
          <w:rFonts w:eastAsiaTheme="minorHAnsi"/>
          <w:lang w:eastAsia="en-US"/>
        </w:rPr>
        <w:commentReference w:id="175"/>
      </w:r>
    </w:p>
    <w:p w14:paraId="4CDB7169" w14:textId="77777777" w:rsidR="0048758F" w:rsidRPr="00EA0DC7" w:rsidRDefault="0048758F" w:rsidP="0048758F">
      <w:pPr>
        <w:pStyle w:val="Heading3"/>
      </w:pPr>
      <w:r w:rsidRPr="00EA0DC7">
        <w:t>6.3.2.1 Design</w:t>
      </w:r>
    </w:p>
    <w:p w14:paraId="199AA575" w14:textId="0320D8D7" w:rsidR="0048758F" w:rsidRPr="00EA0DC7" w:rsidRDefault="0048758F" w:rsidP="0048758F">
      <w:pPr>
        <w:rPr>
          <w:rFonts w:cs="Arial"/>
        </w:rPr>
      </w:pPr>
      <w:r w:rsidRPr="00EA0DC7">
        <w:rPr>
          <w:rFonts w:cs="Arial"/>
          <w:b/>
        </w:rPr>
        <w:tab/>
      </w:r>
      <w:r w:rsidRPr="00EA0DC7">
        <w:rPr>
          <w:rFonts w:cs="Arial"/>
        </w:rPr>
        <w:t xml:space="preserve">This was a between-subject, survey-based, experimental design. The independent variables were the level of supervisee anxiety (state anxious/trait anxious/calm) and the supervisee gender </w:t>
      </w:r>
      <w:r w:rsidR="00955F61">
        <w:rPr>
          <w:rFonts w:cs="Arial"/>
        </w:rPr>
        <w:t>as outlined in</w:t>
      </w:r>
      <w:r w:rsidRPr="00EA0DC7">
        <w:rPr>
          <w:rFonts w:cs="Arial"/>
        </w:rPr>
        <w:t xml:space="preserve"> the vignettes. </w:t>
      </w:r>
      <w:r w:rsidR="00C238B8" w:rsidRPr="00EA0DC7">
        <w:rPr>
          <w:rFonts w:cs="Arial"/>
        </w:rPr>
        <w:lastRenderedPageBreak/>
        <w:t>Appendix 6</w:t>
      </w:r>
      <w:r w:rsidR="00916EEA">
        <w:rPr>
          <w:rFonts w:cs="Arial"/>
        </w:rPr>
        <w:t>C</w:t>
      </w:r>
      <w:r w:rsidRPr="00EA0DC7">
        <w:rPr>
          <w:rFonts w:cs="Arial"/>
        </w:rPr>
        <w:t xml:space="preserve"> contains the full vignettes. The dependent variable was the supervisor reaction (the guidance that they would give to the supervisees).</w:t>
      </w:r>
    </w:p>
    <w:p w14:paraId="5CCA4AF3" w14:textId="77777777" w:rsidR="0048758F" w:rsidRPr="00EA0DC7" w:rsidRDefault="0048758F" w:rsidP="0048758F">
      <w:pPr>
        <w:pStyle w:val="Heading3"/>
      </w:pPr>
      <w:r w:rsidRPr="00EA0DC7">
        <w:t>6.3.2.2 Data analysis</w:t>
      </w:r>
    </w:p>
    <w:p w14:paraId="57AA3720" w14:textId="56CB4C23" w:rsidR="0048758F" w:rsidRPr="00EA0DC7" w:rsidRDefault="0048758F" w:rsidP="0048758F">
      <w:pPr>
        <w:rPr>
          <w:rFonts w:cs="Arial"/>
        </w:rPr>
      </w:pPr>
      <w:r w:rsidRPr="00EA0DC7">
        <w:rPr>
          <w:rFonts w:cs="Arial"/>
          <w:b/>
        </w:rPr>
        <w:tab/>
      </w:r>
      <w:r w:rsidRPr="00EA0DC7">
        <w:rPr>
          <w:rFonts w:cs="Arial"/>
        </w:rPr>
        <w:t xml:space="preserve">To assess the overall pattern of focus in supervision, a repeated-measures ANOVA was carried out. Addressing the first aim, a two-way ANOVA was used to assess encouragement to return to behavioural activation, and a MANOVA was used to assess general supervision focus given </w:t>
      </w:r>
      <w:r w:rsidR="00BA6ECC">
        <w:rPr>
          <w:rFonts w:cs="Arial"/>
        </w:rPr>
        <w:t xml:space="preserve">to </w:t>
      </w:r>
      <w:r w:rsidRPr="00EA0DC7">
        <w:rPr>
          <w:rFonts w:cs="Arial"/>
        </w:rPr>
        <w:t>different supervisees. To address the second aim, a two-step cluster analysis was carried out to identify supervisor ‘types’. These clusters were then validated against other measures using chi-squared tests and one-way ANOVAs.</w:t>
      </w:r>
    </w:p>
    <w:p w14:paraId="3811A137" w14:textId="77777777" w:rsidR="0048758F" w:rsidRPr="00EA0DC7" w:rsidRDefault="0048758F" w:rsidP="0048758F">
      <w:pPr>
        <w:pStyle w:val="Heading2"/>
      </w:pPr>
      <w:bookmarkStart w:id="176" w:name="_Toc47039857"/>
      <w:r w:rsidRPr="00EA0DC7">
        <w:t>6.3.3 Results</w:t>
      </w:r>
      <w:bookmarkEnd w:id="176"/>
    </w:p>
    <w:p w14:paraId="1762859D" w14:textId="77777777" w:rsidR="0048758F" w:rsidRPr="00EA0DC7" w:rsidRDefault="0048758F" w:rsidP="0048758F">
      <w:pPr>
        <w:pStyle w:val="Heading3"/>
      </w:pPr>
      <w:r w:rsidRPr="00EA0DC7">
        <w:t>6.3.3.1 Overall focus in supervision</w:t>
      </w:r>
    </w:p>
    <w:p w14:paraId="39AC8837" w14:textId="77777777" w:rsidR="0048758F" w:rsidRPr="00EA0DC7" w:rsidRDefault="0048758F" w:rsidP="0048758F">
      <w:pPr>
        <w:rPr>
          <w:rFonts w:cs="Arial"/>
        </w:rPr>
      </w:pPr>
      <w:r w:rsidRPr="00EA0DC7">
        <w:tab/>
        <w:t>Totals for focus on case management, alliance and technique were calculated by taking the overall mean of the aspects in each category. There was a significant difference in the supervisors’ overall focus on case management, alliance, and technique, regardless of the type of clinician (</w:t>
      </w:r>
      <w:r w:rsidRPr="00EA0DC7">
        <w:rPr>
          <w:i/>
        </w:rPr>
        <w:t>F</w:t>
      </w:r>
      <w:r w:rsidRPr="00EA0DC7">
        <w:t xml:space="preserve">(2,104) = 61.89, </w:t>
      </w:r>
      <w:r w:rsidRPr="00EA0DC7">
        <w:rPr>
          <w:i/>
        </w:rPr>
        <w:t>p</w:t>
      </w:r>
      <w:r w:rsidRPr="00EA0DC7">
        <w:t xml:space="preserve"> &lt; .001). Supervisors focused </w:t>
      </w:r>
      <w:r w:rsidRPr="00EA0DC7">
        <w:rPr>
          <w:rFonts w:cs="Arial"/>
        </w:rPr>
        <w:t>most on the alliance (</w:t>
      </w:r>
      <w:r w:rsidRPr="00EA0DC7">
        <w:rPr>
          <w:rFonts w:cs="Arial"/>
          <w:i/>
        </w:rPr>
        <w:t xml:space="preserve">M </w:t>
      </w:r>
      <w:r w:rsidRPr="00EA0DC7">
        <w:rPr>
          <w:rFonts w:cs="Arial"/>
        </w:rPr>
        <w:t xml:space="preserve">= 51.89, </w:t>
      </w:r>
      <w:r w:rsidRPr="00EA0DC7">
        <w:rPr>
          <w:rFonts w:cs="Arial"/>
          <w:i/>
        </w:rPr>
        <w:t>SD</w:t>
      </w:r>
      <w:r w:rsidRPr="00EA0DC7">
        <w:rPr>
          <w:rFonts w:cs="Arial"/>
        </w:rPr>
        <w:t xml:space="preserve"> = 20.58), then case management (</w:t>
      </w:r>
      <w:r w:rsidRPr="00EA0DC7">
        <w:rPr>
          <w:rFonts w:cs="Arial"/>
          <w:i/>
        </w:rPr>
        <w:t xml:space="preserve">M </w:t>
      </w:r>
      <w:r w:rsidRPr="00EA0DC7">
        <w:rPr>
          <w:rFonts w:cs="Arial"/>
        </w:rPr>
        <w:t xml:space="preserve">= 43.43, </w:t>
      </w:r>
      <w:r w:rsidRPr="00EA0DC7">
        <w:rPr>
          <w:rFonts w:cs="Arial"/>
          <w:i/>
        </w:rPr>
        <w:t>SD</w:t>
      </w:r>
      <w:r w:rsidRPr="00EA0DC7">
        <w:rPr>
          <w:rFonts w:cs="Arial"/>
        </w:rPr>
        <w:t xml:space="preserve"> = 20.56), and least on technique (</w:t>
      </w:r>
      <w:r w:rsidRPr="00EA0DC7">
        <w:rPr>
          <w:rFonts w:cs="Arial"/>
          <w:i/>
        </w:rPr>
        <w:t xml:space="preserve">M </w:t>
      </w:r>
      <w:r w:rsidRPr="00EA0DC7">
        <w:rPr>
          <w:rFonts w:cs="Arial"/>
        </w:rPr>
        <w:t xml:space="preserve">= 29.64, </w:t>
      </w:r>
      <w:r w:rsidRPr="00EA0DC7">
        <w:rPr>
          <w:rFonts w:cs="Arial"/>
          <w:i/>
        </w:rPr>
        <w:t>SD</w:t>
      </w:r>
      <w:r w:rsidRPr="00EA0DC7">
        <w:rPr>
          <w:rFonts w:cs="Arial"/>
        </w:rPr>
        <w:t xml:space="preserve"> = 16.49).</w:t>
      </w:r>
    </w:p>
    <w:p w14:paraId="2AF277F4" w14:textId="77777777" w:rsidR="0048758F" w:rsidRPr="00EA0DC7" w:rsidRDefault="0048758F" w:rsidP="0048758F">
      <w:pPr>
        <w:ind w:firstLine="720"/>
        <w:rPr>
          <w:rFonts w:cs="Arial"/>
        </w:rPr>
      </w:pPr>
      <w:r w:rsidRPr="00EA0DC7">
        <w:rPr>
          <w:rFonts w:cs="Arial"/>
        </w:rPr>
        <w:t>Supervisors focused more on returning to behavioural activation (</w:t>
      </w:r>
      <w:r w:rsidRPr="00EA0DC7">
        <w:rPr>
          <w:rFonts w:cs="Arial"/>
          <w:i/>
        </w:rPr>
        <w:t>M</w:t>
      </w:r>
      <w:r w:rsidRPr="00EA0DC7">
        <w:rPr>
          <w:rFonts w:cs="Arial"/>
        </w:rPr>
        <w:t xml:space="preserve"> = 46.98, </w:t>
      </w:r>
      <w:r w:rsidRPr="00EA0DC7">
        <w:rPr>
          <w:rFonts w:cs="Arial"/>
          <w:i/>
        </w:rPr>
        <w:t>SD</w:t>
      </w:r>
      <w:r w:rsidRPr="00EA0DC7">
        <w:rPr>
          <w:rFonts w:cs="Arial"/>
        </w:rPr>
        <w:t xml:space="preserve"> = 28.26) than therapeutic techniques in general (</w:t>
      </w:r>
      <w:r w:rsidRPr="00EA0DC7">
        <w:rPr>
          <w:rFonts w:cs="Arial"/>
          <w:i/>
        </w:rPr>
        <w:t>t</w:t>
      </w:r>
      <w:r w:rsidRPr="00EA0DC7">
        <w:rPr>
          <w:rFonts w:cs="Arial"/>
        </w:rPr>
        <w:t xml:space="preserve">(52) = 4.90, </w:t>
      </w:r>
      <w:r w:rsidRPr="00EA0DC7">
        <w:rPr>
          <w:rFonts w:cs="Arial"/>
          <w:i/>
        </w:rPr>
        <w:t>p</w:t>
      </w:r>
      <w:r w:rsidRPr="00EA0DC7">
        <w:rPr>
          <w:rFonts w:cs="Arial"/>
        </w:rPr>
        <w:t xml:space="preserve"> &lt; .001). However, there was no difference between behavioural activation focus </w:t>
      </w:r>
      <w:r w:rsidRPr="00EA0DC7">
        <w:rPr>
          <w:rFonts w:cs="Arial"/>
        </w:rPr>
        <w:lastRenderedPageBreak/>
        <w:t>and either alliance focus (</w:t>
      </w:r>
      <w:r w:rsidRPr="00EA0DC7">
        <w:rPr>
          <w:rFonts w:cs="Arial"/>
          <w:i/>
        </w:rPr>
        <w:t>t</w:t>
      </w:r>
      <w:r w:rsidRPr="00EA0DC7">
        <w:rPr>
          <w:rFonts w:cs="Arial"/>
        </w:rPr>
        <w:t xml:space="preserve">(52) = 1.40, </w:t>
      </w:r>
      <w:r w:rsidRPr="00EA0DC7">
        <w:rPr>
          <w:rFonts w:cs="Arial"/>
          <w:i/>
        </w:rPr>
        <w:t>p</w:t>
      </w:r>
      <w:r w:rsidRPr="00EA0DC7">
        <w:rPr>
          <w:rFonts w:cs="Arial"/>
        </w:rPr>
        <w:t xml:space="preserve"> = .169) or case management focus (</w:t>
      </w:r>
      <w:r w:rsidRPr="00EA0DC7">
        <w:rPr>
          <w:rFonts w:cs="Arial"/>
          <w:i/>
        </w:rPr>
        <w:t>t</w:t>
      </w:r>
      <w:r w:rsidRPr="00EA0DC7">
        <w:rPr>
          <w:rFonts w:cs="Arial"/>
        </w:rPr>
        <w:t xml:space="preserve">(52) = 1.18, </w:t>
      </w:r>
      <w:r w:rsidRPr="00EA0DC7">
        <w:rPr>
          <w:rFonts w:cs="Arial"/>
          <w:i/>
        </w:rPr>
        <w:t>p</w:t>
      </w:r>
      <w:r w:rsidRPr="00EA0DC7">
        <w:rPr>
          <w:rFonts w:cs="Arial"/>
        </w:rPr>
        <w:t xml:space="preserve"> = .243).</w:t>
      </w:r>
    </w:p>
    <w:p w14:paraId="32F09A8B" w14:textId="77777777" w:rsidR="0048758F" w:rsidRPr="00EA0DC7" w:rsidRDefault="0048758F" w:rsidP="0048758F">
      <w:pPr>
        <w:pStyle w:val="Heading3"/>
      </w:pPr>
      <w:r w:rsidRPr="00EA0DC7">
        <w:t>6.3.3.2 Supervisor focus on returning to behavioural activation given different supervisees</w:t>
      </w:r>
    </w:p>
    <w:p w14:paraId="5365843C" w14:textId="77777777" w:rsidR="0048758F" w:rsidRPr="00EA0DC7" w:rsidRDefault="0048758F" w:rsidP="0048758F">
      <w:r w:rsidRPr="00EA0DC7">
        <w:tab/>
        <w:t>There was no main effect of supervisee gender (</w:t>
      </w:r>
      <w:r w:rsidRPr="00EA0DC7">
        <w:rPr>
          <w:rFonts w:cs="Arial"/>
          <w:i/>
        </w:rPr>
        <w:t>F</w:t>
      </w:r>
      <w:r w:rsidRPr="00EA0DC7">
        <w:rPr>
          <w:rFonts w:cs="Arial"/>
        </w:rPr>
        <w:t xml:space="preserve">(1, 47) = 1.063, </w:t>
      </w:r>
      <w:r w:rsidRPr="00EA0DC7">
        <w:rPr>
          <w:rFonts w:cs="Arial"/>
          <w:i/>
        </w:rPr>
        <w:t>p</w:t>
      </w:r>
      <w:r w:rsidRPr="00EA0DC7">
        <w:rPr>
          <w:rFonts w:cs="Arial"/>
        </w:rPr>
        <w:t xml:space="preserve"> = .308)</w:t>
      </w:r>
      <w:r w:rsidRPr="00EA0DC7">
        <w:rPr>
          <w:rFonts w:cs="Arial"/>
          <w:b/>
        </w:rPr>
        <w:t xml:space="preserve"> </w:t>
      </w:r>
      <w:r w:rsidRPr="00EA0DC7">
        <w:t>or anxiety (</w:t>
      </w:r>
      <w:r w:rsidRPr="00EA0DC7">
        <w:rPr>
          <w:rFonts w:cs="Arial"/>
          <w:i/>
        </w:rPr>
        <w:t>F</w:t>
      </w:r>
      <w:r w:rsidRPr="00EA0DC7">
        <w:rPr>
          <w:rFonts w:cs="Arial"/>
        </w:rPr>
        <w:t xml:space="preserve">(2, 47) = 1.790, </w:t>
      </w:r>
      <w:r w:rsidRPr="00EA0DC7">
        <w:rPr>
          <w:rFonts w:cs="Arial"/>
          <w:i/>
        </w:rPr>
        <w:t>p</w:t>
      </w:r>
      <w:r w:rsidRPr="00EA0DC7">
        <w:rPr>
          <w:rFonts w:cs="Arial"/>
        </w:rPr>
        <w:t xml:space="preserve"> = .178)</w:t>
      </w:r>
      <w:r w:rsidRPr="00EA0DC7">
        <w:t xml:space="preserve"> on whether supervisors suggested returning to behavioural activation. However, further analysis revealed that supervisors focused more on the return to behavioural activation with state anxious females than with trait anxious females, </w:t>
      </w:r>
      <w:r w:rsidRPr="00EA0DC7">
        <w:rPr>
          <w:i/>
        </w:rPr>
        <w:t>t</w:t>
      </w:r>
      <w:r w:rsidRPr="00EA0DC7">
        <w:t xml:space="preserve">(12.88) = 2.62, </w:t>
      </w:r>
      <w:r w:rsidRPr="00EA0DC7">
        <w:rPr>
          <w:i/>
        </w:rPr>
        <w:t>p</w:t>
      </w:r>
      <w:r w:rsidRPr="00EA0DC7">
        <w:t xml:space="preserve"> = .021 (see Table 6.1).</w:t>
      </w:r>
    </w:p>
    <w:p w14:paraId="788EE568" w14:textId="77777777" w:rsidR="0048758F" w:rsidRPr="00EA0DC7" w:rsidRDefault="0048758F" w:rsidP="0048758F">
      <w:pPr>
        <w:rPr>
          <w:rFonts w:cs="Arial"/>
        </w:rPr>
      </w:pPr>
      <w:r w:rsidRPr="00EA0DC7">
        <w:tab/>
        <w:t xml:space="preserve">The interaction effect was not significant </w:t>
      </w:r>
      <w:r w:rsidRPr="00EA0DC7">
        <w:rPr>
          <w:rFonts w:cs="Arial"/>
          <w:i/>
        </w:rPr>
        <w:t>F</w:t>
      </w:r>
      <w:r w:rsidRPr="00EA0DC7">
        <w:rPr>
          <w:rFonts w:cs="Arial"/>
        </w:rPr>
        <w:t xml:space="preserve">(2,47) = 3.128, </w:t>
      </w:r>
      <w:r w:rsidRPr="00EA0DC7">
        <w:rPr>
          <w:rFonts w:cs="Arial"/>
          <w:i/>
        </w:rPr>
        <w:t>p</w:t>
      </w:r>
      <w:r w:rsidRPr="00EA0DC7">
        <w:rPr>
          <w:rFonts w:cs="Arial"/>
        </w:rPr>
        <w:t xml:space="preserve"> = 0.053. However, further analysis revealed some gender-specific results regarding the focus on behavioural activation for trait anxious females. Supervisors focused less on the return to behavioural activation with trait anxious females than with trait anxious males,</w:t>
      </w:r>
      <w:r w:rsidRPr="00EA0DC7">
        <w:rPr>
          <w:rFonts w:cs="Arial"/>
          <w:i/>
        </w:rPr>
        <w:t xml:space="preserve"> t</w:t>
      </w:r>
      <w:r w:rsidRPr="00EA0DC7">
        <w:rPr>
          <w:rFonts w:cs="Arial"/>
        </w:rPr>
        <w:t xml:space="preserve">(14) = 2.564, </w:t>
      </w:r>
      <w:r w:rsidRPr="00EA0DC7">
        <w:rPr>
          <w:rFonts w:cs="Arial"/>
          <w:i/>
        </w:rPr>
        <w:t>p</w:t>
      </w:r>
      <w:r w:rsidRPr="00EA0DC7">
        <w:rPr>
          <w:rFonts w:cs="Arial"/>
        </w:rPr>
        <w:t xml:space="preserve"> = .022. Although it did not reach significance, there also appears to be a trend for supervisors to focus trait anxious females less on behavioural activation than state anxious males (</w:t>
      </w:r>
      <w:r w:rsidRPr="00EA0DC7">
        <w:rPr>
          <w:rFonts w:cs="Arial"/>
          <w:i/>
        </w:rPr>
        <w:t>t</w:t>
      </w:r>
      <w:r w:rsidRPr="00EA0DC7">
        <w:rPr>
          <w:rFonts w:cs="Arial"/>
        </w:rPr>
        <w:t xml:space="preserve">(16) = 2.115, </w:t>
      </w:r>
      <w:r w:rsidRPr="00EA0DC7">
        <w:rPr>
          <w:rFonts w:cs="Arial"/>
          <w:i/>
        </w:rPr>
        <w:t xml:space="preserve">p </w:t>
      </w:r>
      <w:r w:rsidRPr="00EA0DC7">
        <w:rPr>
          <w:rFonts w:cs="Arial"/>
        </w:rPr>
        <w:t>= .051), and calm males (</w:t>
      </w:r>
      <w:r w:rsidRPr="00EA0DC7">
        <w:rPr>
          <w:rFonts w:cs="Arial"/>
          <w:i/>
        </w:rPr>
        <w:t>t</w:t>
      </w:r>
      <w:r w:rsidRPr="00EA0DC7">
        <w:rPr>
          <w:rFonts w:cs="Arial"/>
        </w:rPr>
        <w:t xml:space="preserve">(16) = 2.108, </w:t>
      </w:r>
      <w:r w:rsidRPr="00EA0DC7">
        <w:rPr>
          <w:rFonts w:cs="Arial"/>
          <w:i/>
        </w:rPr>
        <w:t>p</w:t>
      </w:r>
      <w:r w:rsidRPr="00EA0DC7">
        <w:rPr>
          <w:rFonts w:cs="Arial"/>
        </w:rPr>
        <w:t xml:space="preserve"> = .051). These differences are shown in Table 6.1.</w:t>
      </w:r>
    </w:p>
    <w:p w14:paraId="1D03D167" w14:textId="77777777" w:rsidR="0048758F" w:rsidRPr="00EA0DC7" w:rsidRDefault="0048758F" w:rsidP="0048758F">
      <w:pPr>
        <w:jc w:val="center"/>
        <w:sectPr w:rsidR="0048758F" w:rsidRPr="00EA0DC7" w:rsidSect="00D3309A">
          <w:footerReference w:type="default" r:id="rId27"/>
          <w:pgSz w:w="11906" w:h="16838"/>
          <w:pgMar w:top="1440" w:right="1440" w:bottom="1440" w:left="2268" w:header="709" w:footer="709" w:gutter="0"/>
          <w:cols w:space="708"/>
          <w:docGrid w:linePitch="360"/>
        </w:sectPr>
      </w:pPr>
      <w:r w:rsidRPr="00EA0DC7">
        <w:rPr>
          <w:noProof/>
        </w:rPr>
        <w:t xml:space="preserve"> </w:t>
      </w:r>
    </w:p>
    <w:tbl>
      <w:tblPr>
        <w:tblStyle w:val="PlainTable22"/>
        <w:tblpPr w:leftFromText="180" w:rightFromText="180" w:vertAnchor="page" w:horzAnchor="margin" w:tblpY="1951"/>
        <w:tblW w:w="13608" w:type="dxa"/>
        <w:tblBorders>
          <w:top w:val="none" w:sz="0" w:space="0" w:color="auto"/>
          <w:bottom w:val="none" w:sz="0" w:space="0" w:color="auto"/>
        </w:tblBorders>
        <w:tblLayout w:type="fixed"/>
        <w:tblLook w:val="04A0" w:firstRow="1" w:lastRow="0" w:firstColumn="1" w:lastColumn="0" w:noHBand="0" w:noVBand="1"/>
      </w:tblPr>
      <w:tblGrid>
        <w:gridCol w:w="2690"/>
        <w:gridCol w:w="1699"/>
        <w:gridCol w:w="850"/>
        <w:gridCol w:w="709"/>
        <w:gridCol w:w="283"/>
        <w:gridCol w:w="851"/>
        <w:gridCol w:w="709"/>
        <w:gridCol w:w="284"/>
        <w:gridCol w:w="850"/>
        <w:gridCol w:w="853"/>
        <w:gridCol w:w="283"/>
        <w:gridCol w:w="851"/>
        <w:gridCol w:w="854"/>
        <w:gridCol w:w="236"/>
        <w:gridCol w:w="898"/>
        <w:gridCol w:w="708"/>
      </w:tblGrid>
      <w:tr w:rsidR="0048758F" w:rsidRPr="00EA0DC7" w14:paraId="7AD03926" w14:textId="77777777" w:rsidTr="003447C9">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389" w:type="dxa"/>
            <w:gridSpan w:val="2"/>
            <w:tcBorders>
              <w:top w:val="single" w:sz="4" w:space="0" w:color="auto"/>
              <w:bottom w:val="single" w:sz="4" w:space="0" w:color="auto"/>
            </w:tcBorders>
          </w:tcPr>
          <w:p w14:paraId="36851165" w14:textId="77777777" w:rsidR="0048758F" w:rsidRPr="00EA0DC7" w:rsidRDefault="0048758F" w:rsidP="002769DE">
            <w:pPr>
              <w:jc w:val="center"/>
              <w:rPr>
                <w:szCs w:val="24"/>
              </w:rPr>
            </w:pPr>
            <w:r w:rsidRPr="00EA0DC7">
              <w:rPr>
                <w:szCs w:val="24"/>
              </w:rPr>
              <w:lastRenderedPageBreak/>
              <w:t>Vignette type</w:t>
            </w:r>
          </w:p>
          <w:p w14:paraId="29F91347" w14:textId="77777777" w:rsidR="0048758F" w:rsidRPr="00EA0DC7" w:rsidRDefault="0048758F" w:rsidP="002769DE">
            <w:pPr>
              <w:jc w:val="center"/>
              <w:rPr>
                <w:szCs w:val="24"/>
              </w:rPr>
            </w:pPr>
          </w:p>
        </w:tc>
        <w:tc>
          <w:tcPr>
            <w:tcW w:w="1559" w:type="dxa"/>
            <w:gridSpan w:val="2"/>
            <w:tcBorders>
              <w:top w:val="single" w:sz="4" w:space="0" w:color="auto"/>
              <w:bottom w:val="single" w:sz="4" w:space="0" w:color="auto"/>
            </w:tcBorders>
          </w:tcPr>
          <w:p w14:paraId="53655E7D"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r w:rsidRPr="00EA0DC7">
              <w:rPr>
                <w:szCs w:val="24"/>
              </w:rPr>
              <w:t>Male trait anxious</w:t>
            </w:r>
          </w:p>
        </w:tc>
        <w:tc>
          <w:tcPr>
            <w:tcW w:w="283" w:type="dxa"/>
            <w:tcBorders>
              <w:top w:val="single" w:sz="4" w:space="0" w:color="auto"/>
              <w:bottom w:val="single" w:sz="4" w:space="0" w:color="auto"/>
            </w:tcBorders>
          </w:tcPr>
          <w:p w14:paraId="72E6B720"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p>
        </w:tc>
        <w:tc>
          <w:tcPr>
            <w:tcW w:w="1560" w:type="dxa"/>
            <w:gridSpan w:val="2"/>
            <w:tcBorders>
              <w:top w:val="single" w:sz="4" w:space="0" w:color="auto"/>
              <w:bottom w:val="single" w:sz="4" w:space="0" w:color="auto"/>
            </w:tcBorders>
          </w:tcPr>
          <w:p w14:paraId="180C3F0A"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r w:rsidRPr="00EA0DC7">
              <w:rPr>
                <w:szCs w:val="24"/>
              </w:rPr>
              <w:t>Male calm</w:t>
            </w:r>
          </w:p>
        </w:tc>
        <w:tc>
          <w:tcPr>
            <w:tcW w:w="284" w:type="dxa"/>
            <w:tcBorders>
              <w:top w:val="single" w:sz="4" w:space="0" w:color="auto"/>
              <w:bottom w:val="single" w:sz="4" w:space="0" w:color="auto"/>
            </w:tcBorders>
          </w:tcPr>
          <w:p w14:paraId="28DB1237"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p>
        </w:tc>
        <w:tc>
          <w:tcPr>
            <w:tcW w:w="1703" w:type="dxa"/>
            <w:gridSpan w:val="2"/>
            <w:tcBorders>
              <w:top w:val="single" w:sz="4" w:space="0" w:color="auto"/>
              <w:bottom w:val="single" w:sz="4" w:space="0" w:color="auto"/>
            </w:tcBorders>
          </w:tcPr>
          <w:p w14:paraId="77568891"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r w:rsidRPr="00EA0DC7">
              <w:rPr>
                <w:szCs w:val="24"/>
              </w:rPr>
              <w:t>Female state anxious</w:t>
            </w:r>
          </w:p>
        </w:tc>
        <w:tc>
          <w:tcPr>
            <w:tcW w:w="283" w:type="dxa"/>
            <w:tcBorders>
              <w:top w:val="single" w:sz="4" w:space="0" w:color="auto"/>
              <w:bottom w:val="single" w:sz="4" w:space="0" w:color="auto"/>
            </w:tcBorders>
          </w:tcPr>
          <w:p w14:paraId="4DC2128B"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p>
        </w:tc>
        <w:tc>
          <w:tcPr>
            <w:tcW w:w="1705" w:type="dxa"/>
            <w:gridSpan w:val="2"/>
            <w:tcBorders>
              <w:top w:val="single" w:sz="4" w:space="0" w:color="auto"/>
              <w:bottom w:val="single" w:sz="4" w:space="0" w:color="auto"/>
            </w:tcBorders>
          </w:tcPr>
          <w:p w14:paraId="294E3FAE"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r w:rsidRPr="00EA0DC7">
              <w:rPr>
                <w:szCs w:val="24"/>
              </w:rPr>
              <w:t>Female trait anxious</w:t>
            </w:r>
          </w:p>
        </w:tc>
        <w:tc>
          <w:tcPr>
            <w:tcW w:w="236" w:type="dxa"/>
            <w:tcBorders>
              <w:top w:val="single" w:sz="4" w:space="0" w:color="auto"/>
              <w:bottom w:val="single" w:sz="4" w:space="0" w:color="auto"/>
            </w:tcBorders>
          </w:tcPr>
          <w:p w14:paraId="39EDC03E"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p>
        </w:tc>
        <w:tc>
          <w:tcPr>
            <w:tcW w:w="1606" w:type="dxa"/>
            <w:gridSpan w:val="2"/>
            <w:tcBorders>
              <w:top w:val="single" w:sz="4" w:space="0" w:color="auto"/>
              <w:bottom w:val="single" w:sz="4" w:space="0" w:color="auto"/>
            </w:tcBorders>
          </w:tcPr>
          <w:p w14:paraId="70F4CFAE" w14:textId="77777777" w:rsidR="0048758F" w:rsidRPr="00EA0DC7" w:rsidRDefault="0048758F" w:rsidP="002769DE">
            <w:pPr>
              <w:jc w:val="center"/>
              <w:cnfStyle w:val="100000000000" w:firstRow="1" w:lastRow="0" w:firstColumn="0" w:lastColumn="0" w:oddVBand="0" w:evenVBand="0" w:oddHBand="0" w:evenHBand="0" w:firstRowFirstColumn="0" w:firstRowLastColumn="0" w:lastRowFirstColumn="0" w:lastRowLastColumn="0"/>
              <w:rPr>
                <w:szCs w:val="24"/>
              </w:rPr>
            </w:pPr>
            <w:r w:rsidRPr="00EA0DC7">
              <w:rPr>
                <w:szCs w:val="24"/>
              </w:rPr>
              <w:t>Female calm</w:t>
            </w:r>
          </w:p>
        </w:tc>
      </w:tr>
      <w:tr w:rsidR="0048758F" w:rsidRPr="00EA0DC7" w14:paraId="2EB77D1E" w14:textId="77777777" w:rsidTr="003447C9">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auto"/>
            </w:tcBorders>
          </w:tcPr>
          <w:p w14:paraId="212D5939" w14:textId="77777777" w:rsidR="0048758F" w:rsidRPr="00EA0DC7" w:rsidRDefault="0048758F" w:rsidP="002769DE">
            <w:pPr>
              <w:jc w:val="left"/>
              <w:rPr>
                <w:szCs w:val="24"/>
              </w:rPr>
            </w:pPr>
          </w:p>
        </w:tc>
        <w:tc>
          <w:tcPr>
            <w:tcW w:w="1699" w:type="dxa"/>
            <w:tcBorders>
              <w:top w:val="single" w:sz="4" w:space="0" w:color="auto"/>
              <w:bottom w:val="single" w:sz="4" w:space="0" w:color="auto"/>
            </w:tcBorders>
          </w:tcPr>
          <w:p w14:paraId="63C4A144"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szCs w:val="24"/>
              </w:rPr>
            </w:pPr>
            <w:r w:rsidRPr="00EA0DC7">
              <w:rPr>
                <w:b/>
                <w:i/>
                <w:szCs w:val="24"/>
              </w:rPr>
              <w:t xml:space="preserve">M </w:t>
            </w:r>
            <w:r w:rsidRPr="00EA0DC7">
              <w:rPr>
                <w:b/>
                <w:szCs w:val="24"/>
              </w:rPr>
              <w:t>(</w:t>
            </w:r>
            <w:r w:rsidRPr="00EA0DC7">
              <w:rPr>
                <w:b/>
                <w:i/>
                <w:szCs w:val="24"/>
              </w:rPr>
              <w:t>SD</w:t>
            </w:r>
            <w:r w:rsidRPr="00EA0DC7">
              <w:rPr>
                <w:b/>
                <w:szCs w:val="24"/>
              </w:rPr>
              <w:t>)</w:t>
            </w:r>
          </w:p>
        </w:tc>
        <w:tc>
          <w:tcPr>
            <w:tcW w:w="850" w:type="dxa"/>
            <w:tcBorders>
              <w:top w:val="single" w:sz="4" w:space="0" w:color="auto"/>
              <w:bottom w:val="single" w:sz="4" w:space="0" w:color="auto"/>
            </w:tcBorders>
          </w:tcPr>
          <w:p w14:paraId="096BAB70"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t</w:t>
            </w:r>
          </w:p>
        </w:tc>
        <w:tc>
          <w:tcPr>
            <w:tcW w:w="709" w:type="dxa"/>
            <w:tcBorders>
              <w:top w:val="single" w:sz="4" w:space="0" w:color="auto"/>
              <w:bottom w:val="single" w:sz="4" w:space="0" w:color="auto"/>
            </w:tcBorders>
          </w:tcPr>
          <w:p w14:paraId="029C933A"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p</w:t>
            </w:r>
          </w:p>
        </w:tc>
        <w:tc>
          <w:tcPr>
            <w:tcW w:w="283" w:type="dxa"/>
            <w:tcBorders>
              <w:top w:val="single" w:sz="4" w:space="0" w:color="auto"/>
              <w:bottom w:val="single" w:sz="4" w:space="0" w:color="auto"/>
            </w:tcBorders>
          </w:tcPr>
          <w:p w14:paraId="4BC8B9A3"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p>
        </w:tc>
        <w:tc>
          <w:tcPr>
            <w:tcW w:w="851" w:type="dxa"/>
            <w:tcBorders>
              <w:top w:val="single" w:sz="4" w:space="0" w:color="auto"/>
              <w:bottom w:val="single" w:sz="4" w:space="0" w:color="auto"/>
            </w:tcBorders>
          </w:tcPr>
          <w:p w14:paraId="6E868A71"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t</w:t>
            </w:r>
          </w:p>
        </w:tc>
        <w:tc>
          <w:tcPr>
            <w:tcW w:w="709" w:type="dxa"/>
            <w:tcBorders>
              <w:top w:val="single" w:sz="4" w:space="0" w:color="auto"/>
              <w:bottom w:val="single" w:sz="4" w:space="0" w:color="auto"/>
            </w:tcBorders>
          </w:tcPr>
          <w:p w14:paraId="3A79F4EE" w14:textId="77777777" w:rsidR="0048758F" w:rsidRPr="00EA0DC7" w:rsidRDefault="0048758F" w:rsidP="002769DE">
            <w:pPr>
              <w:ind w:left="-135" w:firstLine="135"/>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p</w:t>
            </w:r>
          </w:p>
        </w:tc>
        <w:tc>
          <w:tcPr>
            <w:tcW w:w="284" w:type="dxa"/>
            <w:tcBorders>
              <w:top w:val="single" w:sz="4" w:space="0" w:color="auto"/>
              <w:bottom w:val="single" w:sz="4" w:space="0" w:color="auto"/>
            </w:tcBorders>
          </w:tcPr>
          <w:p w14:paraId="73B62D3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p>
        </w:tc>
        <w:tc>
          <w:tcPr>
            <w:tcW w:w="850" w:type="dxa"/>
            <w:tcBorders>
              <w:top w:val="single" w:sz="4" w:space="0" w:color="auto"/>
              <w:bottom w:val="single" w:sz="4" w:space="0" w:color="auto"/>
            </w:tcBorders>
          </w:tcPr>
          <w:p w14:paraId="2EF29B1C"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t</w:t>
            </w:r>
          </w:p>
        </w:tc>
        <w:tc>
          <w:tcPr>
            <w:tcW w:w="853" w:type="dxa"/>
            <w:tcBorders>
              <w:top w:val="single" w:sz="4" w:space="0" w:color="auto"/>
              <w:bottom w:val="single" w:sz="4" w:space="0" w:color="auto"/>
            </w:tcBorders>
          </w:tcPr>
          <w:p w14:paraId="2C35571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p</w:t>
            </w:r>
          </w:p>
        </w:tc>
        <w:tc>
          <w:tcPr>
            <w:tcW w:w="283" w:type="dxa"/>
            <w:tcBorders>
              <w:top w:val="single" w:sz="4" w:space="0" w:color="auto"/>
              <w:bottom w:val="single" w:sz="4" w:space="0" w:color="auto"/>
            </w:tcBorders>
          </w:tcPr>
          <w:p w14:paraId="155BDA7D"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p>
        </w:tc>
        <w:tc>
          <w:tcPr>
            <w:tcW w:w="851" w:type="dxa"/>
            <w:tcBorders>
              <w:top w:val="single" w:sz="4" w:space="0" w:color="auto"/>
              <w:bottom w:val="single" w:sz="4" w:space="0" w:color="auto"/>
            </w:tcBorders>
          </w:tcPr>
          <w:p w14:paraId="7FD9B6E9"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t</w:t>
            </w:r>
          </w:p>
        </w:tc>
        <w:tc>
          <w:tcPr>
            <w:tcW w:w="854" w:type="dxa"/>
            <w:tcBorders>
              <w:top w:val="single" w:sz="4" w:space="0" w:color="auto"/>
              <w:bottom w:val="single" w:sz="4" w:space="0" w:color="auto"/>
            </w:tcBorders>
          </w:tcPr>
          <w:p w14:paraId="5E4B101D"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p</w:t>
            </w:r>
          </w:p>
        </w:tc>
        <w:tc>
          <w:tcPr>
            <w:tcW w:w="236" w:type="dxa"/>
            <w:tcBorders>
              <w:top w:val="single" w:sz="4" w:space="0" w:color="auto"/>
              <w:bottom w:val="single" w:sz="4" w:space="0" w:color="auto"/>
            </w:tcBorders>
          </w:tcPr>
          <w:p w14:paraId="00B611F7"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p>
        </w:tc>
        <w:tc>
          <w:tcPr>
            <w:tcW w:w="898" w:type="dxa"/>
            <w:tcBorders>
              <w:top w:val="single" w:sz="4" w:space="0" w:color="auto"/>
              <w:bottom w:val="single" w:sz="4" w:space="0" w:color="auto"/>
            </w:tcBorders>
          </w:tcPr>
          <w:p w14:paraId="63DBD3A5"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t</w:t>
            </w:r>
          </w:p>
        </w:tc>
        <w:tc>
          <w:tcPr>
            <w:tcW w:w="708" w:type="dxa"/>
            <w:tcBorders>
              <w:top w:val="single" w:sz="4" w:space="0" w:color="auto"/>
              <w:bottom w:val="single" w:sz="4" w:space="0" w:color="auto"/>
            </w:tcBorders>
          </w:tcPr>
          <w:p w14:paraId="03535383"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b/>
                <w:i/>
                <w:szCs w:val="24"/>
              </w:rPr>
            </w:pPr>
            <w:r w:rsidRPr="00EA0DC7">
              <w:rPr>
                <w:b/>
                <w:i/>
                <w:szCs w:val="24"/>
              </w:rPr>
              <w:t>p</w:t>
            </w:r>
          </w:p>
        </w:tc>
      </w:tr>
      <w:tr w:rsidR="0048758F" w:rsidRPr="00EA0DC7" w14:paraId="2DB4D330" w14:textId="77777777" w:rsidTr="003447C9">
        <w:trPr>
          <w:trHeight w:val="319"/>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auto"/>
            </w:tcBorders>
          </w:tcPr>
          <w:p w14:paraId="5047A80A" w14:textId="77777777" w:rsidR="0048758F" w:rsidRPr="00EA0DC7" w:rsidRDefault="0048758F" w:rsidP="002769DE">
            <w:pPr>
              <w:jc w:val="left"/>
              <w:rPr>
                <w:b w:val="0"/>
                <w:szCs w:val="24"/>
              </w:rPr>
            </w:pPr>
            <w:r w:rsidRPr="00EA0DC7">
              <w:rPr>
                <w:b w:val="0"/>
                <w:szCs w:val="24"/>
              </w:rPr>
              <w:t>Male state anxious</w:t>
            </w:r>
          </w:p>
        </w:tc>
        <w:tc>
          <w:tcPr>
            <w:tcW w:w="1699" w:type="dxa"/>
            <w:tcBorders>
              <w:top w:val="single" w:sz="4" w:space="0" w:color="auto"/>
            </w:tcBorders>
          </w:tcPr>
          <w:p w14:paraId="680664B1"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50.00 (26.46)</w:t>
            </w:r>
          </w:p>
        </w:tc>
        <w:tc>
          <w:tcPr>
            <w:tcW w:w="850" w:type="dxa"/>
            <w:tcBorders>
              <w:top w:val="single" w:sz="4" w:space="0" w:color="auto"/>
            </w:tcBorders>
          </w:tcPr>
          <w:p w14:paraId="5851CB11"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0.532</w:t>
            </w:r>
          </w:p>
        </w:tc>
        <w:tc>
          <w:tcPr>
            <w:tcW w:w="709" w:type="dxa"/>
            <w:tcBorders>
              <w:top w:val="single" w:sz="4" w:space="0" w:color="auto"/>
            </w:tcBorders>
          </w:tcPr>
          <w:p w14:paraId="54E8332D"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.603</w:t>
            </w:r>
          </w:p>
        </w:tc>
        <w:tc>
          <w:tcPr>
            <w:tcW w:w="283" w:type="dxa"/>
            <w:tcBorders>
              <w:top w:val="single" w:sz="4" w:space="0" w:color="auto"/>
            </w:tcBorders>
          </w:tcPr>
          <w:p w14:paraId="6B0023AE"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51" w:type="dxa"/>
            <w:tcBorders>
              <w:top w:val="single" w:sz="4" w:space="0" w:color="auto"/>
            </w:tcBorders>
          </w:tcPr>
          <w:p w14:paraId="7F65BE59"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0.302</w:t>
            </w:r>
          </w:p>
        </w:tc>
        <w:tc>
          <w:tcPr>
            <w:tcW w:w="709" w:type="dxa"/>
            <w:tcBorders>
              <w:top w:val="single" w:sz="4" w:space="0" w:color="auto"/>
            </w:tcBorders>
          </w:tcPr>
          <w:p w14:paraId="7D444B26"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.767</w:t>
            </w:r>
          </w:p>
        </w:tc>
        <w:tc>
          <w:tcPr>
            <w:tcW w:w="284" w:type="dxa"/>
            <w:tcBorders>
              <w:top w:val="single" w:sz="4" w:space="0" w:color="auto"/>
            </w:tcBorders>
          </w:tcPr>
          <w:p w14:paraId="4003E385"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50" w:type="dxa"/>
            <w:tcBorders>
              <w:top w:val="single" w:sz="4" w:space="0" w:color="auto"/>
            </w:tcBorders>
          </w:tcPr>
          <w:p w14:paraId="703C42C0"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0.929</w:t>
            </w:r>
          </w:p>
        </w:tc>
        <w:tc>
          <w:tcPr>
            <w:tcW w:w="853" w:type="dxa"/>
            <w:tcBorders>
              <w:top w:val="single" w:sz="4" w:space="0" w:color="auto"/>
            </w:tcBorders>
          </w:tcPr>
          <w:p w14:paraId="52D9ACFF"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.367</w:t>
            </w:r>
          </w:p>
        </w:tc>
        <w:tc>
          <w:tcPr>
            <w:tcW w:w="283" w:type="dxa"/>
            <w:tcBorders>
              <w:top w:val="single" w:sz="4" w:space="0" w:color="auto"/>
            </w:tcBorders>
          </w:tcPr>
          <w:p w14:paraId="03CE8630"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51" w:type="dxa"/>
            <w:tcBorders>
              <w:top w:val="single" w:sz="4" w:space="0" w:color="auto"/>
            </w:tcBorders>
          </w:tcPr>
          <w:p w14:paraId="24FE80DC"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2.115</w:t>
            </w:r>
          </w:p>
        </w:tc>
        <w:tc>
          <w:tcPr>
            <w:tcW w:w="854" w:type="dxa"/>
            <w:tcBorders>
              <w:top w:val="single" w:sz="4" w:space="0" w:color="auto"/>
            </w:tcBorders>
          </w:tcPr>
          <w:p w14:paraId="52A22BD9"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.051</w:t>
            </w:r>
          </w:p>
        </w:tc>
        <w:tc>
          <w:tcPr>
            <w:tcW w:w="236" w:type="dxa"/>
            <w:tcBorders>
              <w:top w:val="single" w:sz="4" w:space="0" w:color="auto"/>
            </w:tcBorders>
          </w:tcPr>
          <w:p w14:paraId="3278F8F4"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98" w:type="dxa"/>
            <w:tcBorders>
              <w:top w:val="single" w:sz="4" w:space="0" w:color="auto"/>
            </w:tcBorders>
          </w:tcPr>
          <w:p w14:paraId="65F3694D"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0.804</w:t>
            </w:r>
          </w:p>
        </w:tc>
        <w:tc>
          <w:tcPr>
            <w:tcW w:w="708" w:type="dxa"/>
            <w:tcBorders>
              <w:top w:val="single" w:sz="4" w:space="0" w:color="auto"/>
            </w:tcBorders>
          </w:tcPr>
          <w:p w14:paraId="461BA5CF"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.432</w:t>
            </w:r>
          </w:p>
        </w:tc>
      </w:tr>
      <w:tr w:rsidR="0048758F" w:rsidRPr="00EA0DC7" w14:paraId="02E46E5D" w14:textId="77777777" w:rsidTr="003447C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tcBorders>
          </w:tcPr>
          <w:p w14:paraId="0D169BE0" w14:textId="77777777" w:rsidR="0048758F" w:rsidRPr="00EA0DC7" w:rsidRDefault="0048758F" w:rsidP="002769DE">
            <w:pPr>
              <w:jc w:val="left"/>
              <w:rPr>
                <w:b w:val="0"/>
                <w:szCs w:val="24"/>
              </w:rPr>
            </w:pPr>
            <w:r w:rsidRPr="00EA0DC7">
              <w:rPr>
                <w:b w:val="0"/>
                <w:szCs w:val="24"/>
              </w:rPr>
              <w:t>Male trait anxious</w:t>
            </w:r>
          </w:p>
        </w:tc>
        <w:tc>
          <w:tcPr>
            <w:tcW w:w="1699" w:type="dxa"/>
            <w:tcBorders>
              <w:top w:val="none" w:sz="0" w:space="0" w:color="auto"/>
              <w:bottom w:val="none" w:sz="0" w:space="0" w:color="auto"/>
            </w:tcBorders>
          </w:tcPr>
          <w:p w14:paraId="3766A622"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57.14 (26.90)</w:t>
            </w:r>
          </w:p>
        </w:tc>
        <w:tc>
          <w:tcPr>
            <w:tcW w:w="1559" w:type="dxa"/>
            <w:gridSpan w:val="2"/>
            <w:tcBorders>
              <w:top w:val="none" w:sz="0" w:space="0" w:color="auto"/>
              <w:bottom w:val="none" w:sz="0" w:space="0" w:color="auto"/>
            </w:tcBorders>
          </w:tcPr>
          <w:p w14:paraId="7800444F"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3" w:type="dxa"/>
            <w:tcBorders>
              <w:top w:val="none" w:sz="0" w:space="0" w:color="auto"/>
              <w:bottom w:val="none" w:sz="0" w:space="0" w:color="auto"/>
            </w:tcBorders>
          </w:tcPr>
          <w:p w14:paraId="3D49825C"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51" w:type="dxa"/>
            <w:tcBorders>
              <w:top w:val="none" w:sz="0" w:space="0" w:color="auto"/>
              <w:bottom w:val="none" w:sz="0" w:space="0" w:color="auto"/>
            </w:tcBorders>
          </w:tcPr>
          <w:p w14:paraId="481AE068"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0.896</w:t>
            </w:r>
          </w:p>
        </w:tc>
        <w:tc>
          <w:tcPr>
            <w:tcW w:w="709" w:type="dxa"/>
            <w:tcBorders>
              <w:top w:val="none" w:sz="0" w:space="0" w:color="auto"/>
              <w:bottom w:val="none" w:sz="0" w:space="0" w:color="auto"/>
            </w:tcBorders>
          </w:tcPr>
          <w:p w14:paraId="4A1FDF94"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.386</w:t>
            </w:r>
          </w:p>
        </w:tc>
        <w:tc>
          <w:tcPr>
            <w:tcW w:w="284" w:type="dxa"/>
            <w:tcBorders>
              <w:top w:val="none" w:sz="0" w:space="0" w:color="auto"/>
              <w:bottom w:val="none" w:sz="0" w:space="0" w:color="auto"/>
            </w:tcBorders>
          </w:tcPr>
          <w:p w14:paraId="43D11CE3"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50" w:type="dxa"/>
            <w:tcBorders>
              <w:top w:val="none" w:sz="0" w:space="0" w:color="auto"/>
              <w:bottom w:val="none" w:sz="0" w:space="0" w:color="auto"/>
            </w:tcBorders>
          </w:tcPr>
          <w:p w14:paraId="484E0E6D"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0.426</w:t>
            </w:r>
          </w:p>
        </w:tc>
        <w:tc>
          <w:tcPr>
            <w:tcW w:w="853" w:type="dxa"/>
            <w:tcBorders>
              <w:top w:val="none" w:sz="0" w:space="0" w:color="auto"/>
              <w:bottom w:val="none" w:sz="0" w:space="0" w:color="auto"/>
            </w:tcBorders>
          </w:tcPr>
          <w:p w14:paraId="758C3CE4"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.676</w:t>
            </w:r>
          </w:p>
        </w:tc>
        <w:tc>
          <w:tcPr>
            <w:tcW w:w="283" w:type="dxa"/>
            <w:tcBorders>
              <w:top w:val="none" w:sz="0" w:space="0" w:color="auto"/>
              <w:bottom w:val="none" w:sz="0" w:space="0" w:color="auto"/>
            </w:tcBorders>
          </w:tcPr>
          <w:p w14:paraId="2008FA1B"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51" w:type="dxa"/>
            <w:tcBorders>
              <w:top w:val="none" w:sz="0" w:space="0" w:color="auto"/>
              <w:bottom w:val="none" w:sz="0" w:space="0" w:color="auto"/>
            </w:tcBorders>
          </w:tcPr>
          <w:p w14:paraId="136F9A47"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2.564</w:t>
            </w:r>
          </w:p>
        </w:tc>
        <w:tc>
          <w:tcPr>
            <w:tcW w:w="854" w:type="dxa"/>
            <w:tcBorders>
              <w:top w:val="none" w:sz="0" w:space="0" w:color="auto"/>
              <w:bottom w:val="none" w:sz="0" w:space="0" w:color="auto"/>
            </w:tcBorders>
          </w:tcPr>
          <w:p w14:paraId="3B7E5FAC"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.022*</w:t>
            </w:r>
          </w:p>
        </w:tc>
        <w:tc>
          <w:tcPr>
            <w:tcW w:w="236" w:type="dxa"/>
            <w:tcBorders>
              <w:top w:val="none" w:sz="0" w:space="0" w:color="auto"/>
              <w:bottom w:val="none" w:sz="0" w:space="0" w:color="auto"/>
            </w:tcBorders>
          </w:tcPr>
          <w:p w14:paraId="7A292711"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98" w:type="dxa"/>
            <w:tcBorders>
              <w:top w:val="none" w:sz="0" w:space="0" w:color="auto"/>
              <w:bottom w:val="none" w:sz="0" w:space="0" w:color="auto"/>
            </w:tcBorders>
          </w:tcPr>
          <w:p w14:paraId="17CCB25C"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1.350</w:t>
            </w:r>
          </w:p>
        </w:tc>
        <w:tc>
          <w:tcPr>
            <w:tcW w:w="708" w:type="dxa"/>
            <w:tcBorders>
              <w:top w:val="none" w:sz="0" w:space="0" w:color="auto"/>
              <w:bottom w:val="none" w:sz="0" w:space="0" w:color="auto"/>
            </w:tcBorders>
          </w:tcPr>
          <w:p w14:paraId="22E33E94"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.197</w:t>
            </w:r>
          </w:p>
        </w:tc>
      </w:tr>
      <w:tr w:rsidR="0048758F" w:rsidRPr="00EA0DC7" w14:paraId="0AD6F4BF" w14:textId="77777777" w:rsidTr="003447C9">
        <w:trPr>
          <w:trHeight w:val="267"/>
        </w:trPr>
        <w:tc>
          <w:tcPr>
            <w:cnfStyle w:val="001000000000" w:firstRow="0" w:lastRow="0" w:firstColumn="1" w:lastColumn="0" w:oddVBand="0" w:evenVBand="0" w:oddHBand="0" w:evenHBand="0" w:firstRowFirstColumn="0" w:firstRowLastColumn="0" w:lastRowFirstColumn="0" w:lastRowLastColumn="0"/>
            <w:tcW w:w="2690" w:type="dxa"/>
          </w:tcPr>
          <w:p w14:paraId="106A9AEA" w14:textId="77777777" w:rsidR="0048758F" w:rsidRPr="00EA0DC7" w:rsidRDefault="0048758F" w:rsidP="002769DE">
            <w:pPr>
              <w:jc w:val="left"/>
              <w:rPr>
                <w:b w:val="0"/>
                <w:szCs w:val="24"/>
              </w:rPr>
            </w:pPr>
            <w:r w:rsidRPr="00EA0DC7">
              <w:rPr>
                <w:b w:val="0"/>
                <w:szCs w:val="24"/>
              </w:rPr>
              <w:t>Male calm</w:t>
            </w:r>
          </w:p>
        </w:tc>
        <w:tc>
          <w:tcPr>
            <w:tcW w:w="1699" w:type="dxa"/>
          </w:tcPr>
          <w:p w14:paraId="64C5AE2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46.67 (20.00)</w:t>
            </w:r>
          </w:p>
        </w:tc>
        <w:tc>
          <w:tcPr>
            <w:tcW w:w="1559" w:type="dxa"/>
            <w:gridSpan w:val="2"/>
          </w:tcPr>
          <w:p w14:paraId="0EB78A15"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83" w:type="dxa"/>
          </w:tcPr>
          <w:p w14:paraId="3238EEA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60" w:type="dxa"/>
            <w:gridSpan w:val="2"/>
          </w:tcPr>
          <w:p w14:paraId="4D28E1F3"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84" w:type="dxa"/>
          </w:tcPr>
          <w:p w14:paraId="3470FA39"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50" w:type="dxa"/>
          </w:tcPr>
          <w:p w14:paraId="6D3C3977"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1.231</w:t>
            </w:r>
          </w:p>
        </w:tc>
        <w:tc>
          <w:tcPr>
            <w:tcW w:w="853" w:type="dxa"/>
          </w:tcPr>
          <w:p w14:paraId="3A75857D"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.242</w:t>
            </w:r>
          </w:p>
        </w:tc>
        <w:tc>
          <w:tcPr>
            <w:tcW w:w="283" w:type="dxa"/>
          </w:tcPr>
          <w:p w14:paraId="498EDE9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51" w:type="dxa"/>
          </w:tcPr>
          <w:p w14:paraId="08FEC41E"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2.108</w:t>
            </w:r>
          </w:p>
        </w:tc>
        <w:tc>
          <w:tcPr>
            <w:tcW w:w="854" w:type="dxa"/>
          </w:tcPr>
          <w:p w14:paraId="30B66447"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.051</w:t>
            </w:r>
          </w:p>
        </w:tc>
        <w:tc>
          <w:tcPr>
            <w:tcW w:w="236" w:type="dxa"/>
          </w:tcPr>
          <w:p w14:paraId="6031C62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98" w:type="dxa"/>
          </w:tcPr>
          <w:p w14:paraId="708C394F"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0.580</w:t>
            </w:r>
          </w:p>
        </w:tc>
        <w:tc>
          <w:tcPr>
            <w:tcW w:w="708" w:type="dxa"/>
          </w:tcPr>
          <w:p w14:paraId="4E7F75CC"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.570</w:t>
            </w:r>
          </w:p>
        </w:tc>
      </w:tr>
      <w:tr w:rsidR="0048758F" w:rsidRPr="00EA0DC7" w14:paraId="6029CA69" w14:textId="77777777" w:rsidTr="003447C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tcBorders>
          </w:tcPr>
          <w:p w14:paraId="7377EA7F" w14:textId="77777777" w:rsidR="0048758F" w:rsidRPr="00EA0DC7" w:rsidRDefault="0048758F" w:rsidP="002769DE">
            <w:pPr>
              <w:jc w:val="left"/>
              <w:rPr>
                <w:b w:val="0"/>
                <w:szCs w:val="24"/>
              </w:rPr>
            </w:pPr>
            <w:r w:rsidRPr="00EA0DC7">
              <w:rPr>
                <w:b w:val="0"/>
                <w:szCs w:val="24"/>
              </w:rPr>
              <w:t>Female state anxious</w:t>
            </w:r>
          </w:p>
        </w:tc>
        <w:tc>
          <w:tcPr>
            <w:tcW w:w="1699" w:type="dxa"/>
            <w:tcBorders>
              <w:top w:val="none" w:sz="0" w:space="0" w:color="auto"/>
              <w:bottom w:val="none" w:sz="0" w:space="0" w:color="auto"/>
            </w:tcBorders>
          </w:tcPr>
          <w:p w14:paraId="5A6C034B"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64.44 (38.44)</w:t>
            </w:r>
          </w:p>
        </w:tc>
        <w:tc>
          <w:tcPr>
            <w:tcW w:w="1559" w:type="dxa"/>
            <w:gridSpan w:val="2"/>
            <w:tcBorders>
              <w:top w:val="none" w:sz="0" w:space="0" w:color="auto"/>
              <w:bottom w:val="none" w:sz="0" w:space="0" w:color="auto"/>
            </w:tcBorders>
          </w:tcPr>
          <w:p w14:paraId="7CC74981"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3" w:type="dxa"/>
            <w:tcBorders>
              <w:top w:val="none" w:sz="0" w:space="0" w:color="auto"/>
              <w:bottom w:val="none" w:sz="0" w:space="0" w:color="auto"/>
            </w:tcBorders>
          </w:tcPr>
          <w:p w14:paraId="045BE456"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60" w:type="dxa"/>
            <w:gridSpan w:val="2"/>
            <w:tcBorders>
              <w:top w:val="none" w:sz="0" w:space="0" w:color="auto"/>
              <w:bottom w:val="none" w:sz="0" w:space="0" w:color="auto"/>
            </w:tcBorders>
          </w:tcPr>
          <w:p w14:paraId="54535E21"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4" w:type="dxa"/>
            <w:tcBorders>
              <w:top w:val="none" w:sz="0" w:space="0" w:color="auto"/>
              <w:bottom w:val="none" w:sz="0" w:space="0" w:color="auto"/>
            </w:tcBorders>
          </w:tcPr>
          <w:p w14:paraId="1D4EFC3F"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03" w:type="dxa"/>
            <w:gridSpan w:val="2"/>
            <w:tcBorders>
              <w:top w:val="none" w:sz="0" w:space="0" w:color="auto"/>
              <w:bottom w:val="none" w:sz="0" w:space="0" w:color="auto"/>
            </w:tcBorders>
          </w:tcPr>
          <w:p w14:paraId="7A2FB1B5"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3" w:type="dxa"/>
            <w:tcBorders>
              <w:top w:val="none" w:sz="0" w:space="0" w:color="auto"/>
              <w:bottom w:val="none" w:sz="0" w:space="0" w:color="auto"/>
            </w:tcBorders>
          </w:tcPr>
          <w:p w14:paraId="12C16F22"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51" w:type="dxa"/>
            <w:tcBorders>
              <w:top w:val="none" w:sz="0" w:space="0" w:color="auto"/>
              <w:bottom w:val="none" w:sz="0" w:space="0" w:color="auto"/>
            </w:tcBorders>
          </w:tcPr>
          <w:p w14:paraId="21D120ED"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2.622</w:t>
            </w:r>
          </w:p>
        </w:tc>
        <w:tc>
          <w:tcPr>
            <w:tcW w:w="854" w:type="dxa"/>
            <w:tcBorders>
              <w:top w:val="none" w:sz="0" w:space="0" w:color="auto"/>
              <w:bottom w:val="none" w:sz="0" w:space="0" w:color="auto"/>
            </w:tcBorders>
          </w:tcPr>
          <w:p w14:paraId="6EE8F910"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.021*</w:t>
            </w:r>
          </w:p>
        </w:tc>
        <w:tc>
          <w:tcPr>
            <w:tcW w:w="236" w:type="dxa"/>
            <w:tcBorders>
              <w:top w:val="none" w:sz="0" w:space="0" w:color="auto"/>
              <w:bottom w:val="none" w:sz="0" w:space="0" w:color="auto"/>
            </w:tcBorders>
          </w:tcPr>
          <w:p w14:paraId="7AA7DA43"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898" w:type="dxa"/>
            <w:tcBorders>
              <w:top w:val="none" w:sz="0" w:space="0" w:color="auto"/>
              <w:bottom w:val="none" w:sz="0" w:space="0" w:color="auto"/>
            </w:tcBorders>
          </w:tcPr>
          <w:p w14:paraId="146D3B7F"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1.602</w:t>
            </w:r>
          </w:p>
        </w:tc>
        <w:tc>
          <w:tcPr>
            <w:tcW w:w="708" w:type="dxa"/>
            <w:tcBorders>
              <w:top w:val="none" w:sz="0" w:space="0" w:color="auto"/>
              <w:bottom w:val="none" w:sz="0" w:space="0" w:color="auto"/>
            </w:tcBorders>
          </w:tcPr>
          <w:p w14:paraId="3D90340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.134</w:t>
            </w:r>
          </w:p>
        </w:tc>
      </w:tr>
      <w:tr w:rsidR="0048758F" w:rsidRPr="00EA0DC7" w14:paraId="07AC3BA1" w14:textId="77777777" w:rsidTr="003447C9">
        <w:trPr>
          <w:trHeight w:val="70"/>
        </w:trPr>
        <w:tc>
          <w:tcPr>
            <w:cnfStyle w:val="001000000000" w:firstRow="0" w:lastRow="0" w:firstColumn="1" w:lastColumn="0" w:oddVBand="0" w:evenVBand="0" w:oddHBand="0" w:evenHBand="0" w:firstRowFirstColumn="0" w:firstRowLastColumn="0" w:lastRowFirstColumn="0" w:lastRowLastColumn="0"/>
            <w:tcW w:w="2690" w:type="dxa"/>
          </w:tcPr>
          <w:p w14:paraId="3E47095E" w14:textId="77777777" w:rsidR="0048758F" w:rsidRPr="00EA0DC7" w:rsidRDefault="0048758F" w:rsidP="002769DE">
            <w:pPr>
              <w:jc w:val="left"/>
              <w:rPr>
                <w:b w:val="0"/>
                <w:szCs w:val="24"/>
              </w:rPr>
            </w:pPr>
            <w:r w:rsidRPr="00EA0DC7">
              <w:rPr>
                <w:b w:val="0"/>
                <w:szCs w:val="24"/>
              </w:rPr>
              <w:t>Female trait anxious</w:t>
            </w:r>
          </w:p>
        </w:tc>
        <w:tc>
          <w:tcPr>
            <w:tcW w:w="1699" w:type="dxa"/>
          </w:tcPr>
          <w:p w14:paraId="463F3237"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25.56 (22.42)</w:t>
            </w:r>
          </w:p>
        </w:tc>
        <w:tc>
          <w:tcPr>
            <w:tcW w:w="1559" w:type="dxa"/>
            <w:gridSpan w:val="2"/>
          </w:tcPr>
          <w:p w14:paraId="0176445F"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83" w:type="dxa"/>
          </w:tcPr>
          <w:p w14:paraId="3129A291"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60" w:type="dxa"/>
            <w:gridSpan w:val="2"/>
          </w:tcPr>
          <w:p w14:paraId="254E550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84" w:type="dxa"/>
          </w:tcPr>
          <w:p w14:paraId="49214719"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703" w:type="dxa"/>
            <w:gridSpan w:val="2"/>
          </w:tcPr>
          <w:p w14:paraId="1CB15FD7"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83" w:type="dxa"/>
          </w:tcPr>
          <w:p w14:paraId="5BB67D7E"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705" w:type="dxa"/>
            <w:gridSpan w:val="2"/>
          </w:tcPr>
          <w:p w14:paraId="02F92212"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w:t>
            </w:r>
          </w:p>
        </w:tc>
        <w:tc>
          <w:tcPr>
            <w:tcW w:w="236" w:type="dxa"/>
          </w:tcPr>
          <w:p w14:paraId="2A9CB11B"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98" w:type="dxa"/>
          </w:tcPr>
          <w:p w14:paraId="584324DD"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1.502</w:t>
            </w:r>
          </w:p>
        </w:tc>
        <w:tc>
          <w:tcPr>
            <w:tcW w:w="708" w:type="dxa"/>
          </w:tcPr>
          <w:p w14:paraId="22EA0AC7" w14:textId="77777777" w:rsidR="0048758F" w:rsidRPr="00EA0DC7" w:rsidRDefault="0048758F" w:rsidP="002769DE">
            <w:pPr>
              <w:jc w:val="center"/>
              <w:cnfStyle w:val="000000000000" w:firstRow="0" w:lastRow="0" w:firstColumn="0" w:lastColumn="0" w:oddVBand="0" w:evenVBand="0" w:oddHBand="0" w:evenHBand="0" w:firstRowFirstColumn="0" w:firstRowLastColumn="0" w:lastRowFirstColumn="0" w:lastRowLastColumn="0"/>
              <w:rPr>
                <w:szCs w:val="24"/>
              </w:rPr>
            </w:pPr>
            <w:r w:rsidRPr="00EA0DC7">
              <w:rPr>
                <w:szCs w:val="24"/>
              </w:rPr>
              <w:t>.151</w:t>
            </w:r>
          </w:p>
        </w:tc>
      </w:tr>
      <w:tr w:rsidR="0048758F" w:rsidRPr="00EA0DC7" w14:paraId="0FC2B434" w14:textId="77777777" w:rsidTr="003447C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single" w:sz="4" w:space="0" w:color="auto"/>
            </w:tcBorders>
          </w:tcPr>
          <w:p w14:paraId="75783FF7" w14:textId="77777777" w:rsidR="0048758F" w:rsidRPr="00EA0DC7" w:rsidRDefault="0048758F" w:rsidP="002769DE">
            <w:pPr>
              <w:jc w:val="left"/>
              <w:rPr>
                <w:b w:val="0"/>
                <w:szCs w:val="24"/>
              </w:rPr>
            </w:pPr>
            <w:r w:rsidRPr="00EA0DC7">
              <w:rPr>
                <w:b w:val="0"/>
                <w:szCs w:val="24"/>
              </w:rPr>
              <w:t>Female calm</w:t>
            </w:r>
          </w:p>
        </w:tc>
        <w:tc>
          <w:tcPr>
            <w:tcW w:w="1699" w:type="dxa"/>
            <w:tcBorders>
              <w:top w:val="none" w:sz="0" w:space="0" w:color="auto"/>
              <w:bottom w:val="single" w:sz="4" w:space="0" w:color="auto"/>
            </w:tcBorders>
          </w:tcPr>
          <w:p w14:paraId="213AD494" w14:textId="77777777" w:rsidR="0048758F" w:rsidRPr="00EA0DC7" w:rsidRDefault="0048758F" w:rsidP="002769DE">
            <w:pPr>
              <w:jc w:val="left"/>
              <w:cnfStyle w:val="000000100000" w:firstRow="0" w:lastRow="0" w:firstColumn="0" w:lastColumn="0" w:oddVBand="0" w:evenVBand="0" w:oddHBand="1" w:evenHBand="0" w:firstRowFirstColumn="0" w:firstRowLastColumn="0" w:lastRowFirstColumn="0" w:lastRowLastColumn="0"/>
              <w:rPr>
                <w:szCs w:val="24"/>
              </w:rPr>
            </w:pPr>
            <w:r w:rsidRPr="00EA0DC7">
              <w:rPr>
                <w:szCs w:val="24"/>
              </w:rPr>
              <w:t>41.00 (22.34)</w:t>
            </w:r>
          </w:p>
        </w:tc>
        <w:tc>
          <w:tcPr>
            <w:tcW w:w="1559" w:type="dxa"/>
            <w:gridSpan w:val="2"/>
            <w:tcBorders>
              <w:top w:val="none" w:sz="0" w:space="0" w:color="auto"/>
              <w:bottom w:val="single" w:sz="4" w:space="0" w:color="auto"/>
            </w:tcBorders>
            <w:vAlign w:val="center"/>
          </w:tcPr>
          <w:p w14:paraId="68F9F054"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3" w:type="dxa"/>
            <w:tcBorders>
              <w:top w:val="none" w:sz="0" w:space="0" w:color="auto"/>
              <w:bottom w:val="single" w:sz="4" w:space="0" w:color="auto"/>
            </w:tcBorders>
          </w:tcPr>
          <w:p w14:paraId="5785BA0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60" w:type="dxa"/>
            <w:gridSpan w:val="2"/>
            <w:tcBorders>
              <w:top w:val="none" w:sz="0" w:space="0" w:color="auto"/>
              <w:bottom w:val="single" w:sz="4" w:space="0" w:color="auto"/>
            </w:tcBorders>
            <w:vAlign w:val="center"/>
          </w:tcPr>
          <w:p w14:paraId="403F885F"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4" w:type="dxa"/>
            <w:tcBorders>
              <w:top w:val="none" w:sz="0" w:space="0" w:color="auto"/>
              <w:bottom w:val="single" w:sz="4" w:space="0" w:color="auto"/>
            </w:tcBorders>
          </w:tcPr>
          <w:p w14:paraId="605F83D2"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03" w:type="dxa"/>
            <w:gridSpan w:val="2"/>
            <w:tcBorders>
              <w:top w:val="none" w:sz="0" w:space="0" w:color="auto"/>
              <w:bottom w:val="single" w:sz="4" w:space="0" w:color="auto"/>
            </w:tcBorders>
            <w:vAlign w:val="center"/>
          </w:tcPr>
          <w:p w14:paraId="4B50EAED"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83" w:type="dxa"/>
            <w:tcBorders>
              <w:top w:val="none" w:sz="0" w:space="0" w:color="auto"/>
              <w:bottom w:val="single" w:sz="4" w:space="0" w:color="auto"/>
            </w:tcBorders>
          </w:tcPr>
          <w:p w14:paraId="7A51658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05" w:type="dxa"/>
            <w:gridSpan w:val="2"/>
            <w:tcBorders>
              <w:top w:val="none" w:sz="0" w:space="0" w:color="auto"/>
              <w:bottom w:val="single" w:sz="4" w:space="0" w:color="auto"/>
            </w:tcBorders>
            <w:vAlign w:val="center"/>
          </w:tcPr>
          <w:p w14:paraId="1FB1E22A"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c>
          <w:tcPr>
            <w:tcW w:w="236" w:type="dxa"/>
            <w:tcBorders>
              <w:top w:val="none" w:sz="0" w:space="0" w:color="auto"/>
              <w:bottom w:val="single" w:sz="4" w:space="0" w:color="auto"/>
            </w:tcBorders>
          </w:tcPr>
          <w:p w14:paraId="063E1631"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06" w:type="dxa"/>
            <w:gridSpan w:val="2"/>
            <w:tcBorders>
              <w:top w:val="none" w:sz="0" w:space="0" w:color="auto"/>
              <w:bottom w:val="single" w:sz="4" w:space="0" w:color="auto"/>
            </w:tcBorders>
            <w:vAlign w:val="center"/>
          </w:tcPr>
          <w:p w14:paraId="16E5FA5E" w14:textId="77777777" w:rsidR="0048758F" w:rsidRPr="00EA0DC7" w:rsidRDefault="0048758F" w:rsidP="002769DE">
            <w:pPr>
              <w:jc w:val="center"/>
              <w:cnfStyle w:val="000000100000" w:firstRow="0" w:lastRow="0" w:firstColumn="0" w:lastColumn="0" w:oddVBand="0" w:evenVBand="0" w:oddHBand="1" w:evenHBand="0" w:firstRowFirstColumn="0" w:firstRowLastColumn="0" w:lastRowFirstColumn="0" w:lastRowLastColumn="0"/>
              <w:rPr>
                <w:szCs w:val="24"/>
              </w:rPr>
            </w:pPr>
            <w:r w:rsidRPr="00EA0DC7">
              <w:rPr>
                <w:szCs w:val="24"/>
              </w:rPr>
              <w:t>-</w:t>
            </w:r>
          </w:p>
        </w:tc>
      </w:tr>
      <w:tr w:rsidR="0048758F" w:rsidRPr="00EA0DC7" w14:paraId="691D89A2" w14:textId="77777777" w:rsidTr="003447C9">
        <w:trPr>
          <w:trHeight w:val="239"/>
        </w:trPr>
        <w:tc>
          <w:tcPr>
            <w:cnfStyle w:val="001000000000" w:firstRow="0" w:lastRow="0" w:firstColumn="1" w:lastColumn="0" w:oddVBand="0" w:evenVBand="0" w:oddHBand="0" w:evenHBand="0" w:firstRowFirstColumn="0" w:firstRowLastColumn="0" w:lastRowFirstColumn="0" w:lastRowLastColumn="0"/>
            <w:tcW w:w="13608" w:type="dxa"/>
            <w:gridSpan w:val="16"/>
            <w:tcBorders>
              <w:top w:val="single" w:sz="4" w:space="0" w:color="auto"/>
              <w:bottom w:val="single" w:sz="4" w:space="0" w:color="auto"/>
            </w:tcBorders>
          </w:tcPr>
          <w:p w14:paraId="3B87F061" w14:textId="77777777" w:rsidR="0048758F" w:rsidRPr="00EA0DC7" w:rsidRDefault="0048758F" w:rsidP="002769DE">
            <w:pPr>
              <w:jc w:val="left"/>
              <w:rPr>
                <w:b w:val="0"/>
                <w:szCs w:val="24"/>
              </w:rPr>
            </w:pPr>
            <w:r w:rsidRPr="00EA0DC7">
              <w:rPr>
                <w:b w:val="0"/>
                <w:szCs w:val="24"/>
              </w:rPr>
              <w:t>* significant at the .05 level</w:t>
            </w:r>
          </w:p>
        </w:tc>
      </w:tr>
    </w:tbl>
    <w:p w14:paraId="2D36083C" w14:textId="3B961922" w:rsidR="0048758F" w:rsidRPr="00EA0DC7" w:rsidRDefault="008A7246" w:rsidP="008A7246">
      <w:pPr>
        <w:pStyle w:val="Captions"/>
      </w:pPr>
      <w:bookmarkStart w:id="177" w:name="_Toc47039930"/>
      <w:r w:rsidRPr="00EA0DC7">
        <w:t xml:space="preserve">Table </w:t>
      </w:r>
      <w:r w:rsidR="004F2FDB">
        <w:fldChar w:fldCharType="begin"/>
      </w:r>
      <w:r w:rsidR="004F2FDB">
        <w:instrText xml:space="preserve"> STYLEREF 1 \s </w:instrText>
      </w:r>
      <w:r w:rsidR="004F2FDB">
        <w:fldChar w:fldCharType="separate"/>
      </w:r>
      <w:r w:rsidR="00694354">
        <w:rPr>
          <w:noProof/>
        </w:rPr>
        <w:t>6</w:t>
      </w:r>
      <w:r w:rsidR="004F2FDB">
        <w:rPr>
          <w:noProof/>
        </w:rPr>
        <w:fldChar w:fldCharType="end"/>
      </w:r>
      <w:r w:rsidRPr="00EA0DC7">
        <w:t>.</w:t>
      </w:r>
      <w:r w:rsidR="004F2FDB">
        <w:fldChar w:fldCharType="begin"/>
      </w:r>
      <w:r w:rsidR="004F2FDB">
        <w:instrText xml:space="preserve"> SEQ Table \* ARABIC \s 1 </w:instrText>
      </w:r>
      <w:r w:rsidR="004F2FDB">
        <w:fldChar w:fldCharType="separate"/>
      </w:r>
      <w:r w:rsidR="00694354">
        <w:rPr>
          <w:noProof/>
        </w:rPr>
        <w:t>1</w:t>
      </w:r>
      <w:r w:rsidR="004F2FDB">
        <w:rPr>
          <w:noProof/>
        </w:rPr>
        <w:fldChar w:fldCharType="end"/>
      </w:r>
      <w:r w:rsidRPr="00EA0DC7">
        <w:t xml:space="preserve">. </w:t>
      </w:r>
      <w:r w:rsidR="005A0ACE" w:rsidRPr="00EA0DC7">
        <w:rPr>
          <w:i/>
        </w:rPr>
        <w:t>t</w:t>
      </w:r>
      <w:r w:rsidRPr="00EA0DC7">
        <w:t>-tests showing difference in behavioural activation focus given different supervisees.</w:t>
      </w:r>
      <w:bookmarkEnd w:id="177"/>
    </w:p>
    <w:p w14:paraId="0CE6AD5B" w14:textId="77777777" w:rsidR="0048758F" w:rsidRPr="00EA0DC7" w:rsidRDefault="0048758F" w:rsidP="0048758F">
      <w:pPr>
        <w:sectPr w:rsidR="0048758F" w:rsidRPr="00EA0DC7" w:rsidSect="002769DE">
          <w:pgSz w:w="16838" w:h="11906" w:orient="landscape"/>
          <w:pgMar w:top="1440" w:right="1440" w:bottom="1440" w:left="1440" w:header="709" w:footer="709" w:gutter="0"/>
          <w:cols w:space="708"/>
          <w:docGrid w:linePitch="360"/>
        </w:sectPr>
      </w:pPr>
    </w:p>
    <w:p w14:paraId="08954172" w14:textId="77777777" w:rsidR="0048758F" w:rsidRPr="00EA0DC7" w:rsidRDefault="0048758F" w:rsidP="0048758F">
      <w:pPr>
        <w:pStyle w:val="Heading3"/>
      </w:pPr>
      <w:r w:rsidRPr="00EA0DC7">
        <w:lastRenderedPageBreak/>
        <w:t>6.3.3.3 Supervisor focus on case management, alliance, and technique given different supervisees</w:t>
      </w:r>
    </w:p>
    <w:p w14:paraId="60FC6D88" w14:textId="77777777" w:rsidR="0048758F" w:rsidRPr="00EA0DC7" w:rsidRDefault="0048758F" w:rsidP="0048758F">
      <w:r w:rsidRPr="00EA0DC7">
        <w:tab/>
        <w:t xml:space="preserve">There were no significant main effects of clinician gender or anxiety on case management, alliance, and technique focus. There was also no overall interaction effect (all </w:t>
      </w:r>
      <w:r w:rsidRPr="00EA0DC7">
        <w:rPr>
          <w:i/>
        </w:rPr>
        <w:t xml:space="preserve">p </w:t>
      </w:r>
      <w:r w:rsidRPr="00EA0DC7">
        <w:t>&gt; .05). Further analyses indicated a greater case management focus for male state anxious cases (</w:t>
      </w:r>
      <w:r w:rsidRPr="00EA0DC7">
        <w:rPr>
          <w:i/>
        </w:rPr>
        <w:t>M</w:t>
      </w:r>
      <w:r w:rsidRPr="00EA0DC7">
        <w:t xml:space="preserve"> = 57.78, </w:t>
      </w:r>
      <w:r w:rsidRPr="00EA0DC7">
        <w:rPr>
          <w:i/>
        </w:rPr>
        <w:t>SD</w:t>
      </w:r>
      <w:r w:rsidRPr="00EA0DC7">
        <w:t xml:space="preserve"> = 18.34) than female trait anxious cases (</w:t>
      </w:r>
      <w:r w:rsidRPr="00EA0DC7">
        <w:rPr>
          <w:i/>
        </w:rPr>
        <w:t>M</w:t>
      </w:r>
      <w:r w:rsidRPr="00EA0DC7">
        <w:t xml:space="preserve"> = 33.33, </w:t>
      </w:r>
      <w:r w:rsidRPr="00EA0DC7">
        <w:rPr>
          <w:i/>
        </w:rPr>
        <w:t>SD</w:t>
      </w:r>
      <w:r w:rsidRPr="00EA0DC7">
        <w:t xml:space="preserve"> = 25.35; </w:t>
      </w:r>
      <w:r w:rsidRPr="00EA0DC7">
        <w:rPr>
          <w:i/>
        </w:rPr>
        <w:t>t</w:t>
      </w:r>
      <w:r w:rsidRPr="00EA0DC7">
        <w:t xml:space="preserve">(16) = 2.343, </w:t>
      </w:r>
      <w:r w:rsidRPr="00EA0DC7">
        <w:rPr>
          <w:i/>
        </w:rPr>
        <w:t>p</w:t>
      </w:r>
      <w:r w:rsidRPr="00EA0DC7">
        <w:t xml:space="preserve"> = .032), and female calm cases (</w:t>
      </w:r>
      <w:r w:rsidRPr="00EA0DC7">
        <w:rPr>
          <w:i/>
        </w:rPr>
        <w:t>M</w:t>
      </w:r>
      <w:r w:rsidRPr="00EA0DC7">
        <w:t xml:space="preserve"> = 36.20, </w:t>
      </w:r>
      <w:r w:rsidRPr="00EA0DC7">
        <w:rPr>
          <w:i/>
        </w:rPr>
        <w:t>SD</w:t>
      </w:r>
      <w:r w:rsidRPr="00EA0DC7">
        <w:t xml:space="preserve"> = 14.25; </w:t>
      </w:r>
      <w:r w:rsidRPr="00EA0DC7">
        <w:rPr>
          <w:i/>
        </w:rPr>
        <w:t>t</w:t>
      </w:r>
      <w:r w:rsidRPr="00EA0DC7">
        <w:t xml:space="preserve">(17) = 2.88, </w:t>
      </w:r>
      <w:r w:rsidRPr="00EA0DC7">
        <w:rPr>
          <w:i/>
        </w:rPr>
        <w:t>p</w:t>
      </w:r>
      <w:r w:rsidRPr="00EA0DC7">
        <w:t xml:space="preserve"> = .01). In addition, there was a greater technique focus for male state anxious cases (</w:t>
      </w:r>
      <w:r w:rsidRPr="00EA0DC7">
        <w:rPr>
          <w:i/>
        </w:rPr>
        <w:t>M</w:t>
      </w:r>
      <w:r w:rsidRPr="00EA0DC7">
        <w:t xml:space="preserve"> = 44.05, </w:t>
      </w:r>
      <w:r w:rsidRPr="00EA0DC7">
        <w:rPr>
          <w:i/>
        </w:rPr>
        <w:t>SD</w:t>
      </w:r>
      <w:r w:rsidRPr="00EA0DC7">
        <w:t xml:space="preserve"> = 20.04) than female calm cases (</w:t>
      </w:r>
      <w:r w:rsidRPr="00EA0DC7">
        <w:rPr>
          <w:i/>
        </w:rPr>
        <w:t>M</w:t>
      </w:r>
      <w:r w:rsidRPr="00EA0DC7">
        <w:t xml:space="preserve"> = 24.07, </w:t>
      </w:r>
      <w:r w:rsidRPr="00EA0DC7">
        <w:rPr>
          <w:i/>
        </w:rPr>
        <w:t>SD</w:t>
      </w:r>
      <w:r w:rsidRPr="00EA0DC7">
        <w:t xml:space="preserve"> = 7.10; </w:t>
      </w:r>
      <w:r w:rsidRPr="00EA0DC7">
        <w:rPr>
          <w:i/>
        </w:rPr>
        <w:t>t</w:t>
      </w:r>
      <w:r w:rsidRPr="00EA0DC7">
        <w:t xml:space="preserve">(9.80) = 2.835, </w:t>
      </w:r>
      <w:r w:rsidRPr="00EA0DC7">
        <w:rPr>
          <w:i/>
        </w:rPr>
        <w:t>p</w:t>
      </w:r>
      <w:r w:rsidRPr="00EA0DC7">
        <w:t xml:space="preserve"> = .018).</w:t>
      </w:r>
    </w:p>
    <w:p w14:paraId="4F02E04F" w14:textId="77777777" w:rsidR="0048758F" w:rsidRPr="00EA0DC7" w:rsidRDefault="0048758F" w:rsidP="0048758F">
      <w:pPr>
        <w:pStyle w:val="Heading3"/>
      </w:pPr>
      <w:r w:rsidRPr="00EA0DC7">
        <w:t>6.3.3.4 Summary of results addressing Aim 1</w:t>
      </w:r>
      <w:r w:rsidRPr="00EA0DC7">
        <w:tab/>
      </w:r>
    </w:p>
    <w:p w14:paraId="3C6411BD" w14:textId="1444518F" w:rsidR="0048758F" w:rsidRPr="00EA0DC7" w:rsidRDefault="0048758F" w:rsidP="0048758F">
      <w:pPr>
        <w:ind w:firstLine="720"/>
      </w:pPr>
      <w:r w:rsidRPr="00EA0DC7">
        <w:t>Results have indicated that all male supervisees are given the same direction by their supervisor, regardless of their anxiety level. However, female supervisees are treated differently depending on their anxiety</w:t>
      </w:r>
      <w:r w:rsidR="003419DA" w:rsidRPr="00EA0DC7">
        <w:t xml:space="preserve"> levels</w:t>
      </w:r>
      <w:r w:rsidRPr="00EA0DC7">
        <w:t xml:space="preserve">. In addition, results indicate that female supervisees are also treated differently to their male colleagues. Trait anxious females in particular, are unlikely to be directed back towards behavioural activation techniques.   </w:t>
      </w:r>
    </w:p>
    <w:p w14:paraId="66094DBC" w14:textId="77777777" w:rsidR="0048758F" w:rsidRPr="00EA0DC7" w:rsidRDefault="0048758F" w:rsidP="0048758F">
      <w:pPr>
        <w:pStyle w:val="Heading3"/>
      </w:pPr>
      <w:r w:rsidRPr="00EA0DC7">
        <w:t>6.3.3.5 Supervisor cluster analysis</w:t>
      </w:r>
    </w:p>
    <w:p w14:paraId="0DF8097B" w14:textId="5AF79B95" w:rsidR="0048758F" w:rsidRPr="00EA0DC7" w:rsidRDefault="0048758F" w:rsidP="0048758F">
      <w:pPr>
        <w:ind w:firstLine="720"/>
        <w:rPr>
          <w:rFonts w:cs="Arial"/>
        </w:rPr>
      </w:pPr>
      <w:r w:rsidRPr="00EA0DC7">
        <w:rPr>
          <w:rFonts w:cs="Arial"/>
        </w:rPr>
        <w:t xml:space="preserve">Using the supervisors’ total scores for the degree to which they would focus on different therapy elements (alliance, techniques, case management), two-step cluster analysis provided a four-cluster solution. The first cluster (30.2% of the sample) had little focus on any aspect of supervision and is </w:t>
      </w:r>
      <w:r w:rsidRPr="00EA0DC7">
        <w:rPr>
          <w:rFonts w:cs="Arial"/>
        </w:rPr>
        <w:lastRenderedPageBreak/>
        <w:t>r</w:t>
      </w:r>
      <w:r w:rsidR="005A0ACE" w:rsidRPr="00EA0DC7">
        <w:rPr>
          <w:rFonts w:cs="Arial"/>
        </w:rPr>
        <w:t xml:space="preserve">eferred to as </w:t>
      </w:r>
      <w:r w:rsidRPr="00EA0DC7">
        <w:rPr>
          <w:rFonts w:cs="Arial"/>
          <w:i/>
        </w:rPr>
        <w:t>Unfocused</w:t>
      </w:r>
      <w:r w:rsidRPr="00EA0DC7">
        <w:rPr>
          <w:rFonts w:cs="Arial"/>
        </w:rPr>
        <w:t xml:space="preserve">. The second cluster (34.0% of the sample) had a moderate focus on all aspects </w:t>
      </w:r>
      <w:r w:rsidR="005A0ACE" w:rsidRPr="00EA0DC7">
        <w:rPr>
          <w:rFonts w:cs="Arial"/>
        </w:rPr>
        <w:t xml:space="preserve">of supervision, referred to as </w:t>
      </w:r>
      <w:r w:rsidR="005A0ACE" w:rsidRPr="00EA0DC7">
        <w:rPr>
          <w:rFonts w:cs="Arial"/>
          <w:i/>
        </w:rPr>
        <w:t>Moderate Focus</w:t>
      </w:r>
      <w:r w:rsidRPr="00EA0DC7">
        <w:rPr>
          <w:rFonts w:cs="Arial"/>
        </w:rPr>
        <w:t xml:space="preserve">. The third cluster (17.0% of the sample) had the greatest focus on all aspects of supervision, referred </w:t>
      </w:r>
      <w:r w:rsidR="005A0ACE" w:rsidRPr="00EA0DC7">
        <w:rPr>
          <w:rFonts w:cs="Arial"/>
        </w:rPr>
        <w:t xml:space="preserve">to as </w:t>
      </w:r>
      <w:r w:rsidR="005A0ACE" w:rsidRPr="00EA0DC7">
        <w:rPr>
          <w:rFonts w:cs="Arial"/>
          <w:i/>
        </w:rPr>
        <w:t>High Focus</w:t>
      </w:r>
      <w:r w:rsidRPr="00EA0DC7">
        <w:rPr>
          <w:rFonts w:cs="Arial"/>
        </w:rPr>
        <w:t>. The final cluster (18.9% of the sample) had a high focus on both alliance and case management but a low to moderate focu</w:t>
      </w:r>
      <w:r w:rsidR="00245A3D" w:rsidRPr="00EA0DC7">
        <w:rPr>
          <w:rFonts w:cs="Arial"/>
        </w:rPr>
        <w:t xml:space="preserve">s on technique, referred to as </w:t>
      </w:r>
      <w:r w:rsidR="00245A3D" w:rsidRPr="00EA0DC7">
        <w:rPr>
          <w:rFonts w:cs="Arial"/>
          <w:i/>
        </w:rPr>
        <w:t>Low Technique Focus</w:t>
      </w:r>
      <w:r w:rsidRPr="00EA0DC7">
        <w:rPr>
          <w:rFonts w:cs="Arial"/>
        </w:rPr>
        <w:t>.</w:t>
      </w:r>
    </w:p>
    <w:p w14:paraId="7ECA446D" w14:textId="4BC36F11" w:rsidR="00DE47D8" w:rsidRPr="00EA0DC7" w:rsidRDefault="00DE47D8" w:rsidP="00DE47D8">
      <w:pPr>
        <w:pStyle w:val="Heading4"/>
      </w:pPr>
      <w:r w:rsidRPr="00EA0DC7">
        <w:t>6.3.3.5.1 Clinical validation of clusters</w:t>
      </w:r>
    </w:p>
    <w:p w14:paraId="7F906189" w14:textId="11CCF471" w:rsidR="0048758F" w:rsidRPr="00EA0DC7" w:rsidRDefault="0048758F" w:rsidP="0048758F">
      <w:pPr>
        <w:ind w:firstLine="720"/>
        <w:rPr>
          <w:rFonts w:cs="Arial"/>
        </w:rPr>
      </w:pPr>
      <w:r w:rsidRPr="00EA0DC7">
        <w:rPr>
          <w:rFonts w:cs="Arial"/>
        </w:rPr>
        <w:t xml:space="preserve">Using one-way ANOVAs, the four clusters were compared on participant characteristics. Those in the </w:t>
      </w:r>
      <w:r w:rsidRPr="00EA0DC7">
        <w:rPr>
          <w:rFonts w:cs="Arial"/>
          <w:i/>
        </w:rPr>
        <w:t>High Focus</w:t>
      </w:r>
      <w:r w:rsidRPr="00EA0DC7">
        <w:rPr>
          <w:rFonts w:cs="Arial"/>
        </w:rPr>
        <w:t xml:space="preserve"> group had been qualified for longer (</w:t>
      </w:r>
      <w:r w:rsidRPr="00EA0DC7">
        <w:rPr>
          <w:rFonts w:cs="Arial"/>
          <w:i/>
        </w:rPr>
        <w:t>M</w:t>
      </w:r>
      <w:r w:rsidRPr="00EA0DC7">
        <w:rPr>
          <w:rFonts w:cs="Arial"/>
        </w:rPr>
        <w:t xml:space="preserve"> = 24.56, </w:t>
      </w:r>
      <w:r w:rsidRPr="00EA0DC7">
        <w:rPr>
          <w:rFonts w:cs="Arial"/>
          <w:i/>
        </w:rPr>
        <w:t>SD</w:t>
      </w:r>
      <w:r w:rsidRPr="00EA0DC7">
        <w:rPr>
          <w:rFonts w:cs="Arial"/>
        </w:rPr>
        <w:t xml:space="preserve"> = 12.21) than those in all of the other clusters (</w:t>
      </w:r>
      <w:r w:rsidRPr="00EA0DC7">
        <w:rPr>
          <w:rFonts w:cs="Arial"/>
          <w:i/>
        </w:rPr>
        <w:t>Unfocused</w:t>
      </w:r>
      <w:r w:rsidRPr="00EA0DC7">
        <w:rPr>
          <w:rFonts w:cs="Arial"/>
        </w:rPr>
        <w:t xml:space="preserve"> </w:t>
      </w:r>
      <w:r w:rsidRPr="00EA0DC7">
        <w:rPr>
          <w:rFonts w:cs="Arial"/>
          <w:i/>
        </w:rPr>
        <w:t>M</w:t>
      </w:r>
      <w:r w:rsidRPr="00EA0DC7">
        <w:rPr>
          <w:rFonts w:cs="Arial"/>
        </w:rPr>
        <w:t xml:space="preserve"> = 14.63, </w:t>
      </w:r>
      <w:r w:rsidRPr="00EA0DC7">
        <w:rPr>
          <w:rFonts w:cs="Arial"/>
          <w:i/>
        </w:rPr>
        <w:t>SD</w:t>
      </w:r>
      <w:r w:rsidRPr="00EA0DC7">
        <w:rPr>
          <w:rFonts w:cs="Arial"/>
        </w:rPr>
        <w:t xml:space="preserve"> = 8.62, </w:t>
      </w:r>
      <w:r w:rsidRPr="00EA0DC7">
        <w:rPr>
          <w:rFonts w:cs="Arial"/>
          <w:i/>
        </w:rPr>
        <w:t>Moderate Focus</w:t>
      </w:r>
      <w:r w:rsidRPr="00EA0DC7">
        <w:rPr>
          <w:rFonts w:cs="Arial"/>
        </w:rPr>
        <w:t xml:space="preserve"> </w:t>
      </w:r>
      <w:r w:rsidRPr="00EA0DC7">
        <w:rPr>
          <w:rFonts w:cs="Arial"/>
          <w:i/>
        </w:rPr>
        <w:t>M</w:t>
      </w:r>
      <w:r w:rsidRPr="00EA0DC7">
        <w:rPr>
          <w:rFonts w:cs="Arial"/>
        </w:rPr>
        <w:t xml:space="preserve"> = 12.72, </w:t>
      </w:r>
      <w:r w:rsidRPr="00EA0DC7">
        <w:rPr>
          <w:rFonts w:cs="Arial"/>
          <w:i/>
        </w:rPr>
        <w:t>SD</w:t>
      </w:r>
      <w:r w:rsidRPr="00EA0DC7">
        <w:rPr>
          <w:rFonts w:cs="Arial"/>
        </w:rPr>
        <w:t xml:space="preserve"> = 7.41</w:t>
      </w:r>
      <w:r w:rsidRPr="00EA0DC7">
        <w:rPr>
          <w:rFonts w:cs="Arial"/>
          <w:i/>
        </w:rPr>
        <w:t>, Low Technique Focus</w:t>
      </w:r>
      <w:r w:rsidRPr="00EA0DC7">
        <w:rPr>
          <w:rFonts w:cs="Arial"/>
        </w:rPr>
        <w:t xml:space="preserve"> </w:t>
      </w:r>
      <w:r w:rsidRPr="00EA0DC7">
        <w:rPr>
          <w:rFonts w:cs="Arial"/>
          <w:i/>
        </w:rPr>
        <w:t>M</w:t>
      </w:r>
      <w:r w:rsidRPr="00EA0DC7">
        <w:rPr>
          <w:rFonts w:cs="Arial"/>
        </w:rPr>
        <w:t xml:space="preserve"> = 9.25, </w:t>
      </w:r>
      <w:r w:rsidRPr="00EA0DC7">
        <w:rPr>
          <w:rFonts w:cs="Arial"/>
          <w:i/>
        </w:rPr>
        <w:t>SD</w:t>
      </w:r>
      <w:r w:rsidRPr="00EA0DC7">
        <w:rPr>
          <w:rFonts w:cs="Arial"/>
        </w:rPr>
        <w:t xml:space="preserve"> = 7.55, </w:t>
      </w:r>
      <w:r w:rsidRPr="00EA0DC7">
        <w:rPr>
          <w:rFonts w:cs="Arial"/>
          <w:i/>
        </w:rPr>
        <w:t>F</w:t>
      </w:r>
      <w:r w:rsidRPr="00EA0DC7">
        <w:rPr>
          <w:rFonts w:cs="Arial"/>
        </w:rPr>
        <w:t xml:space="preserve">(3,49) = 5.40, </w:t>
      </w:r>
      <w:r w:rsidRPr="00EA0DC7">
        <w:rPr>
          <w:rFonts w:cs="Arial"/>
          <w:i/>
        </w:rPr>
        <w:t>p</w:t>
      </w:r>
      <w:r w:rsidRPr="00EA0DC7">
        <w:rPr>
          <w:rFonts w:cs="Arial"/>
        </w:rPr>
        <w:t xml:space="preserve"> = .003). Those in the </w:t>
      </w:r>
      <w:r w:rsidRPr="00EA0DC7">
        <w:rPr>
          <w:rFonts w:cs="Arial"/>
          <w:i/>
        </w:rPr>
        <w:t>High Focus</w:t>
      </w:r>
      <w:r w:rsidRPr="00EA0DC7">
        <w:rPr>
          <w:rFonts w:cs="Arial"/>
        </w:rPr>
        <w:t xml:space="preserve"> group (</w:t>
      </w:r>
      <w:r w:rsidRPr="00EA0DC7">
        <w:rPr>
          <w:rFonts w:cs="Arial"/>
          <w:i/>
        </w:rPr>
        <w:t>M</w:t>
      </w:r>
      <w:r w:rsidRPr="00EA0DC7">
        <w:rPr>
          <w:rFonts w:cs="Arial"/>
        </w:rPr>
        <w:t xml:space="preserve"> = 18.22, </w:t>
      </w:r>
      <w:r w:rsidRPr="00EA0DC7">
        <w:rPr>
          <w:rFonts w:cs="Arial"/>
          <w:i/>
        </w:rPr>
        <w:t>SD</w:t>
      </w:r>
      <w:r w:rsidRPr="00EA0DC7">
        <w:rPr>
          <w:rFonts w:cs="Arial"/>
        </w:rPr>
        <w:t xml:space="preserve"> = 7.87) had also been using CBT for depression for longer than those in the </w:t>
      </w:r>
      <w:r w:rsidRPr="00EA0DC7">
        <w:rPr>
          <w:rFonts w:cs="Arial"/>
          <w:i/>
        </w:rPr>
        <w:t>Moderate Focus</w:t>
      </w:r>
      <w:r w:rsidRPr="00EA0DC7">
        <w:rPr>
          <w:rFonts w:cs="Arial"/>
        </w:rPr>
        <w:t xml:space="preserve"> group (</w:t>
      </w:r>
      <w:r w:rsidRPr="00EA0DC7">
        <w:rPr>
          <w:rFonts w:cs="Arial"/>
          <w:i/>
        </w:rPr>
        <w:t>M</w:t>
      </w:r>
      <w:r w:rsidRPr="00EA0DC7">
        <w:rPr>
          <w:rFonts w:cs="Arial"/>
        </w:rPr>
        <w:t xml:space="preserve"> = 12.11, </w:t>
      </w:r>
      <w:r w:rsidRPr="00EA0DC7">
        <w:rPr>
          <w:rFonts w:cs="Arial"/>
          <w:i/>
        </w:rPr>
        <w:t>SD</w:t>
      </w:r>
      <w:r w:rsidRPr="00EA0DC7">
        <w:rPr>
          <w:rFonts w:cs="Arial"/>
        </w:rPr>
        <w:t xml:space="preserve"> = 5.06) and those in the </w:t>
      </w:r>
      <w:r w:rsidRPr="00EA0DC7">
        <w:rPr>
          <w:rFonts w:cs="Arial"/>
          <w:i/>
        </w:rPr>
        <w:t>Low Technique Focus</w:t>
      </w:r>
      <w:r w:rsidRPr="00EA0DC7">
        <w:rPr>
          <w:rFonts w:cs="Arial"/>
        </w:rPr>
        <w:t xml:space="preserve"> group (</w:t>
      </w:r>
      <w:r w:rsidRPr="00EA0DC7">
        <w:rPr>
          <w:rFonts w:cs="Arial"/>
          <w:i/>
        </w:rPr>
        <w:t>M</w:t>
      </w:r>
      <w:r w:rsidRPr="00EA0DC7">
        <w:rPr>
          <w:rFonts w:cs="Arial"/>
        </w:rPr>
        <w:t xml:space="preserve"> = 8.45, </w:t>
      </w:r>
      <w:r w:rsidRPr="00EA0DC7">
        <w:rPr>
          <w:rFonts w:cs="Arial"/>
          <w:i/>
        </w:rPr>
        <w:t>SD</w:t>
      </w:r>
      <w:r w:rsidRPr="00EA0DC7">
        <w:rPr>
          <w:rFonts w:cs="Arial"/>
        </w:rPr>
        <w:t xml:space="preserve"> = 4.36, </w:t>
      </w:r>
      <w:r w:rsidRPr="00EA0DC7">
        <w:rPr>
          <w:rFonts w:cs="Arial"/>
          <w:i/>
        </w:rPr>
        <w:t>F</w:t>
      </w:r>
      <w:r w:rsidRPr="00EA0DC7">
        <w:rPr>
          <w:rFonts w:cs="Arial"/>
        </w:rPr>
        <w:t xml:space="preserve">(3,49) = 3.821, </w:t>
      </w:r>
      <w:r w:rsidRPr="00EA0DC7">
        <w:rPr>
          <w:rFonts w:cs="Arial"/>
          <w:i/>
        </w:rPr>
        <w:t>p</w:t>
      </w:r>
      <w:r w:rsidRPr="00EA0DC7">
        <w:rPr>
          <w:rFonts w:cs="Arial"/>
        </w:rPr>
        <w:t xml:space="preserve"> = .015). No categorical participant variables were found to be associated with the clusters.</w:t>
      </w:r>
    </w:p>
    <w:p w14:paraId="60FACB44" w14:textId="77777777" w:rsidR="0048758F" w:rsidRPr="00EA0DC7" w:rsidRDefault="0048758F" w:rsidP="0048758F">
      <w:pPr>
        <w:pStyle w:val="Heading3"/>
      </w:pPr>
      <w:r w:rsidRPr="00EA0DC7">
        <w:t>6.3.3.6 Summary of results addressing Aim 2</w:t>
      </w:r>
    </w:p>
    <w:p w14:paraId="1054CB58" w14:textId="77777777" w:rsidR="0048758F" w:rsidRPr="00EA0DC7" w:rsidRDefault="0048758F" w:rsidP="0048758F">
      <w:r w:rsidRPr="00EA0DC7">
        <w:tab/>
        <w:t xml:space="preserve">Supervisors fell into four natural groups and these were differentiated by the amount of focus supervisors gave to the three core aspects of supervision. Only around two fifths of supervisors indicated a high focus on alliance and case management work and less than one fifth indicated a high focus on all three core aspects of supervision. These groups were not related </w:t>
      </w:r>
      <w:r w:rsidRPr="00EA0DC7">
        <w:lastRenderedPageBreak/>
        <w:t>to participant anxiety or self-esteem but were related to time since qualification and time using CBT for depression.</w:t>
      </w:r>
    </w:p>
    <w:p w14:paraId="2009A811" w14:textId="77777777" w:rsidR="0048758F" w:rsidRPr="00EA0DC7" w:rsidRDefault="0048758F" w:rsidP="0048758F">
      <w:pPr>
        <w:pStyle w:val="Heading2"/>
      </w:pPr>
      <w:bookmarkStart w:id="178" w:name="_Toc47039858"/>
      <w:r w:rsidRPr="00EA0DC7">
        <w:t>6.3.4 Discussion</w:t>
      </w:r>
      <w:bookmarkEnd w:id="178"/>
    </w:p>
    <w:p w14:paraId="2D815763" w14:textId="77777777" w:rsidR="0048758F" w:rsidRPr="00EA0DC7" w:rsidRDefault="0048758F" w:rsidP="0048758F">
      <w:r w:rsidRPr="00EA0DC7">
        <w:rPr>
          <w:i/>
        </w:rPr>
        <w:tab/>
      </w:r>
      <w:r w:rsidRPr="00EA0DC7">
        <w:t>This study investigated the reaction of supervisors guiding supervisees who were experiencing non-adherence to behavioural activation from their patients with depression. The first aim was to explore how the gender and anxiety of the supervisees impacted the advice given by supervisors. It was expected that female supervisees would be guided in different ways depending on their anxiety level - specifically that calm female supervisees would be directed back to behavioural activation more than anxious female supervisees. This hypothesis was not supported. However, state anxious females were directed back to behavioural activation more than trait anxious females. The second hypothesis, that male supervisees would be treated in the same way regardless of their anxiety, was supported. These findings indicate that both gender and anxiety can impact the way clinicians are guided, irrespective of the patient who they are treating.</w:t>
      </w:r>
    </w:p>
    <w:p w14:paraId="5602482E" w14:textId="77777777" w:rsidR="0048758F" w:rsidRPr="00EA0DC7" w:rsidRDefault="0048758F" w:rsidP="0048758F">
      <w:pPr>
        <w:ind w:firstLine="720"/>
      </w:pPr>
      <w:r w:rsidRPr="00EA0DC7">
        <w:t>The second aim of this study was to investigate whether patterns of supervisor focus fall into natural groupings, and whether such groups are validated by the supervisors’ own characteristics. Although supervisors low in anxiety or high in self-esteem did not direct supervisees more towards therapeutic techniques (as predicted), four supervisor ‘types’ emerged from the data, and these were related to characteristics of the supervisors.</w:t>
      </w:r>
    </w:p>
    <w:p w14:paraId="3097F709" w14:textId="77777777" w:rsidR="0048758F" w:rsidRPr="00EA0DC7" w:rsidRDefault="0048758F" w:rsidP="0048758F">
      <w:pPr>
        <w:ind w:firstLine="720"/>
      </w:pPr>
      <w:r w:rsidRPr="00EA0DC7">
        <w:t>These findings support previous work indicating that supervisors have biases in how to direct their supervisees (Dennhag et al., 2012; Simpson-</w:t>
      </w:r>
      <w:r w:rsidRPr="00EA0DC7">
        <w:lastRenderedPageBreak/>
        <w:t>Southward et al., 2016). In the current study, there appears to be a specific effect relating to trait anxious female supervisees. This group was encouraged to return to behavioural activation less than state anxious females. Perhaps supervisors are reluctant to push those with trait anxiety, believing them to lack the coping mechanisms required to handle the lack of adherence. In contrast, state anxious supervisees could be perceived as more robust and able to overcome anxieties surrounding their work.</w:t>
      </w:r>
    </w:p>
    <w:p w14:paraId="50ECE471" w14:textId="367C86CA" w:rsidR="0048758F" w:rsidRPr="00EA0DC7" w:rsidRDefault="0048758F" w:rsidP="0048758F">
      <w:pPr>
        <w:ind w:firstLine="720"/>
        <w:rPr>
          <w:rFonts w:cs="Arial"/>
        </w:rPr>
      </w:pPr>
      <w:r w:rsidRPr="00EA0DC7">
        <w:t xml:space="preserve">However, this does not explain why trait anxious female therapists are treated differently to trait anxious males. One possible explanation is that supervisors might feel that female therapists are more likely to pick up on cues indicating problems in therapy. Therefore, supervisors might take concerns from female supervisees more seriously and might not push for behavioural activation. Alternatively, supervisors might assume females are more vulnerable to anxiety-related issues, by virtue of their gender </w:t>
      </w:r>
      <w:r w:rsidRPr="00EA0DC7">
        <w:rPr>
          <w:rFonts w:cs="Arial"/>
        </w:rPr>
        <w:t>(e.g., Leahy et al., 2012). For this reason, supervisors might be reluctant to ask female clinicians to push their clients, believing that these supervisees could lack the ability to cope with potential conflict. However, such concern over female performance would be unfounded, as previous research has shown therapist gender to have little consistent impact on therapy performance and patient outcome, with females sometimes performing better than males (Branson &amp; Shafran, 2015; Huppert at al., 2001).</w:t>
      </w:r>
    </w:p>
    <w:p w14:paraId="2B04AA87" w14:textId="77777777" w:rsidR="0048758F" w:rsidRPr="00EA0DC7" w:rsidRDefault="0048758F" w:rsidP="0048758F">
      <w:pPr>
        <w:ind w:firstLine="720"/>
        <w:rPr>
          <w:rFonts w:cs="Arial"/>
        </w:rPr>
      </w:pPr>
      <w:r w:rsidRPr="00EA0DC7">
        <w:rPr>
          <w:rFonts w:cs="Arial"/>
        </w:rPr>
        <w:t xml:space="preserve">This lack of focus on behavioural activation for trait anxious females does not mean there is a lack of focus on therapeutic techniques in general. Supervisors indicated that they would give the same amount of focus to therapeutic techniques for trait anxious females as they would for any of the </w:t>
      </w:r>
      <w:r w:rsidRPr="00EA0DC7">
        <w:rPr>
          <w:rFonts w:cs="Arial"/>
        </w:rPr>
        <w:lastRenderedPageBreak/>
        <w:t>other supervisees. There are two possible explanations for this. First, there is something specific about encouraging behavioural activation that supervisors feel this group of supervisees will struggle with. In a similar way to exposure-based methods for anxiety disorders (Schumacher et al., 2014), behavioural activation might be viewed as more anxiety-provoking than other aspects of therapy as it requires the patient to be pushed out of their comfort zone. Anxious therapists often exclude such methods, but male and female therapists exclude exposure work to the same extent (Meyer et al., 2014). A second explanation is that supervisors are reluctant to enforce a technique that has not been adhered to, regardless of which technique it is. Supervisors might believe trait anxious females are unable to get therapy back on track without causing friction in the therapeutic relationship. However, as stated previously, gender has no consistent impact on therapeutic performance (Branson &amp; Shafran, 2015; Huppert at al., 2001).</w:t>
      </w:r>
    </w:p>
    <w:p w14:paraId="6D0ED0F6" w14:textId="298FCCA7" w:rsidR="0048758F" w:rsidRPr="00EA0DC7" w:rsidRDefault="0048758F" w:rsidP="0048758F">
      <w:pPr>
        <w:ind w:firstLine="720"/>
        <w:rPr>
          <w:rFonts w:cs="Arial"/>
        </w:rPr>
      </w:pPr>
      <w:r w:rsidRPr="00EA0DC7">
        <w:rPr>
          <w:rFonts w:cs="Arial"/>
        </w:rPr>
        <w:t>In addition to therapist characteristics, supervisor characteristics also impact the guidance given in supervision. Four types of supervisor emerged from the sample. The first three di</w:t>
      </w:r>
      <w:r w:rsidR="00696152" w:rsidRPr="00EA0DC7">
        <w:rPr>
          <w:rFonts w:cs="Arial"/>
        </w:rPr>
        <w:t>ffered by the amount of focus</w:t>
      </w:r>
      <w:r w:rsidRPr="00EA0DC7">
        <w:rPr>
          <w:rFonts w:cs="Arial"/>
        </w:rPr>
        <w:t xml:space="preserve"> given to all aspects of supervision;</w:t>
      </w:r>
      <w:r w:rsidR="00245A3D" w:rsidRPr="00EA0DC7">
        <w:rPr>
          <w:rFonts w:cs="Arial"/>
        </w:rPr>
        <w:t xml:space="preserve"> these groups are described as </w:t>
      </w:r>
      <w:r w:rsidRPr="00EA0DC7">
        <w:rPr>
          <w:rFonts w:cs="Arial"/>
          <w:i/>
        </w:rPr>
        <w:t>Unfocused</w:t>
      </w:r>
      <w:r w:rsidR="00245A3D" w:rsidRPr="00EA0DC7">
        <w:rPr>
          <w:rFonts w:cs="Arial"/>
        </w:rPr>
        <w:t xml:space="preserve">, </w:t>
      </w:r>
      <w:r w:rsidRPr="00EA0DC7">
        <w:rPr>
          <w:rFonts w:cs="Arial"/>
          <w:i/>
        </w:rPr>
        <w:t>Moderate Focus</w:t>
      </w:r>
      <w:r w:rsidR="00245A3D" w:rsidRPr="00EA0DC7">
        <w:rPr>
          <w:rFonts w:cs="Arial"/>
        </w:rPr>
        <w:t xml:space="preserve">, and </w:t>
      </w:r>
      <w:r w:rsidR="00245A3D" w:rsidRPr="00EA0DC7">
        <w:rPr>
          <w:rFonts w:cs="Arial"/>
          <w:i/>
        </w:rPr>
        <w:t>High Focus</w:t>
      </w:r>
      <w:r w:rsidR="00245A3D" w:rsidRPr="00EA0DC7">
        <w:rPr>
          <w:rFonts w:cs="Arial"/>
        </w:rPr>
        <w:t xml:space="preserve">. The </w:t>
      </w:r>
      <w:r w:rsidRPr="00EA0DC7">
        <w:rPr>
          <w:rFonts w:cs="Arial"/>
          <w:i/>
        </w:rPr>
        <w:t>High Focus</w:t>
      </w:r>
      <w:r w:rsidRPr="00EA0DC7">
        <w:rPr>
          <w:rFonts w:cs="Arial"/>
        </w:rPr>
        <w:t xml:space="preserve"> group is the smallest of these three groups, representing less than one fifth of the sample of supe</w:t>
      </w:r>
      <w:r w:rsidR="00245A3D" w:rsidRPr="00EA0DC7">
        <w:rPr>
          <w:rFonts w:cs="Arial"/>
        </w:rPr>
        <w:t xml:space="preserve">rvisors, whereas the </w:t>
      </w:r>
      <w:r w:rsidR="00245A3D" w:rsidRPr="00EA0DC7">
        <w:rPr>
          <w:rFonts w:cs="Arial"/>
          <w:i/>
        </w:rPr>
        <w:t>Unfocused</w:t>
      </w:r>
      <w:r w:rsidR="00245A3D" w:rsidRPr="00EA0DC7">
        <w:rPr>
          <w:rFonts w:cs="Arial"/>
        </w:rPr>
        <w:t xml:space="preserve"> and </w:t>
      </w:r>
      <w:r w:rsidR="00245A3D" w:rsidRPr="00EA0DC7">
        <w:rPr>
          <w:rFonts w:cs="Arial"/>
          <w:i/>
        </w:rPr>
        <w:t>Moderate Focus</w:t>
      </w:r>
      <w:r w:rsidRPr="00EA0DC7">
        <w:rPr>
          <w:rFonts w:cs="Arial"/>
        </w:rPr>
        <w:t xml:space="preserve"> represent almost two thirds. This indicates that a majority of supervisors lack a clear focus in their supervision session, which is perhaps unsurprising given the unfocused and confusing nature of clinical supervision models (Simpson-Southward et al., 2017). </w:t>
      </w:r>
    </w:p>
    <w:p w14:paraId="6C7357FD" w14:textId="2A8786A3" w:rsidR="0048758F" w:rsidRPr="00EA0DC7" w:rsidRDefault="0048758F" w:rsidP="0048758F">
      <w:pPr>
        <w:ind w:firstLine="720"/>
        <w:rPr>
          <w:rFonts w:cs="Arial"/>
        </w:rPr>
      </w:pPr>
      <w:r w:rsidRPr="00EA0DC7">
        <w:rPr>
          <w:rFonts w:cs="Arial"/>
        </w:rPr>
        <w:lastRenderedPageBreak/>
        <w:t>T</w:t>
      </w:r>
      <w:r w:rsidR="00C62955" w:rsidRPr="00EA0DC7">
        <w:rPr>
          <w:rFonts w:cs="Arial"/>
        </w:rPr>
        <w:t xml:space="preserve">he final group of supervisors, </w:t>
      </w:r>
      <w:r w:rsidRPr="00EA0DC7">
        <w:rPr>
          <w:rFonts w:cs="Arial"/>
          <w:i/>
        </w:rPr>
        <w:t>Low</w:t>
      </w:r>
      <w:r w:rsidR="00C62955" w:rsidRPr="00EA0DC7">
        <w:rPr>
          <w:rFonts w:cs="Arial"/>
          <w:i/>
        </w:rPr>
        <w:t xml:space="preserve"> Technique </w:t>
      </w:r>
      <w:r w:rsidR="003F64B9" w:rsidRPr="00EA0DC7">
        <w:rPr>
          <w:rFonts w:cs="Arial"/>
          <w:i/>
        </w:rPr>
        <w:t>F</w:t>
      </w:r>
      <w:r w:rsidR="00C62955" w:rsidRPr="00EA0DC7">
        <w:rPr>
          <w:rFonts w:cs="Arial"/>
          <w:i/>
        </w:rPr>
        <w:t>ocus</w:t>
      </w:r>
      <w:r w:rsidRPr="00EA0DC7">
        <w:rPr>
          <w:rFonts w:cs="Arial"/>
        </w:rPr>
        <w:t xml:space="preserve">, indicate a high focus on both alliance and case management issues but little focus on the therapeutic techniques. This pattern of focus is contrary to both the supervision models literature and CBT theory. The majority of supervision models indicate a focus on techniques, whereas less than two thirds focus on emotional aspects of work or managerial and ethical responsibilities (Simpson-Southward et al., 2017). Similarly, Beck et al. (1979) outline the alliance as necessary in therapy, but emphasise techniques as key to ensuring patient change. This lack of technique focus might be attributed to supervisors not wishing to upset or ‘break’ the </w:t>
      </w:r>
      <w:r w:rsidR="003F64B9" w:rsidRPr="00EA0DC7">
        <w:rPr>
          <w:rFonts w:cs="Arial"/>
        </w:rPr>
        <w:t xml:space="preserve">presumably </w:t>
      </w:r>
      <w:r w:rsidRPr="00EA0DC7">
        <w:rPr>
          <w:rFonts w:cs="Arial"/>
        </w:rPr>
        <w:t>‘fragile’ patient (Meehl, 1973) who is not adhering to therapeutic techniques.</w:t>
      </w:r>
    </w:p>
    <w:p w14:paraId="20037109" w14:textId="2E0837C9" w:rsidR="0048758F" w:rsidRPr="00EA0DC7" w:rsidRDefault="0048758F" w:rsidP="0048758F">
      <w:pPr>
        <w:ind w:firstLine="720"/>
        <w:rPr>
          <w:rFonts w:eastAsia="SimSun" w:cs="Arial"/>
        </w:rPr>
      </w:pPr>
      <w:r w:rsidRPr="00EA0DC7">
        <w:rPr>
          <w:rFonts w:cs="Arial"/>
        </w:rPr>
        <w:t xml:space="preserve">Previous results exploring the relationship between therapist experience and therapy outcomes have been mixed. Some previous research has indicated that greater therapist experience has no impact on treatment outcome </w:t>
      </w:r>
      <w:r w:rsidRPr="00EA0DC7">
        <w:rPr>
          <w:rFonts w:eastAsia="SimSun" w:cs="Arial"/>
        </w:rPr>
        <w:t xml:space="preserve">(Franklin, Abramowitz, Furr, Kalsy &amp; Riggs, 2003; Okiishi et al., 2006), some suggests a positive impact </w:t>
      </w:r>
      <w:r w:rsidRPr="00EA0DC7">
        <w:t>(Eells, Lombart, Kendjelic, Turner &amp; Lucas, 2005),</w:t>
      </w:r>
      <w:r w:rsidRPr="00EA0DC7">
        <w:rPr>
          <w:rFonts w:eastAsia="SimSun" w:cs="Arial"/>
        </w:rPr>
        <w:t xml:space="preserve"> and some suggests a negative impact (Shapiro &amp; Shapiro, 1982). The current study found that those with greater experience tended to have a high focus on all aspects of supervision – a pattern of focus described as necessary for successful supervision (Kadushin, 1979; Proctor, 1988). Having more experience is perhaps beneficial specifically when working with non-adhering patients – a group who might be viewed as more difficult to treat. This explanation resonates with results from Mason et al. (2016), who found that qualified therapists only outperform trainees when working with patients </w:t>
      </w:r>
      <w:r w:rsidRPr="00EA0DC7">
        <w:rPr>
          <w:rFonts w:eastAsia="SimSun" w:cs="Arial"/>
        </w:rPr>
        <w:lastRenderedPageBreak/>
        <w:t>with severe anxiety (rather than mild or moderate). The impact of experience upon supervision is explored further in Study 3b.</w:t>
      </w:r>
    </w:p>
    <w:p w14:paraId="3F141DF1" w14:textId="77777777" w:rsidR="0048758F" w:rsidRPr="00EA0DC7" w:rsidRDefault="0048758F" w:rsidP="0048758F">
      <w:pPr>
        <w:ind w:firstLine="720"/>
        <w:rPr>
          <w:rFonts w:cs="Arial"/>
        </w:rPr>
      </w:pPr>
    </w:p>
    <w:p w14:paraId="01CD7ED2" w14:textId="77777777" w:rsidR="0048758F" w:rsidRPr="00EA0DC7" w:rsidRDefault="0048758F" w:rsidP="0048758F">
      <w:pPr>
        <w:pStyle w:val="Heading2"/>
      </w:pPr>
      <w:bookmarkStart w:id="179" w:name="_Toc47039859"/>
      <w:r w:rsidRPr="00EA0DC7">
        <w:t>6.4 Study 3b – Patient non-adherence and the role of patient complexity and supervisee experience</w:t>
      </w:r>
      <w:bookmarkEnd w:id="179"/>
    </w:p>
    <w:p w14:paraId="4386F0B7" w14:textId="77777777" w:rsidR="0048758F" w:rsidRPr="00EA0DC7" w:rsidRDefault="0048758F" w:rsidP="0048758F">
      <w:pPr>
        <w:pStyle w:val="Heading2"/>
      </w:pPr>
      <w:bookmarkStart w:id="180" w:name="_Toc47039860"/>
      <w:r w:rsidRPr="00EA0DC7">
        <w:t>6.4.1 Background and aims</w:t>
      </w:r>
      <w:bookmarkEnd w:id="180"/>
    </w:p>
    <w:p w14:paraId="2ACD7FB1" w14:textId="0DE76382" w:rsidR="0048758F" w:rsidRPr="00EA0DC7" w:rsidRDefault="0048758F" w:rsidP="0048758F">
      <w:r w:rsidRPr="00EA0DC7">
        <w:tab/>
        <w:t xml:space="preserve">As discussed in the previous section, the relationship between therapist experience and therapeutic outcome is somewhat unclear. For example, case formulation ratings of expert therapists have been found to be more comprehensive, elaborate, and complex than those of novice or of experienced clinicians (Eells et al., 2005). However, other studies have found that clinical experience is negatively associated with symptom change (Bjaastad et al., 2018; Goldberg et al., 2016). Witteman and van de Bercken (2007) found a third relationship between experience and outcome. Their results indicated an intermediate effect; intermediate level clinicians had a worse diagnostic classification performance than either novice or experienced clinicians. Looking specifically at the role of experience within the context of supervision, Ost, Karlstedt and Widen (2012) found that supervision by experienced therapists </w:t>
      </w:r>
      <w:r w:rsidR="00EF0E47" w:rsidRPr="00EA0DC7">
        <w:t>could</w:t>
      </w:r>
      <w:r w:rsidRPr="00EA0DC7">
        <w:t xml:space="preserve"> be used to support inexperienced student therapists to achieve treatment effects that are on par with those of experienced therapists.</w:t>
      </w:r>
    </w:p>
    <w:p w14:paraId="28A8604D" w14:textId="0FD05AB6" w:rsidR="0048758F" w:rsidRPr="00EA0DC7" w:rsidRDefault="0048758F" w:rsidP="0048758F">
      <w:pPr>
        <w:ind w:firstLine="720"/>
      </w:pPr>
      <w:r w:rsidRPr="00EA0DC7">
        <w:t xml:space="preserve">A number of supervision models highlight the development of supervisees as they gain experience as a therapist (e.g., Hess, 1986; Hogan, </w:t>
      </w:r>
      <w:r w:rsidRPr="00EA0DC7">
        <w:lastRenderedPageBreak/>
        <w:t>1964; Rigazio-DiGilio &amp; Anderson, 1994). These models recommend that supervisors should treat their supervisees of different experience levels in different ways, often suggesting a heavy focus on educational approaches for low-level supervisees but peer work for higher levels (e.g., Hogan, 1964; Stotenberg &amp; Delworth, 1987). Some empirical research suggests that such variation in supervision does happen in practice (Stoltenberg, McNeill &amp; Crethar, 1994). The meta-analysis in Chapter 3 found that supervision has a medium to large positive effect on trainee clinicians’ outcomes but a non-significant effect for</w:t>
      </w:r>
      <w:r w:rsidR="00856806">
        <w:t xml:space="preserve"> </w:t>
      </w:r>
      <w:r w:rsidR="000A4A74">
        <w:t>qualified</w:t>
      </w:r>
      <w:r w:rsidRPr="00EA0DC7">
        <w:t xml:space="preserve"> outcomes. That difference might be due to this differential treatment of trainees and </w:t>
      </w:r>
      <w:r w:rsidR="000A4A74">
        <w:t>those</w:t>
      </w:r>
      <w:r w:rsidR="00856806">
        <w:t xml:space="preserve"> who are</w:t>
      </w:r>
      <w:r w:rsidR="000A4A74">
        <w:t xml:space="preserve"> qualified </w:t>
      </w:r>
      <w:r w:rsidRPr="00EA0DC7">
        <w:t>in supervision.</w:t>
      </w:r>
    </w:p>
    <w:p w14:paraId="5E8329E3" w14:textId="77777777" w:rsidR="0048758F" w:rsidRPr="00EA0DC7" w:rsidRDefault="0048758F" w:rsidP="0048758F">
      <w:pPr>
        <w:ind w:firstLine="720"/>
      </w:pPr>
      <w:r w:rsidRPr="00EA0DC7">
        <w:t xml:space="preserve">When allocating new patients to therapists, there is sometimes an assumption that trainee or inexperienced therapists should be allocated patient cases that are mild in complexity (Mason et al., 2016). In addition, some supervision models suggest that the supervisor should choose patients for their supervisees depending on the experience level of the therapists (e.g., Grater, 1985). Such an approach appears to be supported by Mason et al. (2016), who found that trainee therapists achieve the greatest symptom change with moderate anxiety cases, whereas experienced therapists elicit the greatest symptom change with severe anxiety cases. </w:t>
      </w:r>
    </w:p>
    <w:p w14:paraId="68EAC0FB" w14:textId="77777777" w:rsidR="0048758F" w:rsidRPr="00EA0DC7" w:rsidRDefault="0048758F" w:rsidP="0048758F">
      <w:pPr>
        <w:ind w:firstLine="720"/>
      </w:pPr>
      <w:r w:rsidRPr="00EA0DC7">
        <w:t xml:space="preserve">As highlighted in Chapter 4, supervisors make different recommendations to their supervisees, depending on the complexity of their patient case. Supervisors focused more on therapeutic techniques in supervision when the patient case was straightforward or complex than when the patient case was diffuse. It is possible that when making such </w:t>
      </w:r>
      <w:r w:rsidRPr="00EA0DC7">
        <w:lastRenderedPageBreak/>
        <w:t>recommendations in supervision, the supervisor also takes the experience of the therapist into account.</w:t>
      </w:r>
    </w:p>
    <w:p w14:paraId="10FA3D05" w14:textId="77777777" w:rsidR="0048758F" w:rsidRPr="00EA0DC7" w:rsidRDefault="0048758F" w:rsidP="0048758F">
      <w:pPr>
        <w:ind w:firstLine="720"/>
      </w:pPr>
      <w:r w:rsidRPr="00EA0DC7">
        <w:t xml:space="preserve">Therefore, this study investigated the recommendations that supervisors give to their supervisees when the patient is not adhering to the behavioural activation methods previously suggested by the supervisor and supervisee. The first aim is to determine whether such recommendations differ according to the case – specifically, whether supervision focus varies with the complexity of the patient case and the experience level of the supervisee. The following hypotheses are proposed: </w:t>
      </w:r>
    </w:p>
    <w:p w14:paraId="6B03A881" w14:textId="77777777" w:rsidR="0048758F" w:rsidRPr="00EA0DC7" w:rsidRDefault="0048758F" w:rsidP="0048758F">
      <w:pPr>
        <w:pStyle w:val="ListParagraph"/>
        <w:numPr>
          <w:ilvl w:val="1"/>
          <w:numId w:val="39"/>
        </w:numPr>
        <w:spacing w:after="200" w:line="480" w:lineRule="auto"/>
        <w:ind w:left="567"/>
      </w:pPr>
      <w:r w:rsidRPr="00EA0DC7">
        <w:t xml:space="preserve">supervisors will have a greater focus on techniques for inexperienced therapists, as they might require a more educative approach. </w:t>
      </w:r>
    </w:p>
    <w:p w14:paraId="066445D7" w14:textId="77777777" w:rsidR="0048758F" w:rsidRPr="00EA0DC7" w:rsidRDefault="0048758F" w:rsidP="0048758F">
      <w:pPr>
        <w:pStyle w:val="ListParagraph"/>
        <w:numPr>
          <w:ilvl w:val="1"/>
          <w:numId w:val="39"/>
        </w:numPr>
        <w:spacing w:after="200" w:line="480" w:lineRule="auto"/>
        <w:ind w:left="567"/>
      </w:pPr>
      <w:r w:rsidRPr="00EA0DC7">
        <w:t xml:space="preserve">behavioural activation, specifically, will be emphasised more with experienced therapists. </w:t>
      </w:r>
    </w:p>
    <w:p w14:paraId="4FD80F03" w14:textId="77777777" w:rsidR="0048758F" w:rsidRPr="00EA0DC7" w:rsidRDefault="0048758F" w:rsidP="0048758F">
      <w:pPr>
        <w:pStyle w:val="ListParagraph"/>
        <w:numPr>
          <w:ilvl w:val="1"/>
          <w:numId w:val="39"/>
        </w:numPr>
        <w:spacing w:after="200" w:line="480" w:lineRule="auto"/>
        <w:ind w:left="567"/>
      </w:pPr>
      <w:r w:rsidRPr="00EA0DC7">
        <w:t>supervisors will indicate a greater technique focus for straightforward and complex cases than for diffuse cases.</w:t>
      </w:r>
    </w:p>
    <w:p w14:paraId="2EC4D1FD" w14:textId="77777777" w:rsidR="0048758F" w:rsidRPr="00EA0DC7" w:rsidRDefault="0048758F" w:rsidP="0048758F">
      <w:pPr>
        <w:pStyle w:val="ListParagraph"/>
        <w:numPr>
          <w:ilvl w:val="1"/>
          <w:numId w:val="39"/>
        </w:numPr>
        <w:spacing w:after="200" w:line="480" w:lineRule="auto"/>
        <w:ind w:left="567"/>
      </w:pPr>
      <w:r w:rsidRPr="00EA0DC7">
        <w:t xml:space="preserve">supervisors will recommend returning to therapeutic techniques based on an interaction between therapist experience and patient complexity. </w:t>
      </w:r>
    </w:p>
    <w:p w14:paraId="4FB89FF7" w14:textId="77777777" w:rsidR="0048758F" w:rsidRPr="00EA0DC7" w:rsidRDefault="0048758F" w:rsidP="0048758F">
      <w:pPr>
        <w:ind w:firstLine="720"/>
      </w:pPr>
      <w:r w:rsidRPr="00EA0DC7">
        <w:t>The second aim of this study is to determine whether supervisors fall into natural groupings given their supervision focus, and whether these groups are validated by the supervisors’ own characteristics. It is hypothesised that:</w:t>
      </w:r>
    </w:p>
    <w:p w14:paraId="78DDA463" w14:textId="56CA5B97" w:rsidR="0048758F" w:rsidRPr="00EA0DC7" w:rsidRDefault="0048758F" w:rsidP="0048758F">
      <w:pPr>
        <w:pStyle w:val="ListParagraph"/>
        <w:numPr>
          <w:ilvl w:val="0"/>
          <w:numId w:val="41"/>
        </w:numPr>
        <w:spacing w:after="200" w:line="480" w:lineRule="auto"/>
        <w:ind w:left="567"/>
      </w:pPr>
      <w:r w:rsidRPr="00EA0DC7">
        <w:t>supervisors who experience high anxiety will suggest returning to therapeutic techniques less than supervisors with low anxiety</w:t>
      </w:r>
      <w:r w:rsidR="00EF0E47" w:rsidRPr="00EA0DC7">
        <w:t xml:space="preserve"> will</w:t>
      </w:r>
      <w:r w:rsidRPr="00EA0DC7">
        <w:t xml:space="preserve">. </w:t>
      </w:r>
    </w:p>
    <w:p w14:paraId="69F86C1D" w14:textId="3173CB1B" w:rsidR="0048758F" w:rsidRPr="00EA0DC7" w:rsidRDefault="0048758F" w:rsidP="0048758F">
      <w:pPr>
        <w:pStyle w:val="ListParagraph"/>
        <w:numPr>
          <w:ilvl w:val="0"/>
          <w:numId w:val="41"/>
        </w:numPr>
        <w:spacing w:after="200" w:line="480" w:lineRule="auto"/>
        <w:ind w:left="567"/>
      </w:pPr>
      <w:r w:rsidRPr="00EA0DC7">
        <w:t>supervisors with high self-esteem will stress returning to therapeutic techniques more than those with low self-esteem</w:t>
      </w:r>
      <w:r w:rsidR="00EF0E47" w:rsidRPr="00EA0DC7">
        <w:t xml:space="preserve"> will</w:t>
      </w:r>
      <w:r w:rsidRPr="00EA0DC7">
        <w:t>.</w:t>
      </w:r>
    </w:p>
    <w:p w14:paraId="7A588201" w14:textId="264EE1A3" w:rsidR="0048758F" w:rsidRDefault="0048758F" w:rsidP="0048758F">
      <w:pPr>
        <w:pStyle w:val="Heading2"/>
      </w:pPr>
      <w:bookmarkStart w:id="181" w:name="_Toc47039861"/>
      <w:r w:rsidRPr="00EA0DC7">
        <w:lastRenderedPageBreak/>
        <w:t>6.4.2 Method</w:t>
      </w:r>
      <w:bookmarkEnd w:id="181"/>
    </w:p>
    <w:p w14:paraId="3B32EA21" w14:textId="6B569D7A" w:rsidR="007B7750" w:rsidRPr="007B7750" w:rsidRDefault="007B7750" w:rsidP="00856806">
      <w:r>
        <w:tab/>
      </w:r>
      <w:commentRangeStart w:id="182"/>
      <w:r>
        <w:t xml:space="preserve">Please refer back to </w:t>
      </w:r>
      <w:r w:rsidR="00856806">
        <w:t>S</w:t>
      </w:r>
      <w:r>
        <w:t>ection 6.2 or further detail on participants, measures and procedures, and ethics.</w:t>
      </w:r>
      <w:commentRangeEnd w:id="182"/>
      <w:r w:rsidR="004D1109">
        <w:rPr>
          <w:rStyle w:val="CommentReference"/>
          <w:rFonts w:eastAsiaTheme="minorHAnsi"/>
          <w:lang w:eastAsia="en-US"/>
        </w:rPr>
        <w:commentReference w:id="182"/>
      </w:r>
    </w:p>
    <w:p w14:paraId="308048AA" w14:textId="77777777" w:rsidR="0048758F" w:rsidRPr="00EA0DC7" w:rsidRDefault="0048758F" w:rsidP="0048758F">
      <w:pPr>
        <w:pStyle w:val="Heading3"/>
      </w:pPr>
      <w:r w:rsidRPr="00EA0DC7">
        <w:t>6.4.2.1 Design</w:t>
      </w:r>
    </w:p>
    <w:p w14:paraId="4470759A" w14:textId="4A8B69C3" w:rsidR="0048758F" w:rsidRPr="00EA0DC7" w:rsidRDefault="0048758F" w:rsidP="0048758F">
      <w:pPr>
        <w:rPr>
          <w:rFonts w:cs="Arial"/>
        </w:rPr>
      </w:pPr>
      <w:r w:rsidRPr="00EA0DC7">
        <w:rPr>
          <w:rFonts w:cs="Arial"/>
          <w:b/>
        </w:rPr>
        <w:tab/>
      </w:r>
      <w:r w:rsidRPr="00EA0DC7">
        <w:rPr>
          <w:rFonts w:cs="Arial"/>
        </w:rPr>
        <w:t>This was a between-subject, survey-based, experimental design. The independent variables were the level of supervisee experience (inexperienced/experienced) and the complexity of the patient’s case (straightforward/diffuse/complex)</w:t>
      </w:r>
      <w:r w:rsidR="00955F61">
        <w:rPr>
          <w:rFonts w:cs="Arial"/>
        </w:rPr>
        <w:t xml:space="preserve"> as outlined</w:t>
      </w:r>
      <w:r w:rsidRPr="00EA0DC7">
        <w:rPr>
          <w:rFonts w:cs="Arial"/>
        </w:rPr>
        <w:t xml:space="preserve"> in the vignettes. </w:t>
      </w:r>
      <w:r w:rsidR="00C238B8" w:rsidRPr="00EA0DC7">
        <w:rPr>
          <w:rFonts w:cs="Arial"/>
        </w:rPr>
        <w:t>Appendix 6</w:t>
      </w:r>
      <w:r w:rsidR="00916EEA">
        <w:rPr>
          <w:rFonts w:cs="Arial"/>
        </w:rPr>
        <w:t>D</w:t>
      </w:r>
      <w:r w:rsidRPr="00EA0DC7">
        <w:rPr>
          <w:rFonts w:cs="Arial"/>
        </w:rPr>
        <w:t xml:space="preserve"> contains the full vignettes. The dependent variable was the supervisor reaction (guidance given to the supervisees).</w:t>
      </w:r>
    </w:p>
    <w:p w14:paraId="295C789A" w14:textId="77777777" w:rsidR="0048758F" w:rsidRPr="00EA0DC7" w:rsidRDefault="0048758F" w:rsidP="0048758F">
      <w:pPr>
        <w:pStyle w:val="Heading3"/>
      </w:pPr>
      <w:r w:rsidRPr="00EA0DC7">
        <w:t>6.4.2.2 Data analysis</w:t>
      </w:r>
    </w:p>
    <w:p w14:paraId="5B8B75C0" w14:textId="77777777" w:rsidR="0048758F" w:rsidRPr="00EA0DC7" w:rsidRDefault="0048758F" w:rsidP="0048758F">
      <w:r w:rsidRPr="00EA0DC7">
        <w:tab/>
      </w:r>
      <w:r w:rsidRPr="00EA0DC7">
        <w:rPr>
          <w:rFonts w:cs="Arial"/>
        </w:rPr>
        <w:t>To assess the overall pattern of focus in supervision, a repeated measures ANOVA was carried out. A two-way ANOVA was used to assess encouragement to return to behavioural activation and a MANOVA was used to assess general supervision focus given different supervisees.</w:t>
      </w:r>
      <w:r w:rsidRPr="00EA0DC7">
        <w:t xml:space="preserve"> Finally</w:t>
      </w:r>
      <w:r w:rsidRPr="00EA0DC7">
        <w:rPr>
          <w:rFonts w:cs="Arial"/>
        </w:rPr>
        <w:t>, a two-step cluster analysis was conducted to identify supervisor ‘types’. These clusters were validated using one-way ANOVAs and chi-squared tests.</w:t>
      </w:r>
    </w:p>
    <w:p w14:paraId="10311D5F" w14:textId="77777777" w:rsidR="0048758F" w:rsidRPr="00EA0DC7" w:rsidRDefault="0048758F" w:rsidP="0048758F">
      <w:pPr>
        <w:pStyle w:val="Heading2"/>
      </w:pPr>
      <w:bookmarkStart w:id="183" w:name="_Toc47039862"/>
      <w:r w:rsidRPr="00EA0DC7">
        <w:t>6.4.3 Results</w:t>
      </w:r>
      <w:bookmarkEnd w:id="183"/>
    </w:p>
    <w:p w14:paraId="47407817" w14:textId="77777777" w:rsidR="0048758F" w:rsidRPr="00EA0DC7" w:rsidRDefault="0048758F" w:rsidP="0048758F">
      <w:pPr>
        <w:pStyle w:val="Heading3"/>
      </w:pPr>
      <w:r w:rsidRPr="00EA0DC7">
        <w:t>6.4.3.1 Overall focus in supervision</w:t>
      </w:r>
    </w:p>
    <w:p w14:paraId="0F4BD523" w14:textId="77777777" w:rsidR="0048758F" w:rsidRPr="00EA0DC7" w:rsidRDefault="0048758F" w:rsidP="0048758F">
      <w:pPr>
        <w:rPr>
          <w:rFonts w:cs="Arial"/>
        </w:rPr>
      </w:pPr>
      <w:r w:rsidRPr="00EA0DC7">
        <w:tab/>
        <w:t xml:space="preserve">Totals were calculated for focus on case management, alliance and technique, by taking the overall mean of the aspects in each category. There was a significant difference in the supervisors’ overall focus on case </w:t>
      </w:r>
      <w:r w:rsidRPr="00EA0DC7">
        <w:lastRenderedPageBreak/>
        <w:t>management, alliance, and technique, regardless of the type of clinician or patient (</w:t>
      </w:r>
      <w:r w:rsidRPr="00EA0DC7">
        <w:rPr>
          <w:i/>
        </w:rPr>
        <w:t>F</w:t>
      </w:r>
      <w:r w:rsidRPr="00EA0DC7">
        <w:t xml:space="preserve">(2,104) = 40.81, </w:t>
      </w:r>
      <w:r w:rsidRPr="00EA0DC7">
        <w:rPr>
          <w:i/>
        </w:rPr>
        <w:t>p</w:t>
      </w:r>
      <w:r w:rsidRPr="00EA0DC7">
        <w:t xml:space="preserve"> &lt; .001). Supervisors focused </w:t>
      </w:r>
      <w:r w:rsidRPr="00EA0DC7">
        <w:rPr>
          <w:rFonts w:cs="Arial"/>
        </w:rPr>
        <w:t>most on the alliance (</w:t>
      </w:r>
      <w:r w:rsidRPr="00EA0DC7">
        <w:rPr>
          <w:rFonts w:cs="Arial"/>
          <w:i/>
        </w:rPr>
        <w:t xml:space="preserve">M </w:t>
      </w:r>
      <w:r w:rsidRPr="00EA0DC7">
        <w:rPr>
          <w:rFonts w:cs="Arial"/>
        </w:rPr>
        <w:t xml:space="preserve">= 51.51, </w:t>
      </w:r>
      <w:r w:rsidRPr="00EA0DC7">
        <w:rPr>
          <w:rFonts w:cs="Arial"/>
          <w:i/>
        </w:rPr>
        <w:t>SD</w:t>
      </w:r>
      <w:r w:rsidRPr="00EA0DC7">
        <w:rPr>
          <w:rFonts w:cs="Arial"/>
        </w:rPr>
        <w:t xml:space="preserve"> = 23.24), then case management (</w:t>
      </w:r>
      <w:r w:rsidRPr="00EA0DC7">
        <w:rPr>
          <w:rFonts w:cs="Arial"/>
          <w:i/>
        </w:rPr>
        <w:t xml:space="preserve">M </w:t>
      </w:r>
      <w:r w:rsidRPr="00EA0DC7">
        <w:rPr>
          <w:rFonts w:cs="Arial"/>
        </w:rPr>
        <w:t xml:space="preserve">= 42.75, </w:t>
      </w:r>
      <w:r w:rsidRPr="00EA0DC7">
        <w:rPr>
          <w:rFonts w:cs="Arial"/>
          <w:i/>
        </w:rPr>
        <w:t>SD</w:t>
      </w:r>
      <w:r w:rsidRPr="00EA0DC7">
        <w:rPr>
          <w:rFonts w:cs="Arial"/>
        </w:rPr>
        <w:t xml:space="preserve"> = 17.91), and least on technique (</w:t>
      </w:r>
      <w:r w:rsidRPr="00EA0DC7">
        <w:rPr>
          <w:rFonts w:cs="Arial"/>
          <w:i/>
        </w:rPr>
        <w:t xml:space="preserve">M </w:t>
      </w:r>
      <w:r w:rsidRPr="00EA0DC7">
        <w:rPr>
          <w:rFonts w:cs="Arial"/>
        </w:rPr>
        <w:t xml:space="preserve">= 30.78, </w:t>
      </w:r>
      <w:r w:rsidRPr="00EA0DC7">
        <w:rPr>
          <w:rFonts w:cs="Arial"/>
          <w:i/>
        </w:rPr>
        <w:t>SD</w:t>
      </w:r>
      <w:r w:rsidRPr="00EA0DC7">
        <w:rPr>
          <w:rFonts w:cs="Arial"/>
        </w:rPr>
        <w:t xml:space="preserve"> = 16.77).</w:t>
      </w:r>
    </w:p>
    <w:p w14:paraId="6B3C5DD4" w14:textId="77777777" w:rsidR="0048758F" w:rsidRPr="00EA0DC7" w:rsidRDefault="0048758F" w:rsidP="0048758F">
      <w:r w:rsidRPr="00EA0DC7">
        <w:rPr>
          <w:rFonts w:cs="Arial"/>
        </w:rPr>
        <w:tab/>
        <w:t>Supervisors focused more on returning to behavioural activation (</w:t>
      </w:r>
      <w:r w:rsidRPr="00EA0DC7">
        <w:rPr>
          <w:rFonts w:cs="Arial"/>
          <w:i/>
        </w:rPr>
        <w:t>M</w:t>
      </w:r>
      <w:r w:rsidRPr="00EA0DC7">
        <w:rPr>
          <w:rFonts w:cs="Arial"/>
        </w:rPr>
        <w:t xml:space="preserve"> = 47.63, </w:t>
      </w:r>
      <w:r w:rsidRPr="00EA0DC7">
        <w:rPr>
          <w:rFonts w:cs="Arial"/>
          <w:i/>
        </w:rPr>
        <w:t>SD</w:t>
      </w:r>
      <w:r w:rsidRPr="00EA0DC7">
        <w:rPr>
          <w:rFonts w:cs="Arial"/>
        </w:rPr>
        <w:t xml:space="preserve"> = 29.95) than on therapeutic techniques in general (</w:t>
      </w:r>
      <w:r w:rsidRPr="00EA0DC7">
        <w:rPr>
          <w:rFonts w:cs="Arial"/>
          <w:i/>
        </w:rPr>
        <w:t>t</w:t>
      </w:r>
      <w:r w:rsidRPr="00EA0DC7">
        <w:rPr>
          <w:rFonts w:cs="Arial"/>
        </w:rPr>
        <w:t xml:space="preserve">(52) = 4.55, </w:t>
      </w:r>
      <w:r w:rsidRPr="00EA0DC7">
        <w:rPr>
          <w:rFonts w:cs="Arial"/>
          <w:i/>
        </w:rPr>
        <w:t>p</w:t>
      </w:r>
      <w:r w:rsidRPr="00EA0DC7">
        <w:rPr>
          <w:rFonts w:cs="Arial"/>
        </w:rPr>
        <w:t xml:space="preserve"> &lt; .001). However, there was no difference between behavioural activation focus and either alliance focus (</w:t>
      </w:r>
      <w:r w:rsidRPr="00EA0DC7">
        <w:rPr>
          <w:rFonts w:cs="Arial"/>
          <w:i/>
        </w:rPr>
        <w:t>t</w:t>
      </w:r>
      <w:r w:rsidRPr="00EA0DC7">
        <w:rPr>
          <w:rFonts w:cs="Arial"/>
        </w:rPr>
        <w:t xml:space="preserve">(52) = 1.07, </w:t>
      </w:r>
      <w:r w:rsidRPr="00EA0DC7">
        <w:rPr>
          <w:rFonts w:cs="Arial"/>
          <w:i/>
        </w:rPr>
        <w:t>p</w:t>
      </w:r>
      <w:r w:rsidRPr="00EA0DC7">
        <w:rPr>
          <w:rFonts w:cs="Arial"/>
        </w:rPr>
        <w:t xml:space="preserve"> = .290) or case management focus (</w:t>
      </w:r>
      <w:r w:rsidRPr="00EA0DC7">
        <w:rPr>
          <w:rFonts w:cs="Arial"/>
          <w:i/>
        </w:rPr>
        <w:t>t</w:t>
      </w:r>
      <w:r w:rsidRPr="00EA0DC7">
        <w:rPr>
          <w:rFonts w:cs="Arial"/>
        </w:rPr>
        <w:t xml:space="preserve">(52) = 1.36, </w:t>
      </w:r>
      <w:r w:rsidRPr="00EA0DC7">
        <w:rPr>
          <w:rFonts w:cs="Arial"/>
          <w:i/>
        </w:rPr>
        <w:t>p</w:t>
      </w:r>
      <w:r w:rsidRPr="00EA0DC7">
        <w:rPr>
          <w:rFonts w:cs="Arial"/>
        </w:rPr>
        <w:t xml:space="preserve"> = .180).</w:t>
      </w:r>
    </w:p>
    <w:p w14:paraId="05E87E1D" w14:textId="77777777" w:rsidR="0048758F" w:rsidRPr="00EA0DC7" w:rsidRDefault="0048758F" w:rsidP="0048758F">
      <w:pPr>
        <w:pStyle w:val="Heading3"/>
      </w:pPr>
      <w:r w:rsidRPr="00EA0DC7">
        <w:t>6.4.3.2 Supervisor focus on returning to behavioural activation given different supervisees and patients</w:t>
      </w:r>
    </w:p>
    <w:p w14:paraId="433AC7D2" w14:textId="77777777" w:rsidR="0048758F" w:rsidRPr="00EA0DC7" w:rsidRDefault="0048758F" w:rsidP="0048758F">
      <w:r w:rsidRPr="00EA0DC7">
        <w:tab/>
        <w:t>There was no main effect of supervisee experience (</w:t>
      </w:r>
      <w:r w:rsidRPr="00EA0DC7">
        <w:rPr>
          <w:rFonts w:cs="Arial"/>
          <w:i/>
        </w:rPr>
        <w:t>F</w:t>
      </w:r>
      <w:r w:rsidRPr="00EA0DC7">
        <w:rPr>
          <w:rFonts w:cs="Arial"/>
        </w:rPr>
        <w:t xml:space="preserve">(1, 47) = 0.001, </w:t>
      </w:r>
      <w:r w:rsidRPr="00EA0DC7">
        <w:rPr>
          <w:rFonts w:cs="Arial"/>
          <w:i/>
        </w:rPr>
        <w:t>p</w:t>
      </w:r>
      <w:r w:rsidRPr="00EA0DC7">
        <w:rPr>
          <w:rFonts w:cs="Arial"/>
        </w:rPr>
        <w:t xml:space="preserve"> = .975)</w:t>
      </w:r>
      <w:r w:rsidRPr="00EA0DC7">
        <w:rPr>
          <w:rFonts w:cs="Arial"/>
          <w:b/>
        </w:rPr>
        <w:t xml:space="preserve"> </w:t>
      </w:r>
      <w:r w:rsidRPr="00EA0DC7">
        <w:t>or of patient complexity (</w:t>
      </w:r>
      <w:r w:rsidRPr="00EA0DC7">
        <w:rPr>
          <w:rFonts w:cs="Arial"/>
          <w:i/>
        </w:rPr>
        <w:t>F</w:t>
      </w:r>
      <w:r w:rsidRPr="00EA0DC7">
        <w:rPr>
          <w:rFonts w:cs="Arial"/>
        </w:rPr>
        <w:t xml:space="preserve">(2, 47) = .671, </w:t>
      </w:r>
      <w:r w:rsidRPr="00EA0DC7">
        <w:rPr>
          <w:rFonts w:cs="Arial"/>
          <w:i/>
        </w:rPr>
        <w:t>p</w:t>
      </w:r>
      <w:r w:rsidRPr="00EA0DC7">
        <w:rPr>
          <w:rFonts w:cs="Arial"/>
        </w:rPr>
        <w:t xml:space="preserve"> = .516)</w:t>
      </w:r>
      <w:r w:rsidRPr="00EA0DC7">
        <w:t xml:space="preserve"> on whether supervisors suggest returning to behavioural activation. The interaction of supervisee experience by patient complexity was also non-significant (</w:t>
      </w:r>
      <w:r w:rsidRPr="00EA0DC7">
        <w:rPr>
          <w:i/>
        </w:rPr>
        <w:t>F</w:t>
      </w:r>
      <w:r w:rsidRPr="00EA0DC7">
        <w:t xml:space="preserve">(2,47) = 1.527, </w:t>
      </w:r>
      <w:r w:rsidRPr="00EA0DC7">
        <w:rPr>
          <w:i/>
        </w:rPr>
        <w:t>p</w:t>
      </w:r>
      <w:r w:rsidRPr="00EA0DC7">
        <w:t xml:space="preserve"> = .228).</w:t>
      </w:r>
    </w:p>
    <w:p w14:paraId="4110A05A" w14:textId="77777777" w:rsidR="0048758F" w:rsidRPr="00EA0DC7" w:rsidRDefault="0048758F" w:rsidP="0048758F">
      <w:pPr>
        <w:pStyle w:val="Heading3"/>
      </w:pPr>
      <w:r w:rsidRPr="00EA0DC7">
        <w:t>6.4.3.3 Supervisor focus on case management, alliance, and technique given different supervisees</w:t>
      </w:r>
    </w:p>
    <w:p w14:paraId="35E4671A" w14:textId="77777777" w:rsidR="0048758F" w:rsidRPr="00EA0DC7" w:rsidRDefault="0048758F" w:rsidP="0048758F">
      <w:r w:rsidRPr="00EA0DC7">
        <w:tab/>
        <w:t xml:space="preserve">There were no significant main effects of clinician experience or patient complexity on case management, alliance, and technique focus. There was also no overall interaction effect (all </w:t>
      </w:r>
      <w:r w:rsidRPr="00EA0DC7">
        <w:rPr>
          <w:i/>
        </w:rPr>
        <w:t xml:space="preserve">p </w:t>
      </w:r>
      <w:r w:rsidRPr="00EA0DC7">
        <w:t>&gt; .05).</w:t>
      </w:r>
    </w:p>
    <w:p w14:paraId="16541216" w14:textId="77777777" w:rsidR="0048758F" w:rsidRPr="00EA0DC7" w:rsidRDefault="0048758F" w:rsidP="004C54F0">
      <w:pPr>
        <w:pStyle w:val="Heading3"/>
        <w:keepNext/>
      </w:pPr>
      <w:r w:rsidRPr="00EA0DC7">
        <w:lastRenderedPageBreak/>
        <w:t>6.4.3.4 Supervisor cluster analysis</w:t>
      </w:r>
    </w:p>
    <w:p w14:paraId="32468DF7" w14:textId="70966519" w:rsidR="0048758F" w:rsidRPr="00EA0DC7" w:rsidRDefault="0048758F" w:rsidP="0048758F">
      <w:pPr>
        <w:ind w:firstLine="720"/>
        <w:rPr>
          <w:rFonts w:cs="Arial"/>
        </w:rPr>
      </w:pPr>
      <w:r w:rsidRPr="00EA0DC7">
        <w:rPr>
          <w:rFonts w:cs="Arial"/>
        </w:rPr>
        <w:t>Using the supervisors’ total scores for the degree to which they would focus on different therapy elements (alliance, techniques, case management), two-step cluster analysis provided a two-cluster solution. The first cluster (30.2% of the sample) had little focus on any aspect of supervision and are refe</w:t>
      </w:r>
      <w:r w:rsidR="00932C38" w:rsidRPr="00EA0DC7">
        <w:rPr>
          <w:rFonts w:cs="Arial"/>
        </w:rPr>
        <w:t xml:space="preserve">rred to as </w:t>
      </w:r>
      <w:r w:rsidRPr="00EA0DC7">
        <w:rPr>
          <w:rFonts w:cs="Arial"/>
          <w:i/>
        </w:rPr>
        <w:t>Unfocused</w:t>
      </w:r>
      <w:r w:rsidRPr="00EA0DC7">
        <w:rPr>
          <w:rFonts w:cs="Arial"/>
        </w:rPr>
        <w:t>. The second group (69.8% of the sample) have a moderate focus on all aspects of supervision an</w:t>
      </w:r>
      <w:r w:rsidR="00932C38" w:rsidRPr="00EA0DC7">
        <w:rPr>
          <w:rFonts w:cs="Arial"/>
        </w:rPr>
        <w:t xml:space="preserve">d are therefore referred to as </w:t>
      </w:r>
      <w:r w:rsidRPr="00EA0DC7">
        <w:rPr>
          <w:rFonts w:cs="Arial"/>
          <w:i/>
        </w:rPr>
        <w:t>Moderate Focus</w:t>
      </w:r>
      <w:r w:rsidRPr="00EA0DC7">
        <w:rPr>
          <w:rFonts w:cs="Arial"/>
        </w:rPr>
        <w:t>.</w:t>
      </w:r>
    </w:p>
    <w:p w14:paraId="723A9107" w14:textId="46039EBF" w:rsidR="00DE47D8" w:rsidRPr="00EA0DC7" w:rsidRDefault="00DE47D8" w:rsidP="00DE47D8">
      <w:pPr>
        <w:pStyle w:val="Heading4"/>
      </w:pPr>
      <w:r w:rsidRPr="00EA0DC7">
        <w:t>6.4.3.4.1 Clinical validation of clusters</w:t>
      </w:r>
    </w:p>
    <w:p w14:paraId="57C10A81" w14:textId="6F7B8F6F" w:rsidR="0048758F" w:rsidRPr="00EA0DC7" w:rsidRDefault="0048758F" w:rsidP="0048758F">
      <w:pPr>
        <w:ind w:firstLine="720"/>
      </w:pPr>
      <w:r w:rsidRPr="00EA0DC7">
        <w:rPr>
          <w:rFonts w:cs="Arial"/>
        </w:rPr>
        <w:t>None of the participant variables were found to be associated with cluster membership.</w:t>
      </w:r>
    </w:p>
    <w:p w14:paraId="23BCE589" w14:textId="77777777" w:rsidR="0048758F" w:rsidRPr="00EA0DC7" w:rsidRDefault="0048758F" w:rsidP="0048758F">
      <w:pPr>
        <w:pStyle w:val="Heading2"/>
      </w:pPr>
      <w:bookmarkStart w:id="184" w:name="_Toc47039863"/>
      <w:r w:rsidRPr="00EA0DC7">
        <w:t>6.4.4 Discussion</w:t>
      </w:r>
      <w:bookmarkEnd w:id="184"/>
    </w:p>
    <w:p w14:paraId="20BE771D" w14:textId="77777777" w:rsidR="0048758F" w:rsidRPr="00EA0DC7" w:rsidRDefault="0048758F" w:rsidP="0048758F">
      <w:r w:rsidRPr="00EA0DC7">
        <w:tab/>
        <w:t xml:space="preserve">This study explored supervision of therapists working with patients who were not adhering to the behavioural activation components of CBT. The first aim was to investigate how the experience of the therapist and the complexity of the patient case impact the guidance given in supervision sessions. None of the hypotheses relating to therapist experience or patient complexity were confirmed. Supervisors indicated that they would focus on therapeutic technique (and on behavioural activation more specifically) to the same extent regardless of whether the therapist was experienced or inexperienced and regardless of whether the patient case was straightforward, diffuse or complex. There was also no interaction between therapist and patient characteristics. Addressing the second aim of this study – investigating the natural groupings </w:t>
      </w:r>
      <w:r w:rsidRPr="00EA0DC7">
        <w:lastRenderedPageBreak/>
        <w:t>of supervisors – two supervisor ‘types’ emerged from the data. However, these were not validated by any supervisor characteristics.</w:t>
      </w:r>
    </w:p>
    <w:p w14:paraId="45EC4BCE" w14:textId="77777777" w:rsidR="0048758F" w:rsidRPr="00EA0DC7" w:rsidRDefault="0048758F" w:rsidP="0048758F">
      <w:r w:rsidRPr="00EA0DC7">
        <w:tab/>
        <w:t>The lack of impact of therapist experience and patient complexity might appear contrary to previous research on supervision (e.g., Simpson-Southward et al., 2018; Stoltenberg, McNeill &amp; Crethar, 1994) and therapy outcomes (Bjaastad et al., 2018; Eells et al., 2005; Goldberg et al., 2016; Mason et al., 2016; Witteman &amp; van de Bercken, 2007). However, in the current study it is possible that the added element of non-adherence played a key role. The supervisors are perhaps basing their recommendations purely on the lack of adherence to behavioural activation, rather than on the qualities of the patients and therapists. This would appear to be a logical approach to take, given that successful completion of such between-session tasks in cognitive therapy for depression has a positive impact on patient outcomes (Detweiler &amp; Whisman, 2006).</w:t>
      </w:r>
    </w:p>
    <w:p w14:paraId="1525077D" w14:textId="200832B5" w:rsidR="0048758F" w:rsidRPr="00EA0DC7" w:rsidRDefault="0048758F" w:rsidP="0048758F">
      <w:r w:rsidRPr="00EA0DC7">
        <w:tab/>
        <w:t>The finding that supervisors focused on a return to behavioural activation more than general therapeutic techniques also supports the notion that the non-adherence is playing a key role in supervisory recommendations. Alliance and case management were focused on to the same extent as behavioural activation, perhaps indicating supervisors feel they are important when dealing with non-adherence. However, as none of these aspects were focused on to a great extent (as shown in the cluster analysis finding that participa</w:t>
      </w:r>
      <w:r w:rsidR="00932C38" w:rsidRPr="00EA0DC7">
        <w:t xml:space="preserve">nts either fall into either an </w:t>
      </w:r>
      <w:r w:rsidRPr="00EA0DC7">
        <w:rPr>
          <w:i/>
        </w:rPr>
        <w:t>Unfocused</w:t>
      </w:r>
      <w:r w:rsidRPr="00EA0DC7">
        <w:t xml:space="preserve"> or</w:t>
      </w:r>
      <w:r w:rsidR="00932C38" w:rsidRPr="00EA0DC7">
        <w:t xml:space="preserve"> </w:t>
      </w:r>
      <w:r w:rsidR="00932C38" w:rsidRPr="00EA0DC7">
        <w:rPr>
          <w:i/>
        </w:rPr>
        <w:t>Moderate Focus</w:t>
      </w:r>
      <w:r w:rsidRPr="00EA0DC7">
        <w:t xml:space="preserve"> group), this outcome might also indicate a lack of clear focus in supervision. As with Study 3a, this pattern could be viewed as a reflection of the lack of clarity in the supervision models literature (Simpson-Southward et al., 2017).</w:t>
      </w:r>
      <w:r w:rsidRPr="00EA0DC7">
        <w:tab/>
      </w:r>
    </w:p>
    <w:p w14:paraId="489CFE3B" w14:textId="54B9D474" w:rsidR="0048758F" w:rsidRPr="00EA0DC7" w:rsidRDefault="0048758F" w:rsidP="00932C38">
      <w:pPr>
        <w:pStyle w:val="Heading2"/>
        <w:keepNext/>
      </w:pPr>
      <w:bookmarkStart w:id="185" w:name="_Toc47039864"/>
      <w:r w:rsidRPr="00EA0DC7">
        <w:lastRenderedPageBreak/>
        <w:t>6.5 Study 3c – Supervisee non-adherence and the role of supervisee gender and anxiety</w:t>
      </w:r>
      <w:bookmarkEnd w:id="185"/>
    </w:p>
    <w:p w14:paraId="49D203A3" w14:textId="77777777" w:rsidR="0048758F" w:rsidRPr="00EA0DC7" w:rsidRDefault="0048758F" w:rsidP="00932C38">
      <w:pPr>
        <w:pStyle w:val="Heading2"/>
        <w:keepNext/>
      </w:pPr>
      <w:bookmarkStart w:id="186" w:name="_Toc47039865"/>
      <w:r w:rsidRPr="00EA0DC7">
        <w:t>6.5.1 Background and aims</w:t>
      </w:r>
      <w:bookmarkEnd w:id="186"/>
    </w:p>
    <w:p w14:paraId="18E254C4" w14:textId="39B5F0B7" w:rsidR="0048758F" w:rsidRPr="00EA0DC7" w:rsidRDefault="0048758F" w:rsidP="0048758F">
      <w:pPr>
        <w:ind w:firstLine="720"/>
      </w:pPr>
      <w:r w:rsidRPr="00EA0DC7">
        <w:t>The previous two mini-studies in this chapter focused on how supervisors react to patients not adhering to the behavioural activ</w:t>
      </w:r>
      <w:r w:rsidR="00932C38" w:rsidRPr="00EA0DC7">
        <w:t>ation aspects of therapy. R</w:t>
      </w:r>
      <w:r w:rsidRPr="00EA0DC7">
        <w:t xml:space="preserve">eluctance from patients might be unsurprising, given that such techniques push patients to engage in behaviours considered to be out of their comfort zone (Kanter, Busch &amp; Rusch, 2009). Something that is perhaps more surprising is when therapists do not adhere to core aspects of therapy – a phenomenon known as therapist drift (Waller, 2009). Various research has indicated that therapist drift is a common occurrence (e.g. Becker, Zayfert &amp; Anderson, 2004; Stobie et al., 2007; Waller et al., 2012). </w:t>
      </w:r>
      <w:r w:rsidRPr="00EA0DC7">
        <w:rPr>
          <w:rFonts w:eastAsia="Calibri" w:cs="Arial"/>
          <w:szCs w:val="24"/>
          <w:lang w:eastAsia="en-US"/>
        </w:rPr>
        <w:t xml:space="preserve">It is often assumed that clinical supervision will ensure therapist adherence (Lambert &amp; Ogles, 1997), and thus contribute to positive patient outcomes (Ellis &amp; Ladany, 1997; Milne &amp; James, 2000). However, supervisors do not always treat their supervisees equally (Dennhag et al., 2012, Simpson-Southward et al., 2016), and sometimes their own anxieties can interfere with the supervision process (Simpson-Southward et al., 2018). </w:t>
      </w:r>
      <w:r w:rsidRPr="00EA0DC7">
        <w:t xml:space="preserve">This study will investigate how supervisors react to non-adherence from their supervisees and whether the characteristics of the supervisors or supervisees affect the advice given. </w:t>
      </w:r>
    </w:p>
    <w:p w14:paraId="3DDAA0CB" w14:textId="77777777" w:rsidR="0048758F" w:rsidRPr="00EA0DC7" w:rsidRDefault="0048758F" w:rsidP="0048758F">
      <w:pPr>
        <w:ind w:firstLine="720"/>
      </w:pPr>
      <w:r w:rsidRPr="00EA0DC7">
        <w:t>The first aim is to explore whether the recommendations given in supervision differ according to the characteristics of the supervisee. The following hypotheses are proposed:</w:t>
      </w:r>
    </w:p>
    <w:p w14:paraId="0757716D" w14:textId="77777777" w:rsidR="0048758F" w:rsidRPr="00EA0DC7" w:rsidRDefault="0048758F" w:rsidP="0048758F">
      <w:pPr>
        <w:pStyle w:val="ListParagraph"/>
        <w:numPr>
          <w:ilvl w:val="0"/>
          <w:numId w:val="42"/>
        </w:numPr>
        <w:spacing w:after="200" w:line="480" w:lineRule="auto"/>
        <w:ind w:left="567"/>
      </w:pPr>
      <w:r w:rsidRPr="00EA0DC7">
        <w:lastRenderedPageBreak/>
        <w:t xml:space="preserve">supervisors will direct female supervisees in different ways according to the supervisee anxiety. Calm female supervisees will be directed back to the original course of action (behavioural activation), whereas, anxious female supervisees will not. </w:t>
      </w:r>
    </w:p>
    <w:p w14:paraId="40A728BB" w14:textId="77777777" w:rsidR="0048758F" w:rsidRPr="00EA0DC7" w:rsidRDefault="0048758F" w:rsidP="0048758F">
      <w:pPr>
        <w:pStyle w:val="ListParagraph"/>
        <w:numPr>
          <w:ilvl w:val="0"/>
          <w:numId w:val="42"/>
        </w:numPr>
        <w:spacing w:after="200" w:line="480" w:lineRule="auto"/>
        <w:ind w:left="567"/>
      </w:pPr>
      <w:r w:rsidRPr="00EA0DC7">
        <w:t xml:space="preserve">male supervisees will be given the same directions by the supervisors, regardless of their anxiety. </w:t>
      </w:r>
    </w:p>
    <w:p w14:paraId="67D2685F" w14:textId="77777777" w:rsidR="0048758F" w:rsidRPr="00EA0DC7" w:rsidRDefault="0048758F" w:rsidP="0048758F">
      <w:pPr>
        <w:ind w:firstLine="720"/>
      </w:pPr>
      <w:r w:rsidRPr="00EA0DC7">
        <w:t xml:space="preserve">The second aim of this study is to investigate whether patterns of supervisor focus fall into natural groupings, and whether such groups are validated by the supervisors’ own characteristics. Two hypotheses are proposed: </w:t>
      </w:r>
    </w:p>
    <w:p w14:paraId="0DFAE792" w14:textId="77777777" w:rsidR="0048758F" w:rsidRPr="00EA0DC7" w:rsidRDefault="0048758F" w:rsidP="0048758F">
      <w:pPr>
        <w:pStyle w:val="ListParagraph"/>
        <w:numPr>
          <w:ilvl w:val="0"/>
          <w:numId w:val="44"/>
        </w:numPr>
        <w:spacing w:after="200" w:line="480" w:lineRule="auto"/>
        <w:ind w:left="567"/>
      </w:pPr>
      <w:r w:rsidRPr="00EA0DC7">
        <w:t>anxious supervisors will not encourage the supervisee to return to the therapeutic techniques</w:t>
      </w:r>
    </w:p>
    <w:p w14:paraId="6D928475" w14:textId="77777777" w:rsidR="0048758F" w:rsidRPr="00EA0DC7" w:rsidRDefault="0048758F" w:rsidP="0048758F">
      <w:pPr>
        <w:pStyle w:val="ListParagraph"/>
        <w:numPr>
          <w:ilvl w:val="0"/>
          <w:numId w:val="44"/>
        </w:numPr>
        <w:spacing w:after="200" w:line="480" w:lineRule="auto"/>
        <w:ind w:left="567"/>
      </w:pPr>
      <w:r w:rsidRPr="00EA0DC7">
        <w:t>supervisors with higher self-esteem will encourage supervisees to return to therapeutic techniques.</w:t>
      </w:r>
    </w:p>
    <w:p w14:paraId="28F07417" w14:textId="605BAB1B" w:rsidR="0048758F" w:rsidRDefault="0048758F" w:rsidP="0048758F">
      <w:pPr>
        <w:pStyle w:val="Heading2"/>
      </w:pPr>
      <w:bookmarkStart w:id="187" w:name="_Toc47039866"/>
      <w:r w:rsidRPr="00EA0DC7">
        <w:t>6.5.2 Method</w:t>
      </w:r>
      <w:bookmarkEnd w:id="187"/>
    </w:p>
    <w:p w14:paraId="37C022C5" w14:textId="31277BF6" w:rsidR="007B7750" w:rsidRPr="007B7750" w:rsidRDefault="007B7750" w:rsidP="00C067C0">
      <w:r>
        <w:tab/>
      </w:r>
      <w:commentRangeStart w:id="188"/>
      <w:r>
        <w:t xml:space="preserve">Please refer back to </w:t>
      </w:r>
      <w:r w:rsidR="00C067C0">
        <w:t>S</w:t>
      </w:r>
      <w:r>
        <w:t>ection 6.2 or further detail on participants, measures and procedures, and ethics.</w:t>
      </w:r>
      <w:commentRangeEnd w:id="188"/>
      <w:r w:rsidR="004D1109">
        <w:rPr>
          <w:rStyle w:val="CommentReference"/>
          <w:rFonts w:eastAsiaTheme="minorHAnsi"/>
          <w:lang w:eastAsia="en-US"/>
        </w:rPr>
        <w:commentReference w:id="188"/>
      </w:r>
    </w:p>
    <w:p w14:paraId="2BA26C4D" w14:textId="77777777" w:rsidR="0048758F" w:rsidRPr="00EA0DC7" w:rsidRDefault="0048758F" w:rsidP="0048758F">
      <w:pPr>
        <w:pStyle w:val="Heading3"/>
      </w:pPr>
      <w:r w:rsidRPr="00EA0DC7">
        <w:t>6.5.2.1 Design</w:t>
      </w:r>
    </w:p>
    <w:p w14:paraId="11218690" w14:textId="0FB23355" w:rsidR="0048758F" w:rsidRPr="00EA0DC7" w:rsidRDefault="0048758F" w:rsidP="0048758F">
      <w:pPr>
        <w:rPr>
          <w:rFonts w:cs="Arial"/>
        </w:rPr>
      </w:pPr>
      <w:r w:rsidRPr="00EA0DC7">
        <w:rPr>
          <w:rFonts w:cs="Arial"/>
          <w:b/>
        </w:rPr>
        <w:tab/>
      </w:r>
      <w:r w:rsidRPr="00EA0DC7">
        <w:rPr>
          <w:rFonts w:cs="Arial"/>
        </w:rPr>
        <w:t xml:space="preserve">This was a between-subject, survey-based, experimental design. The independent variables were the level of supervisee anxiety (state anxious/trait anxious/calm) and the supervisee gender </w:t>
      </w:r>
      <w:r w:rsidR="00955F61">
        <w:rPr>
          <w:rFonts w:cs="Arial"/>
        </w:rPr>
        <w:t xml:space="preserve">as outlined </w:t>
      </w:r>
      <w:r w:rsidRPr="00EA0DC7">
        <w:rPr>
          <w:rFonts w:cs="Arial"/>
        </w:rPr>
        <w:t xml:space="preserve">in the vignettes. </w:t>
      </w:r>
      <w:r w:rsidR="00916EEA">
        <w:rPr>
          <w:rFonts w:cs="Arial"/>
        </w:rPr>
        <w:t>Appendix 6E</w:t>
      </w:r>
      <w:r w:rsidRPr="00EA0DC7">
        <w:rPr>
          <w:rFonts w:cs="Arial"/>
        </w:rPr>
        <w:t xml:space="preserve"> contains the full vignettes. The dependent variable was the supervisor reaction (guidance given to the supervisees).</w:t>
      </w:r>
    </w:p>
    <w:p w14:paraId="4E340BD1" w14:textId="77777777" w:rsidR="0048758F" w:rsidRPr="00EA0DC7" w:rsidRDefault="0048758F" w:rsidP="003447C9">
      <w:pPr>
        <w:pStyle w:val="Heading3"/>
        <w:keepNext/>
        <w:widowControl w:val="0"/>
      </w:pPr>
      <w:r w:rsidRPr="00EA0DC7">
        <w:lastRenderedPageBreak/>
        <w:t>6.5.2.2 Data analysis</w:t>
      </w:r>
    </w:p>
    <w:p w14:paraId="3DB63209" w14:textId="77777777" w:rsidR="0048758F" w:rsidRPr="00EA0DC7" w:rsidRDefault="0048758F" w:rsidP="003447C9">
      <w:pPr>
        <w:widowControl w:val="0"/>
        <w:rPr>
          <w:rFonts w:cs="Arial"/>
        </w:rPr>
      </w:pPr>
      <w:r w:rsidRPr="00EA0DC7">
        <w:rPr>
          <w:rFonts w:cs="Arial"/>
        </w:rPr>
        <w:tab/>
        <w:t>To assess the overall pattern of focus in supervision, a repeated measures ANOVA was carried out. A two-way ANOVA was used to assess encouragement to return to behavioural activation, and a MANOVA was used to assess general supervision focus given different supervisees.</w:t>
      </w:r>
      <w:r w:rsidRPr="00EA0DC7">
        <w:t xml:space="preserve"> </w:t>
      </w:r>
      <w:r w:rsidRPr="00EA0DC7">
        <w:rPr>
          <w:rFonts w:cs="Arial"/>
        </w:rPr>
        <w:t>A two-step cluster analysis was used to identify supervisor ‘types’, and these clusters were validated using one-way ANOVAs and chi-square tests.</w:t>
      </w:r>
    </w:p>
    <w:p w14:paraId="11AA4655" w14:textId="77777777" w:rsidR="0048758F" w:rsidRPr="00EA0DC7" w:rsidRDefault="0048758F" w:rsidP="0048758F">
      <w:pPr>
        <w:pStyle w:val="Heading2"/>
      </w:pPr>
      <w:bookmarkStart w:id="189" w:name="_Toc47039867"/>
      <w:r w:rsidRPr="00EA0DC7">
        <w:t>6.5.3 Results</w:t>
      </w:r>
      <w:bookmarkEnd w:id="189"/>
    </w:p>
    <w:p w14:paraId="4C58F429" w14:textId="77777777" w:rsidR="0048758F" w:rsidRPr="00EA0DC7" w:rsidRDefault="0048758F" w:rsidP="0048758F">
      <w:pPr>
        <w:pStyle w:val="Heading3"/>
      </w:pPr>
      <w:r w:rsidRPr="00EA0DC7">
        <w:t>6.5.3.1 Overall focus in supervision</w:t>
      </w:r>
    </w:p>
    <w:p w14:paraId="0B9B951A" w14:textId="39F2FA06" w:rsidR="0048758F" w:rsidRPr="00EA0DC7" w:rsidRDefault="0048758F" w:rsidP="0048758F">
      <w:pPr>
        <w:rPr>
          <w:rFonts w:cs="Arial"/>
        </w:rPr>
      </w:pPr>
      <w:r w:rsidRPr="00EA0DC7">
        <w:tab/>
        <w:t>Totals for focus on case management, alliance</w:t>
      </w:r>
      <w:r w:rsidR="00F9509C" w:rsidRPr="00EA0DC7">
        <w:t>,</w:t>
      </w:r>
      <w:r w:rsidRPr="00EA0DC7">
        <w:t xml:space="preserve"> and technique were calculated by taking the overall mean of the aspects in each category. There was a significant difference in the supervisors’ overall focus on case management, alliance, and technique, regardless of the type of clinician (</w:t>
      </w:r>
      <w:r w:rsidRPr="00EA0DC7">
        <w:rPr>
          <w:i/>
        </w:rPr>
        <w:t>F</w:t>
      </w:r>
      <w:r w:rsidRPr="00EA0DC7">
        <w:t xml:space="preserve">(1.77, 92.16) = 70.36, </w:t>
      </w:r>
      <w:r w:rsidRPr="00EA0DC7">
        <w:rPr>
          <w:i/>
        </w:rPr>
        <w:t>p</w:t>
      </w:r>
      <w:r w:rsidRPr="00EA0DC7">
        <w:t xml:space="preserve"> &lt; .001). Supervisors focused </w:t>
      </w:r>
      <w:r w:rsidRPr="00EA0DC7">
        <w:rPr>
          <w:rFonts w:cs="Arial"/>
        </w:rPr>
        <w:t>most on the alliance (</w:t>
      </w:r>
      <w:r w:rsidRPr="00EA0DC7">
        <w:rPr>
          <w:rFonts w:cs="Arial"/>
          <w:i/>
        </w:rPr>
        <w:t xml:space="preserve">M </w:t>
      </w:r>
      <w:r w:rsidRPr="00EA0DC7">
        <w:rPr>
          <w:rFonts w:cs="Arial"/>
        </w:rPr>
        <w:t xml:space="preserve">= 53.46, </w:t>
      </w:r>
      <w:r w:rsidRPr="00EA0DC7">
        <w:rPr>
          <w:rFonts w:cs="Arial"/>
          <w:i/>
        </w:rPr>
        <w:t>SD</w:t>
      </w:r>
      <w:r w:rsidRPr="00EA0DC7">
        <w:rPr>
          <w:rFonts w:cs="Arial"/>
        </w:rPr>
        <w:t xml:space="preserve"> = 21.37), then case management (</w:t>
      </w:r>
      <w:r w:rsidRPr="00EA0DC7">
        <w:rPr>
          <w:rFonts w:cs="Arial"/>
          <w:i/>
        </w:rPr>
        <w:t xml:space="preserve">M </w:t>
      </w:r>
      <w:r w:rsidRPr="00EA0DC7">
        <w:rPr>
          <w:rFonts w:cs="Arial"/>
        </w:rPr>
        <w:t xml:space="preserve">= 42.04, </w:t>
      </w:r>
      <w:r w:rsidRPr="00EA0DC7">
        <w:rPr>
          <w:rFonts w:cs="Arial"/>
          <w:i/>
        </w:rPr>
        <w:t>SD</w:t>
      </w:r>
      <w:r w:rsidRPr="00EA0DC7">
        <w:rPr>
          <w:rFonts w:cs="Arial"/>
        </w:rPr>
        <w:t xml:space="preserve"> = 18.52), and least on technique (</w:t>
      </w:r>
      <w:r w:rsidRPr="00EA0DC7">
        <w:rPr>
          <w:rFonts w:cs="Arial"/>
          <w:i/>
        </w:rPr>
        <w:t xml:space="preserve">M </w:t>
      </w:r>
      <w:r w:rsidRPr="00EA0DC7">
        <w:rPr>
          <w:rFonts w:cs="Arial"/>
        </w:rPr>
        <w:t xml:space="preserve">= 29.89, </w:t>
      </w:r>
      <w:r w:rsidRPr="00EA0DC7">
        <w:rPr>
          <w:rFonts w:cs="Arial"/>
          <w:i/>
        </w:rPr>
        <w:t>SD</w:t>
      </w:r>
      <w:r w:rsidRPr="00EA0DC7">
        <w:rPr>
          <w:rFonts w:cs="Arial"/>
        </w:rPr>
        <w:t xml:space="preserve"> = 16.54).</w:t>
      </w:r>
    </w:p>
    <w:p w14:paraId="6AB3AF81" w14:textId="77777777" w:rsidR="0048758F" w:rsidRPr="00EA0DC7" w:rsidRDefault="0048758F" w:rsidP="0048758F">
      <w:pPr>
        <w:rPr>
          <w:rFonts w:cs="Arial"/>
        </w:rPr>
      </w:pPr>
      <w:r w:rsidRPr="00EA0DC7">
        <w:rPr>
          <w:rFonts w:cs="Arial"/>
        </w:rPr>
        <w:tab/>
        <w:t>Supervisors focused more on returning to behavioural activation (</w:t>
      </w:r>
      <w:r w:rsidRPr="00EA0DC7">
        <w:rPr>
          <w:rFonts w:cs="Arial"/>
          <w:i/>
        </w:rPr>
        <w:t>M</w:t>
      </w:r>
      <w:r w:rsidRPr="00EA0DC7">
        <w:rPr>
          <w:rFonts w:cs="Arial"/>
        </w:rPr>
        <w:t xml:space="preserve"> = 56.04, </w:t>
      </w:r>
      <w:r w:rsidRPr="00EA0DC7">
        <w:rPr>
          <w:rFonts w:cs="Arial"/>
          <w:i/>
        </w:rPr>
        <w:t>SD</w:t>
      </w:r>
      <w:r w:rsidRPr="00EA0DC7">
        <w:rPr>
          <w:rFonts w:cs="Arial"/>
        </w:rPr>
        <w:t xml:space="preserve"> = 26.77) than therapeutic techniques in general (</w:t>
      </w:r>
      <w:r w:rsidRPr="00EA0DC7">
        <w:rPr>
          <w:rFonts w:cs="Arial"/>
          <w:i/>
        </w:rPr>
        <w:t>t</w:t>
      </w:r>
      <w:r w:rsidRPr="00EA0DC7">
        <w:rPr>
          <w:rFonts w:cs="Arial"/>
        </w:rPr>
        <w:t xml:space="preserve">(52) = 7.25, </w:t>
      </w:r>
      <w:r w:rsidRPr="00EA0DC7">
        <w:rPr>
          <w:rFonts w:cs="Arial"/>
          <w:i/>
        </w:rPr>
        <w:t>p</w:t>
      </w:r>
      <w:r w:rsidRPr="00EA0DC7">
        <w:rPr>
          <w:rFonts w:cs="Arial"/>
        </w:rPr>
        <w:t xml:space="preserve"> &lt; .001) or case management aspects (</w:t>
      </w:r>
      <w:r w:rsidRPr="00EA0DC7">
        <w:rPr>
          <w:rFonts w:cs="Arial"/>
          <w:i/>
        </w:rPr>
        <w:t>t</w:t>
      </w:r>
      <w:r w:rsidRPr="00EA0DC7">
        <w:rPr>
          <w:rFonts w:cs="Arial"/>
        </w:rPr>
        <w:t xml:space="preserve">(52) = 3.94, </w:t>
      </w:r>
      <w:r w:rsidRPr="00EA0DC7">
        <w:rPr>
          <w:rFonts w:cs="Arial"/>
          <w:i/>
        </w:rPr>
        <w:t>p</w:t>
      </w:r>
      <w:r w:rsidRPr="00EA0DC7">
        <w:rPr>
          <w:rFonts w:cs="Arial"/>
        </w:rPr>
        <w:t xml:space="preserve"> &lt; .001). However, alliance work was focused on to the same extent as behavioural activation (</w:t>
      </w:r>
      <w:r w:rsidRPr="00EA0DC7">
        <w:rPr>
          <w:rFonts w:cs="Arial"/>
          <w:i/>
        </w:rPr>
        <w:t>t</w:t>
      </w:r>
      <w:r w:rsidRPr="00EA0DC7">
        <w:rPr>
          <w:rFonts w:cs="Arial"/>
        </w:rPr>
        <w:t xml:space="preserve">(52) = .645, </w:t>
      </w:r>
      <w:r w:rsidRPr="00EA0DC7">
        <w:rPr>
          <w:rFonts w:cs="Arial"/>
          <w:i/>
        </w:rPr>
        <w:t>p</w:t>
      </w:r>
      <w:r w:rsidRPr="00EA0DC7">
        <w:rPr>
          <w:rFonts w:cs="Arial"/>
        </w:rPr>
        <w:t xml:space="preserve"> = .522).</w:t>
      </w:r>
    </w:p>
    <w:p w14:paraId="0A60D663" w14:textId="77777777" w:rsidR="0048758F" w:rsidRPr="00EA0DC7" w:rsidRDefault="0048758F" w:rsidP="00932C38">
      <w:pPr>
        <w:pStyle w:val="Heading3"/>
        <w:keepNext/>
      </w:pPr>
      <w:r w:rsidRPr="00EA0DC7">
        <w:lastRenderedPageBreak/>
        <w:t xml:space="preserve">6.5.3.2 Supervisor focus on returning to behavioural activation for different supervisees </w:t>
      </w:r>
    </w:p>
    <w:p w14:paraId="400D445E" w14:textId="77777777" w:rsidR="0048758F" w:rsidRPr="00EA0DC7" w:rsidRDefault="0048758F" w:rsidP="0048758F">
      <w:r w:rsidRPr="00EA0DC7">
        <w:tab/>
        <w:t>There was no main effect of supervisee gender (</w:t>
      </w:r>
      <w:r w:rsidRPr="00EA0DC7">
        <w:rPr>
          <w:rFonts w:cs="Arial"/>
          <w:i/>
        </w:rPr>
        <w:t>F</w:t>
      </w:r>
      <w:r w:rsidRPr="00EA0DC7">
        <w:rPr>
          <w:rFonts w:cs="Arial"/>
        </w:rPr>
        <w:t xml:space="preserve">(1, 47) = 1.896, </w:t>
      </w:r>
      <w:r w:rsidRPr="00EA0DC7">
        <w:rPr>
          <w:rFonts w:cs="Arial"/>
          <w:i/>
        </w:rPr>
        <w:t>p</w:t>
      </w:r>
      <w:r w:rsidRPr="00EA0DC7">
        <w:rPr>
          <w:rFonts w:cs="Arial"/>
        </w:rPr>
        <w:t xml:space="preserve"> = .175)</w:t>
      </w:r>
      <w:r w:rsidRPr="00EA0DC7">
        <w:rPr>
          <w:rFonts w:cs="Arial"/>
          <w:b/>
        </w:rPr>
        <w:t xml:space="preserve"> </w:t>
      </w:r>
      <w:r w:rsidRPr="00EA0DC7">
        <w:t>or supervisee anxiety (</w:t>
      </w:r>
      <w:r w:rsidRPr="00EA0DC7">
        <w:rPr>
          <w:rFonts w:cs="Arial"/>
          <w:i/>
        </w:rPr>
        <w:t>F</w:t>
      </w:r>
      <w:r w:rsidRPr="00EA0DC7">
        <w:rPr>
          <w:rFonts w:cs="Arial"/>
        </w:rPr>
        <w:t xml:space="preserve">(2, 47) = 1.205, </w:t>
      </w:r>
      <w:r w:rsidRPr="00EA0DC7">
        <w:rPr>
          <w:rFonts w:cs="Arial"/>
          <w:i/>
        </w:rPr>
        <w:t>p</w:t>
      </w:r>
      <w:r w:rsidRPr="00EA0DC7">
        <w:rPr>
          <w:rFonts w:cs="Arial"/>
        </w:rPr>
        <w:t xml:space="preserve"> = .309)</w:t>
      </w:r>
      <w:r w:rsidRPr="00EA0DC7">
        <w:t xml:space="preserve"> on whether supervisors suggest returning to behavioural activation. The interaction of supervisee gender by supervisee anxiety was non-significant (</w:t>
      </w:r>
      <w:r w:rsidRPr="00EA0DC7">
        <w:rPr>
          <w:i/>
        </w:rPr>
        <w:t>F</w:t>
      </w:r>
      <w:r w:rsidRPr="00EA0DC7">
        <w:t xml:space="preserve">(2,47) = 1.142, </w:t>
      </w:r>
      <w:r w:rsidRPr="00EA0DC7">
        <w:rPr>
          <w:i/>
        </w:rPr>
        <w:t>p</w:t>
      </w:r>
      <w:r w:rsidRPr="00EA0DC7">
        <w:t xml:space="preserve"> = .328). However, further planned comparisons revealed that supervisors suggested a greater focus on behavioural activation for calm female clinicians (</w:t>
      </w:r>
      <w:r w:rsidRPr="00EA0DC7">
        <w:rPr>
          <w:i/>
        </w:rPr>
        <w:t>M</w:t>
      </w:r>
      <w:r w:rsidRPr="00EA0DC7">
        <w:t xml:space="preserve"> = 63.0, </w:t>
      </w:r>
      <w:r w:rsidRPr="00EA0DC7">
        <w:rPr>
          <w:i/>
        </w:rPr>
        <w:t>SD</w:t>
      </w:r>
      <w:r w:rsidRPr="00EA0DC7">
        <w:t xml:space="preserve"> = 30.20) than for trait anxious female clinicians (</w:t>
      </w:r>
      <w:r w:rsidRPr="00EA0DC7">
        <w:rPr>
          <w:i/>
        </w:rPr>
        <w:t>M</w:t>
      </w:r>
      <w:r w:rsidRPr="00EA0DC7">
        <w:t xml:space="preserve"> = 35.0, </w:t>
      </w:r>
      <w:r w:rsidRPr="00EA0DC7">
        <w:rPr>
          <w:i/>
        </w:rPr>
        <w:t>SD</w:t>
      </w:r>
      <w:r w:rsidRPr="00EA0DC7">
        <w:t xml:space="preserve"> = 10.0, </w:t>
      </w:r>
      <w:r w:rsidRPr="00EA0DC7">
        <w:rPr>
          <w:i/>
        </w:rPr>
        <w:t>t</w:t>
      </w:r>
      <w:r w:rsidRPr="00EA0DC7">
        <w:t xml:space="preserve">(11.92) = 2.60, </w:t>
      </w:r>
      <w:r w:rsidRPr="00EA0DC7">
        <w:rPr>
          <w:i/>
        </w:rPr>
        <w:t>p</w:t>
      </w:r>
      <w:r w:rsidRPr="00EA0DC7">
        <w:t xml:space="preserve"> = .023). </w:t>
      </w:r>
    </w:p>
    <w:p w14:paraId="5804B106" w14:textId="77777777" w:rsidR="0048758F" w:rsidRPr="00EA0DC7" w:rsidRDefault="0048758F" w:rsidP="0048758F">
      <w:pPr>
        <w:pStyle w:val="Heading3"/>
      </w:pPr>
      <w:r w:rsidRPr="00EA0DC7">
        <w:t>6.5.3.3 Supervisor focus on case management, alliance, and technique given different supervisees</w:t>
      </w:r>
    </w:p>
    <w:p w14:paraId="47081C14" w14:textId="77777777" w:rsidR="0048758F" w:rsidRPr="00EA0DC7" w:rsidRDefault="0048758F" w:rsidP="0048758F">
      <w:r w:rsidRPr="00EA0DC7">
        <w:tab/>
        <w:t xml:space="preserve">There were no significant main effects of clinician experience or patient complexity on case management, alliance, or technique focus. There was also no overall interaction effect (all </w:t>
      </w:r>
      <w:r w:rsidRPr="00EA0DC7">
        <w:rPr>
          <w:i/>
        </w:rPr>
        <w:t xml:space="preserve">p </w:t>
      </w:r>
      <w:r w:rsidRPr="00EA0DC7">
        <w:t>&gt; .05).</w:t>
      </w:r>
    </w:p>
    <w:p w14:paraId="1D2A107F" w14:textId="77777777" w:rsidR="0048758F" w:rsidRPr="00EA0DC7" w:rsidRDefault="0048758F" w:rsidP="0048758F">
      <w:pPr>
        <w:pStyle w:val="Heading3"/>
      </w:pPr>
      <w:r w:rsidRPr="00EA0DC7">
        <w:t>6.4.3.4 Supervisor cluster analysis</w:t>
      </w:r>
    </w:p>
    <w:p w14:paraId="71C79AD2" w14:textId="780E08D3" w:rsidR="0048758F" w:rsidRPr="00EA0DC7" w:rsidRDefault="0048758F" w:rsidP="0048758F">
      <w:pPr>
        <w:ind w:firstLine="720"/>
        <w:rPr>
          <w:rFonts w:cs="Arial"/>
        </w:rPr>
      </w:pPr>
      <w:r w:rsidRPr="00EA0DC7">
        <w:rPr>
          <w:rFonts w:cs="Arial"/>
        </w:rPr>
        <w:t xml:space="preserve">Using the supervisors’ total scores for the degree to which they would focus on different therapy elements (alliance, techniques, case management), two-step cluster analysis provided a three-cluster solution. The first cluster (24.5% of the sample) had a low focus on all aspects </w:t>
      </w:r>
      <w:r w:rsidR="00932C38" w:rsidRPr="00EA0DC7">
        <w:rPr>
          <w:rFonts w:cs="Arial"/>
        </w:rPr>
        <w:t xml:space="preserve">of supervision, referred to as </w:t>
      </w:r>
      <w:r w:rsidRPr="00EA0DC7">
        <w:rPr>
          <w:rFonts w:cs="Arial"/>
          <w:i/>
        </w:rPr>
        <w:t>Unfocused</w:t>
      </w:r>
      <w:r w:rsidRPr="00EA0DC7">
        <w:rPr>
          <w:rFonts w:cs="Arial"/>
        </w:rPr>
        <w:t>. The second cluster (56.6% of the sample) had a moderate focus on all supervision aspe</w:t>
      </w:r>
      <w:r w:rsidR="00932C38" w:rsidRPr="00EA0DC7">
        <w:rPr>
          <w:rFonts w:cs="Arial"/>
        </w:rPr>
        <w:t xml:space="preserve">cts and </w:t>
      </w:r>
      <w:r w:rsidR="00F9509C" w:rsidRPr="00EA0DC7">
        <w:rPr>
          <w:rFonts w:cs="Arial"/>
        </w:rPr>
        <w:t xml:space="preserve">is </w:t>
      </w:r>
      <w:r w:rsidR="00932C38" w:rsidRPr="00EA0DC7">
        <w:rPr>
          <w:rFonts w:cs="Arial"/>
        </w:rPr>
        <w:t xml:space="preserve">referred to as the </w:t>
      </w:r>
      <w:r w:rsidRPr="00EA0DC7">
        <w:rPr>
          <w:rFonts w:cs="Arial"/>
          <w:i/>
        </w:rPr>
        <w:t xml:space="preserve">Moderate </w:t>
      </w:r>
      <w:r w:rsidR="00932C38" w:rsidRPr="00EA0DC7">
        <w:rPr>
          <w:rFonts w:cs="Arial"/>
          <w:i/>
        </w:rPr>
        <w:t xml:space="preserve">Focus </w:t>
      </w:r>
      <w:r w:rsidRPr="00EA0DC7">
        <w:rPr>
          <w:rFonts w:cs="Arial"/>
        </w:rPr>
        <w:lastRenderedPageBreak/>
        <w:t>group. The final cluster (18.9% of the sample) had a high focus on all aspects of s</w:t>
      </w:r>
      <w:r w:rsidR="00932C38" w:rsidRPr="00EA0DC7">
        <w:rPr>
          <w:rFonts w:cs="Arial"/>
        </w:rPr>
        <w:t xml:space="preserve">upervision, referred to as the </w:t>
      </w:r>
      <w:r w:rsidR="00932C38" w:rsidRPr="00EA0DC7">
        <w:rPr>
          <w:rFonts w:cs="Arial"/>
          <w:i/>
        </w:rPr>
        <w:t>High Focus</w:t>
      </w:r>
      <w:r w:rsidRPr="00EA0DC7">
        <w:rPr>
          <w:rFonts w:cs="Arial"/>
        </w:rPr>
        <w:t xml:space="preserve"> group.</w:t>
      </w:r>
    </w:p>
    <w:p w14:paraId="5DF9F768" w14:textId="610F79CA" w:rsidR="00DE47D8" w:rsidRPr="00EA0DC7" w:rsidRDefault="00DE47D8" w:rsidP="00DE47D8">
      <w:pPr>
        <w:pStyle w:val="Heading4"/>
      </w:pPr>
      <w:r w:rsidRPr="00EA0DC7">
        <w:t xml:space="preserve">6.4.3.4.1 </w:t>
      </w:r>
      <w:r w:rsidR="0048758F" w:rsidRPr="00EA0DC7">
        <w:t xml:space="preserve">Clinical </w:t>
      </w:r>
      <w:r w:rsidRPr="00EA0DC7">
        <w:t>validation of clusters</w:t>
      </w:r>
    </w:p>
    <w:p w14:paraId="118B5D75" w14:textId="34F2B441" w:rsidR="0048758F" w:rsidRPr="00EA0DC7" w:rsidRDefault="0048758F" w:rsidP="0048758F">
      <w:pPr>
        <w:ind w:firstLine="720"/>
        <w:rPr>
          <w:rFonts w:cs="Arial"/>
        </w:rPr>
      </w:pPr>
      <w:r w:rsidRPr="00EA0DC7">
        <w:rPr>
          <w:rFonts w:cs="Arial"/>
        </w:rPr>
        <w:t>The only participant characteristic that was associated with cluster membership was the number of manuals that the supervisors used (</w:t>
      </w:r>
      <w:r w:rsidRPr="00EA0DC7">
        <w:rPr>
          <w:rFonts w:cs="Arial"/>
          <w:i/>
        </w:rPr>
        <w:t>F</w:t>
      </w:r>
      <w:r w:rsidRPr="00EA0DC7">
        <w:rPr>
          <w:rFonts w:cs="Arial"/>
        </w:rPr>
        <w:t xml:space="preserve">(2, 50) = 3.77, </w:t>
      </w:r>
      <w:r w:rsidRPr="00EA0DC7">
        <w:rPr>
          <w:rFonts w:cs="Arial"/>
          <w:i/>
        </w:rPr>
        <w:t>p</w:t>
      </w:r>
      <w:r w:rsidRPr="00EA0DC7">
        <w:rPr>
          <w:rFonts w:cs="Arial"/>
        </w:rPr>
        <w:t xml:space="preserve"> = .03). Those in the </w:t>
      </w:r>
      <w:r w:rsidRPr="00EA0DC7">
        <w:rPr>
          <w:rFonts w:cs="Arial"/>
          <w:i/>
        </w:rPr>
        <w:t>Moderate Focus</w:t>
      </w:r>
      <w:r w:rsidRPr="00EA0DC7">
        <w:rPr>
          <w:rFonts w:cs="Arial"/>
        </w:rPr>
        <w:t xml:space="preserve"> cluster (</w:t>
      </w:r>
      <w:r w:rsidRPr="00EA0DC7">
        <w:rPr>
          <w:rFonts w:cs="Arial"/>
          <w:i/>
        </w:rPr>
        <w:t>M</w:t>
      </w:r>
      <w:r w:rsidRPr="00EA0DC7">
        <w:rPr>
          <w:rFonts w:cs="Arial"/>
        </w:rPr>
        <w:t xml:space="preserve"> = 0.90, </w:t>
      </w:r>
      <w:r w:rsidRPr="00EA0DC7">
        <w:rPr>
          <w:rFonts w:cs="Arial"/>
          <w:i/>
        </w:rPr>
        <w:t>SD</w:t>
      </w:r>
      <w:r w:rsidRPr="00EA0DC7">
        <w:rPr>
          <w:rFonts w:cs="Arial"/>
        </w:rPr>
        <w:t xml:space="preserve"> = 1.13) indicated that they used more manuals than those in the </w:t>
      </w:r>
      <w:r w:rsidRPr="00EA0DC7">
        <w:rPr>
          <w:rFonts w:cs="Arial"/>
          <w:i/>
        </w:rPr>
        <w:t>Unfocused</w:t>
      </w:r>
      <w:r w:rsidRPr="00EA0DC7">
        <w:rPr>
          <w:rFonts w:cs="Arial"/>
        </w:rPr>
        <w:t xml:space="preserve"> (</w:t>
      </w:r>
      <w:r w:rsidRPr="00EA0DC7">
        <w:rPr>
          <w:rFonts w:cs="Arial"/>
          <w:i/>
        </w:rPr>
        <w:t>M</w:t>
      </w:r>
      <w:r w:rsidRPr="00EA0DC7">
        <w:rPr>
          <w:rFonts w:cs="Arial"/>
        </w:rPr>
        <w:t xml:space="preserve"> = 0.23, </w:t>
      </w:r>
      <w:r w:rsidRPr="00EA0DC7">
        <w:rPr>
          <w:rFonts w:cs="Arial"/>
          <w:i/>
        </w:rPr>
        <w:t>SD</w:t>
      </w:r>
      <w:r w:rsidRPr="00EA0DC7">
        <w:rPr>
          <w:rFonts w:cs="Arial"/>
        </w:rPr>
        <w:t xml:space="preserve"> = 0.56) or </w:t>
      </w:r>
      <w:r w:rsidRPr="00EA0DC7">
        <w:rPr>
          <w:rFonts w:cs="Arial"/>
          <w:i/>
        </w:rPr>
        <w:t>High Focus</w:t>
      </w:r>
      <w:r w:rsidRPr="00EA0DC7">
        <w:rPr>
          <w:rFonts w:cs="Arial"/>
        </w:rPr>
        <w:t xml:space="preserve"> cluster (</w:t>
      </w:r>
      <w:r w:rsidRPr="00EA0DC7">
        <w:rPr>
          <w:rFonts w:cs="Arial"/>
          <w:i/>
        </w:rPr>
        <w:t>M</w:t>
      </w:r>
      <w:r w:rsidRPr="00EA0DC7">
        <w:rPr>
          <w:rFonts w:cs="Arial"/>
        </w:rPr>
        <w:t xml:space="preserve"> = 0.15, </w:t>
      </w:r>
      <w:r w:rsidRPr="00EA0DC7">
        <w:rPr>
          <w:rFonts w:cs="Arial"/>
          <w:i/>
        </w:rPr>
        <w:t>SD</w:t>
      </w:r>
      <w:r w:rsidRPr="00EA0DC7">
        <w:rPr>
          <w:rFonts w:cs="Arial"/>
        </w:rPr>
        <w:t xml:space="preserve"> = 0.47).</w:t>
      </w:r>
    </w:p>
    <w:p w14:paraId="2A8D0C06" w14:textId="77777777" w:rsidR="0048758F" w:rsidRPr="00EA0DC7" w:rsidRDefault="0048758F" w:rsidP="0048758F">
      <w:pPr>
        <w:pStyle w:val="Heading2"/>
      </w:pPr>
      <w:bookmarkStart w:id="190" w:name="_Toc47039868"/>
      <w:r w:rsidRPr="00EA0DC7">
        <w:t>6.5.4 Discussion</w:t>
      </w:r>
      <w:bookmarkEnd w:id="190"/>
    </w:p>
    <w:p w14:paraId="001316B4" w14:textId="77777777" w:rsidR="0048758F" w:rsidRPr="00EA0DC7" w:rsidRDefault="0048758F" w:rsidP="0048758F">
      <w:r w:rsidRPr="00EA0DC7">
        <w:tab/>
        <w:t>This study investigated the content of supervision sessions when therapists are not adhering to the behavioural activation components of CBT. The first aim focused on how the anxiety and gender of the supervisee affects the advice given in such sessions. It was expected that female supervisees would be treated differently according to their anxiety levels but that male supervisees would be treated in the same way regardless of their anxiety. These two hypotheses were supported. Supervisors focused calm female supervisees back on behavioural activation more than trait anxious female supervisees, whereas all male supervisees were given the same guidance.</w:t>
      </w:r>
    </w:p>
    <w:p w14:paraId="775AA6AB" w14:textId="77777777" w:rsidR="0048758F" w:rsidRPr="00EA0DC7" w:rsidRDefault="0048758F" w:rsidP="0048758F">
      <w:pPr>
        <w:ind w:firstLine="720"/>
      </w:pPr>
      <w:r w:rsidRPr="00EA0DC7">
        <w:t xml:space="preserve">The second aim of this study was to investigate whether patterns of supervisor guidance fall into natural groupings, and whether such groups are validated by the supervisors’ own characteristics. Although supervisors low in anxiety or high in self-esteem did not direct supervisees more towards therapeutic techniques (as was predicted), three supervisor ‘types’ emerged </w:t>
      </w:r>
      <w:r w:rsidRPr="00EA0DC7">
        <w:lastRenderedPageBreak/>
        <w:t>from the data. These were related to the number of manuals used by the supervisors.</w:t>
      </w:r>
    </w:p>
    <w:p w14:paraId="6BB8DF90" w14:textId="77777777" w:rsidR="0048758F" w:rsidRPr="00EA0DC7" w:rsidRDefault="0048758F" w:rsidP="0048758F">
      <w:pPr>
        <w:ind w:firstLine="720"/>
        <w:rPr>
          <w:rFonts w:cs="Arial"/>
        </w:rPr>
      </w:pPr>
      <w:r w:rsidRPr="00EA0DC7">
        <w:t xml:space="preserve">Although trait anxious female supervisees were not directed back towards behavioural activation to the same extent as calm female supervisees, all supervisees (regardless of gender and anxiety level) were focused on general therapeutic techniques to the same extent. This is a similar pattern of results to those found in study 3a, and could be due either to the effect of non-adherence specifically to behavioural activation, or to the lack of adherence in general from the supervisee. Looking first at behavioural activation, perhaps it is seen as anxiety-provoking in a similar way to exposure-based methods in anxiety disorder therapies </w:t>
      </w:r>
      <w:r w:rsidRPr="00EA0DC7">
        <w:rPr>
          <w:rFonts w:cs="Arial"/>
        </w:rPr>
        <w:t>(Schumacher et al., 2014)</w:t>
      </w:r>
      <w:r w:rsidRPr="00EA0DC7">
        <w:t xml:space="preserve">. However, this does not explain why male and female supervisees are treated differently, as both therapist genders avoid exposure work to a similar extent </w:t>
      </w:r>
      <w:r w:rsidRPr="00EA0DC7">
        <w:rPr>
          <w:rFonts w:cs="Arial"/>
        </w:rPr>
        <w:t>(Meyer et al., 2014).</w:t>
      </w:r>
    </w:p>
    <w:p w14:paraId="2E657F17" w14:textId="58734269" w:rsidR="0048758F" w:rsidRPr="00EA0DC7" w:rsidRDefault="0048758F" w:rsidP="0048758F">
      <w:pPr>
        <w:ind w:firstLine="720"/>
      </w:pPr>
      <w:r w:rsidRPr="00EA0DC7">
        <w:rPr>
          <w:rFonts w:cs="Arial"/>
        </w:rPr>
        <w:t xml:space="preserve">Turning to the lack of adherence from supervisees, Bearman et al. (2013) found that discussion of evidence-based practice in supervision predicted adherence from male, but not from female supervisees. Therefore, discussion of such techniques with female supervisees might be viewed as unproductive, and supervisors are perhaps choosing to focus their attention on other aspects of supervision. </w:t>
      </w:r>
      <w:r w:rsidRPr="00EA0DC7">
        <w:t xml:space="preserve">In addition, supervisors might feel that female supervisees are more likely to pick up on alliance problems in therapy. Staczan et al. (2017) found that patients report higher alliance ratings with female (rather than male) therapists. This might lead to supervisors taking avoidance of and anxiety surrounding certain techniques by female therapists more seriously than those of their male colleagues. Therefore, encouragement back to such techniques is held off. However, it must be noted that although there </w:t>
      </w:r>
      <w:r w:rsidRPr="00EA0DC7">
        <w:lastRenderedPageBreak/>
        <w:t>is evidence of higher alliance ratings for female therapists, Staczan et al. (2017) found that this d</w:t>
      </w:r>
      <w:r w:rsidR="00BA4BB2" w:rsidRPr="00EA0DC7">
        <w:t>oes</w:t>
      </w:r>
      <w:r w:rsidRPr="00EA0DC7">
        <w:t xml:space="preserve"> not translate to better patient outcomes. </w:t>
      </w:r>
    </w:p>
    <w:p w14:paraId="06C95EDD" w14:textId="3E23740B" w:rsidR="0048758F" w:rsidRPr="00EA0DC7" w:rsidRDefault="0048758F" w:rsidP="0048758F">
      <w:pPr>
        <w:ind w:firstLine="720"/>
      </w:pPr>
      <w:r w:rsidRPr="00EA0DC7">
        <w:t>Regarding supervisor ‘types’, the majority of supervisors in this study appeared to lack a strong focus, falling</w:t>
      </w:r>
      <w:r w:rsidR="00932C38" w:rsidRPr="00EA0DC7">
        <w:t xml:space="preserve"> into either the </w:t>
      </w:r>
      <w:r w:rsidRPr="00EA0DC7">
        <w:rPr>
          <w:i/>
        </w:rPr>
        <w:t>Unfocused</w:t>
      </w:r>
      <w:r w:rsidRPr="00EA0DC7">
        <w:t xml:space="preserve"> group or the</w:t>
      </w:r>
      <w:r w:rsidR="00932C38" w:rsidRPr="00EA0DC7">
        <w:t xml:space="preserve"> </w:t>
      </w:r>
      <w:r w:rsidR="00932C38" w:rsidRPr="00EA0DC7">
        <w:rPr>
          <w:i/>
        </w:rPr>
        <w:t xml:space="preserve">Moderate focus </w:t>
      </w:r>
      <w:r w:rsidRPr="00EA0DC7">
        <w:t xml:space="preserve">group. This pattern is similar to those found in the other two mini-studies in this chapter. This lack of clear focus could indicate that supervisors are unsure of the best course of action when dealing with non-adherence from their supervisees. However, as supervisors focused on the alliance over other aspects of supervision this might be showing that supervisors are using alliance work to deal with non-adherence. Indeed, alliance work is positively associated with aspects of therapist adherence (Patton &amp; Kivlighan, 1997). Therefore, perhaps a better explanation for the general lack of focus from supervisors is that it is a reflection of the lack of focus in the supervision models literature (Simpson-Southward et al., 2017) and lack of clear protocols in the empirical literature (Chapter 3). </w:t>
      </w:r>
    </w:p>
    <w:p w14:paraId="7648FF07" w14:textId="77777777" w:rsidR="0048758F" w:rsidRPr="00EA0DC7" w:rsidRDefault="0048758F" w:rsidP="0048758F">
      <w:pPr>
        <w:ind w:firstLine="720"/>
      </w:pPr>
    </w:p>
    <w:p w14:paraId="696C98F7" w14:textId="77777777" w:rsidR="0048758F" w:rsidRPr="00EA0DC7" w:rsidRDefault="0048758F" w:rsidP="0048758F">
      <w:pPr>
        <w:pStyle w:val="Heading2"/>
      </w:pPr>
      <w:bookmarkStart w:id="191" w:name="_Toc47039869"/>
      <w:r w:rsidRPr="00EA0DC7">
        <w:t>6.6 General Discussion</w:t>
      </w:r>
      <w:bookmarkEnd w:id="191"/>
    </w:p>
    <w:p w14:paraId="06352B74" w14:textId="1EA2BB90" w:rsidR="0048758F" w:rsidRPr="00EA0DC7" w:rsidRDefault="0048758F" w:rsidP="0048758F">
      <w:r w:rsidRPr="00EA0DC7">
        <w:tab/>
        <w:t>This chapter consist</w:t>
      </w:r>
      <w:r w:rsidR="001751CD" w:rsidRPr="00EA0DC7">
        <w:t>ed</w:t>
      </w:r>
      <w:r w:rsidRPr="00EA0DC7">
        <w:t xml:space="preserve"> of three mini-studies, investigating supervisor recommendations in supervision for CBT therapists working with depression. Vignettes were presented to supervisors in all three studies. These vignettes contained a scenario where either their supervisee or patient was not adhering to the behavioural activation techniques that were previously agreed upon. Characteristics of both the supervisees and the supervisors themselves had </w:t>
      </w:r>
      <w:r w:rsidRPr="00EA0DC7">
        <w:lastRenderedPageBreak/>
        <w:t>an impact on the content of supervision. However, patient characteristics did not affect supervisory focus.</w:t>
      </w:r>
    </w:p>
    <w:p w14:paraId="40D0ADF3" w14:textId="77777777" w:rsidR="0048758F" w:rsidRPr="00EA0DC7" w:rsidRDefault="0048758F" w:rsidP="0048758F">
      <w:pPr>
        <w:pStyle w:val="Heading3"/>
      </w:pPr>
      <w:r w:rsidRPr="00EA0DC7">
        <w:t>6.6.1 Impact of supervisee characteristics</w:t>
      </w:r>
    </w:p>
    <w:p w14:paraId="20AE0E95" w14:textId="77777777" w:rsidR="0048758F" w:rsidRPr="00EA0DC7" w:rsidRDefault="0048758F" w:rsidP="0048758F">
      <w:pPr>
        <w:rPr>
          <w:rFonts w:cs="Arial"/>
        </w:rPr>
      </w:pPr>
      <w:r w:rsidRPr="00EA0DC7">
        <w:tab/>
        <w:t xml:space="preserve">Along with previous research (Dennhag et al., 2012; Simpson-Southward et al., 2016), these results indicate that supervisors have biases towards their supervisees. Within this set of studies, trait-anxious female supervisees in particular were treated differently to other supervisees. This treatment might be due to reluctance from supervisors to push anxious supervisees towards behavioural activation, which is a potentially anxiety-provoking aspect of therapy. However, this ‘protective’ style does not explain why this happens to female supervisees in particular. Both male and female therapists avoid such aspects of therapy to the same extent </w:t>
      </w:r>
      <w:r w:rsidRPr="00EA0DC7">
        <w:rPr>
          <w:rFonts w:cs="Arial"/>
        </w:rPr>
        <w:t>(Meyer et al., 2014). In addition, any concern over female performance in general would be unfounded as previous research has shown therapist gender to have little consistent impact on therapy performance and patient outcome, with females sometimes performing better than males (Branson, &amp; Shafran, 2015; Huppert at al., 2001).</w:t>
      </w:r>
    </w:p>
    <w:p w14:paraId="507232A9" w14:textId="77777777" w:rsidR="0048758F" w:rsidRPr="00EA0DC7" w:rsidRDefault="0048758F" w:rsidP="0048758F">
      <w:pPr>
        <w:rPr>
          <w:rFonts w:cs="Arial"/>
        </w:rPr>
      </w:pPr>
      <w:r w:rsidRPr="00EA0DC7">
        <w:rPr>
          <w:rFonts w:cs="Arial"/>
        </w:rPr>
        <w:tab/>
        <w:t xml:space="preserve">The differential treatment of trait anxious female supervisees might be better explained through the presence of non-adherence, regardless of what that non-adherence is to. It is possible that supervisors view their female supervisees as more vulnerable to anxiety related issues. Therefore, they might believe that pushing such supervisees into potential conflict with a non-adhering patient might leave them unable to cope. Alternatively, supervisors might expect female supervisees to pick up on alliance issues in therapy, </w:t>
      </w:r>
      <w:r w:rsidRPr="00EA0DC7">
        <w:rPr>
          <w:rFonts w:cs="Arial"/>
        </w:rPr>
        <w:lastRenderedPageBreak/>
        <w:t>making the supervisors take female therapists’ anxiety and reticence around techniques more seriously (regardless of the lack of evidence-based justification). Furthermore, discussion of techniques in supervision only predicts adherence from male supervisees (Bearman et al., 2013). Therefore, discussion of such techniques with female supervisees could be viewed as unproductive by supervisors.</w:t>
      </w:r>
    </w:p>
    <w:p w14:paraId="480E50A4" w14:textId="77777777" w:rsidR="0048758F" w:rsidRPr="00EA0DC7" w:rsidRDefault="0048758F" w:rsidP="003447C9">
      <w:pPr>
        <w:pStyle w:val="Heading3"/>
        <w:keepNext/>
      </w:pPr>
      <w:r w:rsidRPr="00EA0DC7">
        <w:t>6.6.2 Supervisor types</w:t>
      </w:r>
    </w:p>
    <w:p w14:paraId="683875D9" w14:textId="77777777" w:rsidR="0048758F" w:rsidRPr="00EA0DC7" w:rsidRDefault="0048758F" w:rsidP="0048758F">
      <w:pPr>
        <w:ind w:firstLine="720"/>
      </w:pPr>
      <w:r w:rsidRPr="00EA0DC7">
        <w:t>Turning to the characteristics of the supervisors themselves, ‘types’ of supervisor were discovered in all three mini-studies. The most striking finding is that throughout all three studies, the majority of supervisors lacked a strong focus on any of the core aspects of supervision. This lack of focus could be due to the presence of non-adherence, leaving the supervisor unsure of how to proceed in order to achieve a successful outcome. If this is the case, then these results are concerning, given that a lack of adherence from both patients and therapists is far from an uncommon occurrence in therapy (Becker, Zayfert &amp; Anderson, 2004; Mausbach et al., 2010; Stobie et al., 2007; Waller et al., 2012).</w:t>
      </w:r>
    </w:p>
    <w:p w14:paraId="590DF09B" w14:textId="77777777" w:rsidR="0048758F" w:rsidRPr="00EA0DC7" w:rsidRDefault="0048758F" w:rsidP="0048758F">
      <w:pPr>
        <w:ind w:firstLine="720"/>
      </w:pPr>
      <w:r w:rsidRPr="00EA0DC7">
        <w:t xml:space="preserve">The general lack of focus from supervisors reflects the confused nature and lack of clarity in the supervision model literature (Simpson-Southward et al., 2017). The absence of supervision protocols from many of the empirical studies investigating supervision outcomes might also add confusion around the best way in which to conduct supervision (Chapter 3). Of particular note is that throughout all three mini-studies, the pattern of focus from supervisors is contradictory to the general focus of the supervision model literature. </w:t>
      </w:r>
      <w:r w:rsidRPr="00EA0DC7">
        <w:lastRenderedPageBreak/>
        <w:t xml:space="preserve">Supervisors in the current series of studies had a greater focus on alliance and case management aspects of therapy. In contrast, more supervision models emphasise the use of techniques than stress the use of alliance or case management aspects (Simpson-Southward et al., 2017). This low technique focus from the supervisors is also contradictory to therapy manuals, which emphasise techniques as key to patient change (Beck et al., 1979). </w:t>
      </w:r>
    </w:p>
    <w:p w14:paraId="6F36FC7B" w14:textId="7DC1236B" w:rsidR="00857F64" w:rsidRDefault="0048758F" w:rsidP="0048758F">
      <w:pPr>
        <w:ind w:firstLine="720"/>
      </w:pPr>
      <w:r w:rsidRPr="00EA0DC7">
        <w:t xml:space="preserve">The avoidance of technique-focused work from supervisors is perhaps explained by the presence of non-adherence. </w:t>
      </w:r>
      <w:r w:rsidRPr="00EA0DC7">
        <w:rPr>
          <w:rFonts w:cs="Arial"/>
        </w:rPr>
        <w:t>Supervisors might be worried about upsetting or ‘breaking’ the ‘fragile’ patient or therapist (Meehl, 1973) who is not adhering to therapeutic techniques. Therefore, supervisors are turning to more comfortable aspects of supervision (alliance and case management work).</w:t>
      </w:r>
      <w:r w:rsidRPr="00EA0DC7">
        <w:t xml:space="preserve"> Indeed, Meehl (1973) points out that many clinicians anticipate that their patients will be stressed by active therapy demands, and therefore avoid making such demands in the first place. It is possible that supervisors will do the same, and fail to make demands of their supervisees, particularly if they are female and relatively anxious.</w:t>
      </w:r>
    </w:p>
    <w:p w14:paraId="5221E5FD" w14:textId="049B5508" w:rsidR="00F1233C" w:rsidRDefault="00857F64" w:rsidP="00185B7A">
      <w:pPr>
        <w:ind w:firstLine="720"/>
      </w:pPr>
      <w:commentRangeStart w:id="192"/>
      <w:r>
        <w:t>In avoiding making their supervisees uncomfortable, supervisors might be hoping to ensure a positive supervisory</w:t>
      </w:r>
      <w:r w:rsidR="003F7DFF">
        <w:t xml:space="preserve"> alliance, which </w:t>
      </w:r>
      <w:r>
        <w:t>can lead to a positive therapeutic alliance (Patton &amp; Kivlighan, 1997).</w:t>
      </w:r>
      <w:r w:rsidR="004F75DE">
        <w:t xml:space="preserve"> A strong supervisory alliance can be beneficial in a number of ways. It is associated with lower levels of supervisee anxiety</w:t>
      </w:r>
      <w:r w:rsidR="0046158B">
        <w:t xml:space="preserve"> (Mehr, Ladany &amp; Caskie, 2015)</w:t>
      </w:r>
      <w:r w:rsidR="004F75DE">
        <w:t>, and a higher degree of supervisee self-disclosure</w:t>
      </w:r>
      <w:r w:rsidR="00F1233C">
        <w:t xml:space="preserve"> (</w:t>
      </w:r>
      <w:r w:rsidR="00F1233C" w:rsidRPr="00F1233C">
        <w:t>Ladany, Hill, Corbett, &amp; Nutt, 1996</w:t>
      </w:r>
      <w:r w:rsidR="00F1233C">
        <w:t>)</w:t>
      </w:r>
      <w:r w:rsidR="004F75DE">
        <w:t xml:space="preserve">. </w:t>
      </w:r>
      <w:r w:rsidR="00185B7A">
        <w:t>Greater self-disclosure about clinical mistakes occurs when the supervisory alliance appears to be strong</w:t>
      </w:r>
      <w:r w:rsidR="00E76839">
        <w:t xml:space="preserve"> (Walsh,</w:t>
      </w:r>
      <w:r w:rsidR="0012654F">
        <w:t xml:space="preserve"> Gillespie, Greer &amp; Eanes, 2003)</w:t>
      </w:r>
      <w:r w:rsidR="00185B7A">
        <w:t xml:space="preserve">. This is likely to have a positive impact on the patient as </w:t>
      </w:r>
      <w:r w:rsidR="003656D5">
        <w:t>patient risk could be increased</w:t>
      </w:r>
      <w:r w:rsidR="007944D4">
        <w:t xml:space="preserve"> if </w:t>
      </w:r>
      <w:r w:rsidR="007944D4">
        <w:lastRenderedPageBreak/>
        <w:t xml:space="preserve">supervisees are uncomfortable and unwilling to share information in supervision. </w:t>
      </w:r>
      <w:r w:rsidR="0012654F">
        <w:t>Creating a comfortable atmosphere in supervision with increased self-disclosure is also beneficial for the supervisors, as they</w:t>
      </w:r>
      <w:r w:rsidR="00E161D6">
        <w:t xml:space="preserve"> could be held responsible for </w:t>
      </w:r>
      <w:r w:rsidR="00C067C0">
        <w:t xml:space="preserve">any </w:t>
      </w:r>
      <w:r w:rsidR="00E161D6">
        <w:t xml:space="preserve">unethical behaviour of their supervisees </w:t>
      </w:r>
      <w:r w:rsidR="00E161D6" w:rsidRPr="00F1233C">
        <w:t>(Bernard &amp; Goodyear, 2009)</w:t>
      </w:r>
      <w:r w:rsidR="0012654F">
        <w:t xml:space="preserve">. </w:t>
      </w:r>
    </w:p>
    <w:p w14:paraId="06D43DEF" w14:textId="40A2EDA1" w:rsidR="0048758F" w:rsidRPr="00EA0DC7" w:rsidRDefault="0048758F" w:rsidP="0048758F">
      <w:pPr>
        <w:ind w:firstLine="720"/>
      </w:pPr>
      <w:r w:rsidRPr="00EA0DC7">
        <w:t>Alternatively, supervisors might</w:t>
      </w:r>
      <w:r w:rsidR="007944D4">
        <w:t xml:space="preserve"> be </w:t>
      </w:r>
      <w:r w:rsidR="0012654F">
        <w:t>making decisions based</w:t>
      </w:r>
      <w:r w:rsidR="007944D4">
        <w:t xml:space="preserve"> on maintaining a good therapeutic alliance. </w:t>
      </w:r>
      <w:commentRangeEnd w:id="192"/>
      <w:r w:rsidR="004D1109">
        <w:rPr>
          <w:rStyle w:val="CommentReference"/>
          <w:rFonts w:eastAsiaTheme="minorHAnsi"/>
          <w:lang w:eastAsia="en-US"/>
        </w:rPr>
        <w:commentReference w:id="192"/>
      </w:r>
      <w:r w:rsidR="007944D4">
        <w:t xml:space="preserve">They might perceive </w:t>
      </w:r>
      <w:r w:rsidRPr="00EA0DC7">
        <w:t>that there is a potential rupture in the therapeutic alliance and that this must be repaired before persisting with further technique work (Safran, Muran, Samstag &amp; Stevens, 2001). When there are problems with the therapeutic alliance, an increased adherence to techniques can exacerbate the problem and lead to a less positive outcome for patients (Castonguay, Goldfried, Wiser, Raue &amp; Hayes, 1996).</w:t>
      </w:r>
    </w:p>
    <w:p w14:paraId="1758A237" w14:textId="77777777" w:rsidR="0048758F" w:rsidRPr="00EA0DC7" w:rsidRDefault="0048758F" w:rsidP="005215A3">
      <w:pPr>
        <w:pStyle w:val="Heading3"/>
        <w:keepNext/>
      </w:pPr>
      <w:r w:rsidRPr="00EA0DC7">
        <w:t>6.6.3 Clinical implications</w:t>
      </w:r>
    </w:p>
    <w:p w14:paraId="3E53C7C9" w14:textId="68C3A532" w:rsidR="0048758F" w:rsidRPr="00EA0DC7" w:rsidRDefault="0048758F" w:rsidP="0048758F">
      <w:pPr>
        <w:ind w:firstLine="720"/>
      </w:pPr>
      <w:r w:rsidRPr="00EA0DC7">
        <w:t>A number of implications for clinical practice can be drawn from this series of studies, relating to the treatment of depression and potentially of other disorders. As many of the supervisors within these studies lacked a clear supervision focus, it would appear that clearer protocols are needed for clinical supervision in practice. Such protocols should address how to handle non-adherence from both supervisees and patients. In addition, there is a need to highlight how certain supervisee characteristics might affect the supervision process, and therefore clinical outcomes. Focusing on gender-neutral supervisory practice could be particularly beneficial. Practice should emphasis the use of technique work (which is key to patient change</w:t>
      </w:r>
      <w:r w:rsidR="001751CD" w:rsidRPr="00EA0DC7">
        <w:t xml:space="preserve"> - </w:t>
      </w:r>
      <w:r w:rsidRPr="00EA0DC7">
        <w:t xml:space="preserve">Beck et al., 1979), </w:t>
      </w:r>
      <w:r w:rsidRPr="00EA0DC7">
        <w:lastRenderedPageBreak/>
        <w:t xml:space="preserve">regardless of therapist gender. Practice focusing on technique work is therefore more likely to look like the treatment of the male supervisees in the current set of studies, rather than the treatment of the female supervisees. </w:t>
      </w:r>
    </w:p>
    <w:p w14:paraId="2F243F84" w14:textId="77777777" w:rsidR="0048758F" w:rsidRPr="00EA0DC7" w:rsidRDefault="0048758F" w:rsidP="0048758F">
      <w:pPr>
        <w:pStyle w:val="Heading3"/>
      </w:pPr>
      <w:r w:rsidRPr="00EA0DC7">
        <w:t>6.6.4 Research implications</w:t>
      </w:r>
      <w:r w:rsidRPr="00EA0DC7">
        <w:tab/>
        <w:t xml:space="preserve"> </w:t>
      </w:r>
    </w:p>
    <w:p w14:paraId="1CA56819" w14:textId="77777777" w:rsidR="0048758F" w:rsidRPr="00EA0DC7" w:rsidRDefault="0048758F" w:rsidP="0048758F">
      <w:pPr>
        <w:ind w:firstLine="720"/>
      </w:pPr>
      <w:r w:rsidRPr="00EA0DC7">
        <w:t>When conducting research, there is perhaps a need to avoid an over-reliance on supervision to ensure adherence. The current series of studies indicates that supervisors might drift from appropriate techniques, just as therapists do. Therefore, it might not be appropriate to depend upon supervision in isolation to ensure therapist adherence to research protocols. Acknowledging such drift in study designs through the use of additional monitoring of supervision might help to ensure optimal research conditions. Study designs should also take into account how different types of therapists and supervisors can impact supervision and, ultimately, therapy outcomes. In addition to these design adaptations, when reporting studies, researchers should be clearly outlining how supervision was conducted within the study. Doing so would lead to a greater awareness of what to focus on in supervision in order to achieve positive outcomes.</w:t>
      </w:r>
    </w:p>
    <w:p w14:paraId="109742F4" w14:textId="77777777" w:rsidR="0048758F" w:rsidRPr="00EA0DC7" w:rsidRDefault="0048758F" w:rsidP="0048758F">
      <w:pPr>
        <w:pStyle w:val="Heading3"/>
      </w:pPr>
      <w:r w:rsidRPr="00EA0DC7">
        <w:t>6.6.5 Limitations and future research</w:t>
      </w:r>
    </w:p>
    <w:p w14:paraId="15F04324" w14:textId="53D4E489" w:rsidR="0048758F" w:rsidRPr="00EA0DC7" w:rsidRDefault="0048758F" w:rsidP="0048758F">
      <w:r w:rsidRPr="00EA0DC7">
        <w:tab/>
        <w:t>Future research can expand on this series of studies in a number of ways: first, through investigation of supervision fo</w:t>
      </w:r>
      <w:r w:rsidR="00EF0E47" w:rsidRPr="00EA0DC7">
        <w:t>r other therapies and disorders and</w:t>
      </w:r>
      <w:r w:rsidRPr="00EA0DC7">
        <w:t xml:space="preserve"> second, through further investigation of the aspect of non-adherence. For example, this study has focused on behavioural activation. Does non-adherence to other aspects of therapy produce similar reactions from supervisors? Third, future research could further investigate of the impact </w:t>
      </w:r>
      <w:r w:rsidRPr="00EA0DC7">
        <w:lastRenderedPageBreak/>
        <w:t>of supervisor gender in the therapeutic process. A</w:t>
      </w:r>
      <w:r w:rsidRPr="00EA0DC7">
        <w:rPr>
          <w:rFonts w:cs="Arial"/>
          <w:shd w:val="clear" w:color="auto" w:fill="FFFFFF"/>
        </w:rPr>
        <w:t xml:space="preserve">lthough, supervisor gender did not impact supervisee treatment in a previous study (Chapter 5), it could not be investigated in this series of studies due to participant numbers. </w:t>
      </w:r>
      <w:r w:rsidRPr="00EA0DC7">
        <w:t xml:space="preserve">Fourth, it would be useful to consider more naturalistic and in vivo studies. Studies using recordings of therapy sessions could provide supervisors with a richer data source, indicating how they might conduct supervision in a specific case. Finally, this research area would be enhanced by clinical data allowing for the investigation of how supervisory focus might impact therapy outcomes. </w:t>
      </w:r>
    </w:p>
    <w:p w14:paraId="6F158A5A" w14:textId="77777777" w:rsidR="00254E99" w:rsidRPr="00EA0DC7" w:rsidRDefault="00254E99" w:rsidP="00254E99"/>
    <w:p w14:paraId="2A8C6B73" w14:textId="4390825C" w:rsidR="00254E99" w:rsidRPr="00EA0DC7" w:rsidRDefault="00254E99">
      <w:pPr>
        <w:spacing w:line="276" w:lineRule="auto"/>
        <w:jc w:val="left"/>
        <w:rPr>
          <w:rFonts w:cs="Arial"/>
        </w:rPr>
      </w:pPr>
      <w:r w:rsidRPr="00EA0DC7">
        <w:rPr>
          <w:rFonts w:cs="Arial"/>
        </w:rPr>
        <w:br w:type="page"/>
      </w:r>
    </w:p>
    <w:p w14:paraId="2893B6D3" w14:textId="269B44AA" w:rsidR="00D50016" w:rsidRPr="00EA0DC7" w:rsidRDefault="00D50016" w:rsidP="003447C9">
      <w:pPr>
        <w:pStyle w:val="Heading1"/>
        <w:ind w:left="0"/>
      </w:pPr>
      <w:bookmarkStart w:id="193" w:name="_Toc47039870"/>
      <w:r w:rsidRPr="00EA0DC7">
        <w:lastRenderedPageBreak/>
        <w:t>– General Discussion</w:t>
      </w:r>
      <w:bookmarkEnd w:id="193"/>
    </w:p>
    <w:p w14:paraId="45D98D2A" w14:textId="163604C1" w:rsidR="00D50016" w:rsidRPr="00EA0DC7" w:rsidRDefault="00D50016" w:rsidP="00D50016">
      <w:pPr>
        <w:ind w:firstLine="709"/>
      </w:pPr>
      <w:r w:rsidRPr="00EA0DC7">
        <w:t>This chapter begins with a brief discussion of the aims and hypotheses for this thesis and whether they were supported. Following this, key findings from across the thesis are synthesised with the aim of creating a bigger picture of what these data tell us about clinical supervision. These finding</w:t>
      </w:r>
      <w:r w:rsidR="008B2A20" w:rsidRPr="00EA0DC7">
        <w:t>s</w:t>
      </w:r>
      <w:r w:rsidRPr="00EA0DC7">
        <w:t xml:space="preserve"> are then addressed in relation to wider psychology theory. Following this, implications for both clinical and research practice are discussed. Finally, this chapter ends by addressing the limitations of this thesis, outlining how future research</w:t>
      </w:r>
      <w:r w:rsidR="008B2A20" w:rsidRPr="00EA0DC7">
        <w:t xml:space="preserve"> can</w:t>
      </w:r>
      <w:r w:rsidRPr="00EA0DC7">
        <w:t xml:space="preserve"> combat these, and suggesting ways in which research in this area might be expanded.</w:t>
      </w:r>
    </w:p>
    <w:p w14:paraId="4609518C" w14:textId="77777777" w:rsidR="00D50016" w:rsidRPr="00EA0DC7" w:rsidRDefault="00D50016" w:rsidP="00D50016">
      <w:pPr>
        <w:pStyle w:val="Heading2"/>
      </w:pPr>
      <w:bookmarkStart w:id="194" w:name="_Toc47039871"/>
      <w:r w:rsidRPr="00EA0DC7">
        <w:t>7.1 Aims of this thesis</w:t>
      </w:r>
      <w:bookmarkEnd w:id="194"/>
    </w:p>
    <w:p w14:paraId="6E8A3C60" w14:textId="3F4246C2" w:rsidR="00D50016" w:rsidRPr="00EA0DC7" w:rsidRDefault="00D50016" w:rsidP="00D50016">
      <w:pPr>
        <w:ind w:firstLine="709"/>
      </w:pPr>
      <w:r w:rsidRPr="00EA0DC7">
        <w:tab/>
        <w:t xml:space="preserve">This thesis explored the use of clinical supervision for therapists treating patients with depression. The first aim of this thesis was to gather the empirical and theoretical research into clinical supervision for the treatment of depression in order to generate a clear understanding of what constitutes supervision, and whether it has an impact on therapists and patients. Supervision is widely used as part of depression treatments in both clinical and research practice. However, the empirical research in this area is limited and the supervision model literature rarely focuses in on specific disorders. Therefore, to generate a comprehensive picture of the use and impact of clinical supervision, </w:t>
      </w:r>
      <w:r w:rsidR="00D77D2E">
        <w:t xml:space="preserve">the </w:t>
      </w:r>
      <w:r w:rsidRPr="00EA0DC7">
        <w:t xml:space="preserve">general clinical supervision literature was assessed (rather than that specific to depression treatment). Following this, three empirical studies were outlined that investigated supervision specifically within depression treatment. Each study investigated factors that might affect what </w:t>
      </w:r>
      <w:r w:rsidRPr="00EA0DC7">
        <w:lastRenderedPageBreak/>
        <w:t>happens in supervision (and therefore, patient outcomes). These factors were the characteristics of the patients, the therapists, and the supervisors themselves.</w:t>
      </w:r>
    </w:p>
    <w:p w14:paraId="483B2AE2" w14:textId="53CAAE9A" w:rsidR="00D50016" w:rsidRPr="00EA0DC7" w:rsidRDefault="00D50016" w:rsidP="00D50016">
      <w:pPr>
        <w:ind w:firstLine="709"/>
        <w:rPr>
          <w:rFonts w:eastAsia="Times New Roman" w:cs="Times New Roman"/>
        </w:rPr>
      </w:pPr>
      <w:r w:rsidRPr="00EA0DC7">
        <w:t xml:space="preserve">In order to gain an insight into clinical supervision guidance that </w:t>
      </w:r>
      <w:r w:rsidR="008B2A20" w:rsidRPr="00EA0DC7">
        <w:t xml:space="preserve">is </w:t>
      </w:r>
      <w:r w:rsidRPr="00EA0DC7">
        <w:t xml:space="preserve">available to supervisors, a review of supervision models was carried out (Chapter 2). This review aimed to identify which aspects of supervision are consistent across models, and which are not, and therefore determine whether they have reliability. A content analysis was used to assess 52 models. As supervision models are </w:t>
      </w:r>
      <w:r w:rsidRPr="00EA0DC7">
        <w:rPr>
          <w:rFonts w:eastAsia="Times New Roman" w:cs="Times New Roman"/>
        </w:rPr>
        <w:t xml:space="preserve">not disorder or paradigm specific, the review considered all forms of supervision model because they all have potential to be used within depression treatments. Three hypotheses were proposed. First, it was hypothesised that the broad content of models would be similar, specifically, discussion of the three core factors in supervision, the three parties in supervision, and the use of evaluation to ensure progress. Second, the amount of content in newer models was predicted to differ from older models. Finally, it was hypothesised that the content of the models would be based on empirical evidence. </w:t>
      </w:r>
    </w:p>
    <w:p w14:paraId="20E8EB42" w14:textId="77777777" w:rsidR="00D50016" w:rsidRPr="00EA0DC7" w:rsidRDefault="00D50016" w:rsidP="00D50016">
      <w:pPr>
        <w:spacing w:after="0"/>
        <w:ind w:firstLine="720"/>
        <w:rPr>
          <w:rFonts w:cs="Arial"/>
          <w:szCs w:val="24"/>
        </w:rPr>
      </w:pPr>
      <w:r w:rsidRPr="00EA0DC7">
        <w:rPr>
          <w:rFonts w:eastAsia="Times New Roman" w:cs="Times New Roman"/>
        </w:rPr>
        <w:t xml:space="preserve">These hypotheses were based on what one might reasonably expect to be true about supervision models; however, none of the hypotheses were supported. Models focused more on supervisee learning and/or development, but less on emotional aspects of work, or managerial or ethical responsibilities. Most models focused on the supervisee and supervisor, rather than the client, </w:t>
      </w:r>
      <w:r w:rsidRPr="00EA0DC7">
        <w:rPr>
          <w:rFonts w:cs="Arial"/>
          <w:szCs w:val="24"/>
        </w:rPr>
        <w:t>and only a small number suggested using client outcomes as a form of evaluation</w:t>
      </w:r>
      <w:r w:rsidRPr="00EA0DC7">
        <w:rPr>
          <w:rFonts w:eastAsia="Times New Roman" w:cs="Times New Roman"/>
        </w:rPr>
        <w:t xml:space="preserve">. There was no </w:t>
      </w:r>
      <w:r w:rsidRPr="00EA0DC7">
        <w:rPr>
          <w:rFonts w:cs="Arial"/>
          <w:szCs w:val="24"/>
        </w:rPr>
        <w:t xml:space="preserve">significant correlation between the model publication year and number of elements in the model. Finally, none of the models were </w:t>
      </w:r>
      <w:r w:rsidRPr="00EA0DC7">
        <w:rPr>
          <w:rFonts w:cs="Arial"/>
          <w:szCs w:val="24"/>
        </w:rPr>
        <w:lastRenderedPageBreak/>
        <w:t>based on an empirical study. Overall, the models lacked consistency, and therefore lacked reliability. Consequently, one cannot assume that any of the models are valid unless there is empirical evidence to support them.</w:t>
      </w:r>
    </w:p>
    <w:p w14:paraId="2295FD93" w14:textId="11FC0B48" w:rsidR="00D50016" w:rsidRPr="00EA0DC7" w:rsidRDefault="00D50016" w:rsidP="00D50016">
      <w:pPr>
        <w:spacing w:after="0"/>
        <w:ind w:firstLine="720"/>
        <w:rPr>
          <w:rFonts w:cs="Arial"/>
          <w:szCs w:val="24"/>
        </w:rPr>
      </w:pPr>
      <w:r w:rsidRPr="00EA0DC7">
        <w:rPr>
          <w:rFonts w:cs="Arial"/>
          <w:szCs w:val="24"/>
        </w:rPr>
        <w:t xml:space="preserve">In order to assess the empirical evidence for clinical supervision, two meta-analyses were carried out and </w:t>
      </w:r>
      <w:r w:rsidR="008B082F" w:rsidRPr="00EA0DC7">
        <w:rPr>
          <w:rFonts w:cs="Arial"/>
          <w:szCs w:val="24"/>
        </w:rPr>
        <w:t xml:space="preserve">these were </w:t>
      </w:r>
      <w:r w:rsidRPr="00EA0DC7">
        <w:rPr>
          <w:rFonts w:cs="Arial"/>
          <w:szCs w:val="24"/>
        </w:rPr>
        <w:t xml:space="preserve">presented in Chapter 3. The aim of these analyses was to investigate the impact of clinical supervision on supervisees and on patients. Two hypotheses were confirmed. First, the majority of studies focused on supervisees, rather than patients. Second, supervision has a greater effect on supervisees than on patients. Supervision has a moderate, positive effect on supervisees but a non-significant effect on patients. A further aim was to investigate the role of moderators on effect sizes. It was expected that studies with higher quality analysis scores and those featuring control groups would have </w:t>
      </w:r>
      <w:r w:rsidR="005352B4">
        <w:rPr>
          <w:rFonts w:cs="Arial"/>
          <w:szCs w:val="24"/>
        </w:rPr>
        <w:t xml:space="preserve">smaller </w:t>
      </w:r>
      <w:r w:rsidRPr="00EA0DC7">
        <w:rPr>
          <w:rFonts w:cs="Arial"/>
          <w:szCs w:val="24"/>
        </w:rPr>
        <w:t>effect sizes. This was partially supported as</w:t>
      </w:r>
      <w:r w:rsidR="005352B4">
        <w:rPr>
          <w:rFonts w:cs="Arial"/>
          <w:szCs w:val="24"/>
        </w:rPr>
        <w:t xml:space="preserve"> high quality supervisee outcome studies</w:t>
      </w:r>
      <w:r w:rsidRPr="00EA0DC7">
        <w:rPr>
          <w:rFonts w:cs="Arial"/>
          <w:szCs w:val="24"/>
        </w:rPr>
        <w:t xml:space="preserve"> </w:t>
      </w:r>
      <w:r w:rsidR="005352B4">
        <w:rPr>
          <w:rFonts w:cs="Arial"/>
          <w:szCs w:val="24"/>
        </w:rPr>
        <w:t xml:space="preserve">produced lower effect sizes. However, </w:t>
      </w:r>
      <w:r w:rsidRPr="00EA0DC7">
        <w:rPr>
          <w:rFonts w:cs="Arial"/>
          <w:szCs w:val="24"/>
        </w:rPr>
        <w:t>controlled supervisee studies had a larger positive effect than those without a control</w:t>
      </w:r>
      <w:r w:rsidR="005352B4">
        <w:rPr>
          <w:rFonts w:cs="Arial"/>
          <w:szCs w:val="24"/>
        </w:rPr>
        <w:t xml:space="preserve"> and high quality patient outcome studies produced higher effect sizes</w:t>
      </w:r>
      <w:r w:rsidRPr="00EA0DC7">
        <w:rPr>
          <w:rFonts w:cs="Arial"/>
          <w:szCs w:val="24"/>
        </w:rPr>
        <w:t>. Whether the supervisee was a trainee or qualified, and the frequency of supervision were also found to moderate effect size. Unfortunately, as the overall number of studies was small, moderator analyses were limited. For this reason, studies investigating all therapies, forms of supervision, disorders, and outcome measures were analysed together.</w:t>
      </w:r>
    </w:p>
    <w:p w14:paraId="6F2DA586" w14:textId="5B4EB049" w:rsidR="00D50016" w:rsidRPr="00EA0DC7" w:rsidRDefault="00D50016" w:rsidP="00D50016">
      <w:pPr>
        <w:ind w:firstLine="720"/>
        <w:rPr>
          <w:rFonts w:cs="Arial"/>
          <w:szCs w:val="24"/>
        </w:rPr>
      </w:pPr>
      <w:r w:rsidRPr="00EA0DC7">
        <w:rPr>
          <w:rFonts w:cs="Arial"/>
        </w:rPr>
        <w:t xml:space="preserve">The first of three empirical studies was outlined in Chapter 4. All participants in this study were clinical supervisors of CBT therapists treating patients with depression. These supervisors were asked to indicate how they would conduct supervision when given vignettes of patients with depression </w:t>
      </w:r>
      <w:r w:rsidRPr="00EA0DC7">
        <w:rPr>
          <w:rFonts w:cs="Arial"/>
        </w:rPr>
        <w:lastRenderedPageBreak/>
        <w:t xml:space="preserve">of varying complexities. </w:t>
      </w:r>
      <w:r w:rsidRPr="00EA0DC7">
        <w:rPr>
          <w:rFonts w:cs="Arial"/>
          <w:szCs w:val="24"/>
        </w:rPr>
        <w:t>The study had two aims. First, to investigate how the content of supervision sessions varies depending on the clinical case that is presented in the supervision. Second, to determine whether supervisors fall into natural groupings, and whether those patterns a</w:t>
      </w:r>
      <w:r w:rsidR="00F52805" w:rsidRPr="00EA0DC7">
        <w:rPr>
          <w:rFonts w:cs="Arial"/>
          <w:szCs w:val="24"/>
        </w:rPr>
        <w:t>re related to the supervisors’ own</w:t>
      </w:r>
      <w:r w:rsidRPr="00EA0DC7">
        <w:rPr>
          <w:rFonts w:cs="Arial"/>
          <w:szCs w:val="24"/>
        </w:rPr>
        <w:t xml:space="preserve"> characteristics.</w:t>
      </w:r>
    </w:p>
    <w:p w14:paraId="4533FD91" w14:textId="3193F5B8" w:rsidR="00D50016" w:rsidRPr="00EA0DC7" w:rsidRDefault="00D50016" w:rsidP="00D50016">
      <w:pPr>
        <w:ind w:firstLine="720"/>
      </w:pPr>
      <w:r w:rsidRPr="00EA0DC7">
        <w:rPr>
          <w:rFonts w:cs="Arial"/>
          <w:szCs w:val="24"/>
        </w:rPr>
        <w:t xml:space="preserve">Results indicated that </w:t>
      </w:r>
      <w:r w:rsidRPr="00EA0DC7">
        <w:t>supervisors tended to focus their supervisees on the use of evidence-based therapeutic techniques for both straightforward and complex cases. However, their approach was less evidence-based for diffuse cases. In addition, the supervisors fell into three natural groups</w:t>
      </w:r>
      <w:r w:rsidR="00F52805" w:rsidRPr="00EA0DC7">
        <w:t xml:space="preserve">: an </w:t>
      </w:r>
      <w:r w:rsidR="00F52805" w:rsidRPr="00EA0DC7">
        <w:rPr>
          <w:i/>
        </w:rPr>
        <w:t>Alliance- and Technique-Focused</w:t>
      </w:r>
      <w:r w:rsidR="00F52805" w:rsidRPr="00EA0DC7">
        <w:t xml:space="preserve"> group, a </w:t>
      </w:r>
      <w:r w:rsidR="00F52805" w:rsidRPr="00EA0DC7">
        <w:rPr>
          <w:i/>
        </w:rPr>
        <w:t>Case Management-Focused</w:t>
      </w:r>
      <w:r w:rsidR="00F52805" w:rsidRPr="00EA0DC7">
        <w:t xml:space="preserve"> group, and an </w:t>
      </w:r>
      <w:r w:rsidRPr="00EA0DC7">
        <w:rPr>
          <w:i/>
        </w:rPr>
        <w:t>Unfocused</w:t>
      </w:r>
      <w:r w:rsidRPr="00EA0DC7">
        <w:t xml:space="preserve"> group. Personal characteristics of the supervisors varied across the groups. Those who </w:t>
      </w:r>
      <w:r w:rsidR="00B254B9" w:rsidRPr="00EA0DC7">
        <w:t>focused</w:t>
      </w:r>
      <w:r w:rsidRPr="00EA0DC7">
        <w:t xml:space="preserve"> their supervisees on case management issues were more likely to have anxie</w:t>
      </w:r>
      <w:r w:rsidR="002F7A10" w:rsidRPr="00EA0DC7">
        <w:t>ty surrounding future events and</w:t>
      </w:r>
      <w:r w:rsidRPr="00EA0DC7">
        <w:t xml:space="preserve"> to have </w:t>
      </w:r>
      <w:r w:rsidR="002F7A10" w:rsidRPr="00EA0DC7">
        <w:t>been practising</w:t>
      </w:r>
      <w:r w:rsidRPr="00EA0DC7">
        <w:t xml:space="preserve"> longer. In contrast, those who focused on both alliance and technique in supervision also tended to be those who had higher self-esteem. Findings from this study indicate that the content of supervision sessions is influenced by factors from outside the therapy process. These factors might cause supervisors to avoid focusing on evidence-based aspects of therapy, thus feeding therapist drift. </w:t>
      </w:r>
    </w:p>
    <w:p w14:paraId="76936F20" w14:textId="167639F8" w:rsidR="00D50016" w:rsidRPr="00EA0DC7" w:rsidRDefault="00D50016" w:rsidP="00D50016">
      <w:pPr>
        <w:ind w:firstLine="720"/>
        <w:rPr>
          <w:rFonts w:cs="Arial"/>
          <w:bCs/>
        </w:rPr>
      </w:pPr>
      <w:r w:rsidRPr="00EA0DC7">
        <w:t>A second empirical study was presented in Chapter 5. This study used the same methodology as Chapter 4; however, the vignettes varied in clinician characteristics, while patient complexity remained constant. There were two aims for this study. First,</w:t>
      </w:r>
      <w:r w:rsidRPr="00EA0DC7">
        <w:rPr>
          <w:rFonts w:cs="Arial"/>
          <w:bCs/>
        </w:rPr>
        <w:t xml:space="preserve"> to explore how supervisee anxiety and gender impact the advice that supervisors give in supervision</w:t>
      </w:r>
      <w:r w:rsidRPr="00EA0DC7">
        <w:t xml:space="preserve">. </w:t>
      </w:r>
      <w:r w:rsidRPr="00EA0DC7">
        <w:rPr>
          <w:rFonts w:cs="Arial"/>
          <w:bCs/>
        </w:rPr>
        <w:t xml:space="preserve">It was hypothesised that supervisors working with calm supervisees would stress the need to focus on </w:t>
      </w:r>
      <w:r w:rsidRPr="00EA0DC7">
        <w:rPr>
          <w:rFonts w:cs="Arial"/>
          <w:bCs/>
        </w:rPr>
        <w:lastRenderedPageBreak/>
        <w:t>CBT techniques more than with anxious supervisees. This was supported, but only for female supervisees who were state anxious. Male supervisees were treated in the same way reg</w:t>
      </w:r>
      <w:r w:rsidR="00A06548" w:rsidRPr="00EA0DC7">
        <w:rPr>
          <w:rFonts w:cs="Arial"/>
          <w:bCs/>
        </w:rPr>
        <w:t>ardless of their anxiety level.</w:t>
      </w:r>
      <w:r w:rsidRPr="00EA0DC7">
        <w:rPr>
          <w:rFonts w:cs="Arial"/>
          <w:bCs/>
        </w:rPr>
        <w:t xml:space="preserve"> It was also hypothesised that supervisors would focus male supervisees more on CBT techniques than female supervisees. Supervisors focused both male and female supervisees on CBT techniques to the same extent. However, supervisors indicated a greater alliance focus for female supervisees. </w:t>
      </w:r>
    </w:p>
    <w:p w14:paraId="111B1B75" w14:textId="79DEA451" w:rsidR="00D50016" w:rsidRPr="00EA0DC7" w:rsidRDefault="00D50016" w:rsidP="00D50016">
      <w:pPr>
        <w:ind w:firstLine="720"/>
        <w:rPr>
          <w:rFonts w:cs="Arial"/>
          <w:szCs w:val="24"/>
        </w:rPr>
      </w:pPr>
      <w:r w:rsidRPr="00EA0DC7">
        <w:rPr>
          <w:rFonts w:cs="Arial"/>
          <w:bCs/>
          <w:szCs w:val="24"/>
        </w:rPr>
        <w:t xml:space="preserve">The second aim of this study was to determine whether patterns of supervisor focus fall into natural groupings, and whether those patterns are related to the supervisors’ own characteristics. It was hypothesised that supervisors with high anxiety themselves would focus their supervisees less on CBT techniques. The supervisors fell into two </w:t>
      </w:r>
      <w:r w:rsidR="00A06548" w:rsidRPr="00EA0DC7">
        <w:rPr>
          <w:rFonts w:cs="Arial"/>
          <w:bCs/>
          <w:szCs w:val="24"/>
        </w:rPr>
        <w:t>clusters;</w:t>
      </w:r>
      <w:r w:rsidRPr="00EA0DC7">
        <w:rPr>
          <w:rFonts w:cs="Arial"/>
          <w:bCs/>
          <w:szCs w:val="24"/>
        </w:rPr>
        <w:t xml:space="preserve"> </w:t>
      </w:r>
      <w:r w:rsidR="00A06548" w:rsidRPr="00EA0DC7">
        <w:rPr>
          <w:rFonts w:cs="Arial"/>
          <w:bCs/>
          <w:szCs w:val="24"/>
        </w:rPr>
        <w:t>however,</w:t>
      </w:r>
      <w:r w:rsidRPr="00EA0DC7">
        <w:rPr>
          <w:rFonts w:cs="Arial"/>
          <w:bCs/>
          <w:szCs w:val="24"/>
        </w:rPr>
        <w:t xml:space="preserve"> cluster membership was dictated by whether the supervisor indicated a high or low alliance focus</w:t>
      </w:r>
      <w:r w:rsidR="00A06548" w:rsidRPr="00EA0DC7">
        <w:rPr>
          <w:rFonts w:cs="Arial"/>
          <w:bCs/>
          <w:szCs w:val="24"/>
        </w:rPr>
        <w:t>, rather than technique focus</w:t>
      </w:r>
      <w:r w:rsidRPr="00EA0DC7">
        <w:rPr>
          <w:rFonts w:cs="Arial"/>
          <w:bCs/>
          <w:szCs w:val="24"/>
        </w:rPr>
        <w:t xml:space="preserve">. </w:t>
      </w:r>
      <w:r w:rsidR="00A06548" w:rsidRPr="00EA0DC7">
        <w:rPr>
          <w:rFonts w:cs="Arial"/>
          <w:bCs/>
          <w:szCs w:val="24"/>
        </w:rPr>
        <w:t>Supervisors with higher anxiety</w:t>
      </w:r>
      <w:r w:rsidRPr="00EA0DC7">
        <w:rPr>
          <w:rFonts w:cs="Arial"/>
          <w:szCs w:val="24"/>
        </w:rPr>
        <w:t xml:space="preserve"> were likely to focus on the therapist developing a good alliance with the patient. Overall, the findings from this study indicate that supervision is influenced both by superv</w:t>
      </w:r>
      <w:r w:rsidR="00A06548" w:rsidRPr="00EA0DC7">
        <w:rPr>
          <w:rFonts w:cs="Arial"/>
          <w:szCs w:val="24"/>
        </w:rPr>
        <w:t xml:space="preserve">isors' </w:t>
      </w:r>
      <w:r w:rsidRPr="00EA0DC7">
        <w:rPr>
          <w:rFonts w:cs="Arial"/>
          <w:szCs w:val="24"/>
        </w:rPr>
        <w:t>biases towards their supervisees and by their own characteristics. These factors may cause supervisors to drift from prompting their supervisees to deliver best practice.</w:t>
      </w:r>
    </w:p>
    <w:p w14:paraId="57F922A8" w14:textId="2767CFAE" w:rsidR="00D50016" w:rsidRPr="00EA0DC7" w:rsidRDefault="00D50016" w:rsidP="00D50016">
      <w:pPr>
        <w:ind w:firstLine="720"/>
        <w:rPr>
          <w:rFonts w:cs="Arial"/>
          <w:szCs w:val="24"/>
        </w:rPr>
      </w:pPr>
      <w:r w:rsidRPr="00EA0DC7">
        <w:rPr>
          <w:rFonts w:cs="Arial"/>
          <w:szCs w:val="24"/>
        </w:rPr>
        <w:t>Three mini-studies were presented in Chapter 6. The aim of these studies was to investigate clinical supervisors’ recommendations in supervision when there wa</w:t>
      </w:r>
      <w:r w:rsidR="00A06548" w:rsidRPr="00EA0DC7">
        <w:rPr>
          <w:rFonts w:cs="Arial"/>
          <w:szCs w:val="24"/>
        </w:rPr>
        <w:t>s an element of non-adherence to</w:t>
      </w:r>
      <w:r w:rsidRPr="00EA0DC7">
        <w:rPr>
          <w:rFonts w:cs="Arial"/>
          <w:szCs w:val="24"/>
        </w:rPr>
        <w:t xml:space="preserve"> treatment. Specifically, when a supervisee or patient was not adhering to previously agreed upon behavioural activation techniques. All three mini-studies used the same vignette paradigm as in Studies 1 and 2. Study 3a explored how the </w:t>
      </w:r>
      <w:r w:rsidRPr="00EA0DC7">
        <w:rPr>
          <w:rFonts w:cs="Arial"/>
          <w:szCs w:val="24"/>
        </w:rPr>
        <w:lastRenderedPageBreak/>
        <w:t>gender and anxiety of a non-adhering supervisee impacts supervision content. The first hypothesis that calm female supervisees would be directed back to behavioural activation more than anxious female supervisees was not supported. However, as predicted, all male supervisees were treated in the same way, regardless of their anxiety. In addition, there appeared to be a specific effect relating to trait anxious females. Supervisors appeared to be particularly reluctant to encourage a return to behavioural activation for this group.</w:t>
      </w:r>
    </w:p>
    <w:p w14:paraId="0BB367FE" w14:textId="77777777" w:rsidR="00D50016" w:rsidRPr="00EA0DC7" w:rsidRDefault="00D50016" w:rsidP="00D50016">
      <w:pPr>
        <w:ind w:firstLine="720"/>
        <w:rPr>
          <w:rFonts w:cs="Arial"/>
          <w:szCs w:val="24"/>
        </w:rPr>
      </w:pPr>
      <w:r w:rsidRPr="00EA0DC7">
        <w:rPr>
          <w:rFonts w:cs="Arial"/>
          <w:szCs w:val="24"/>
        </w:rPr>
        <w:t>Study 3b investigated the impact of supervisee experience and patient complexity upon supervisors’ recommendations in supervision when presented with non-adherence from their supervisee. None of the hypotheses relating to supervisee experience or patient complexity were supported. Supervisors indicated that they would have the same focus in supervision, regardless of the characteristics of the therapist or patient.</w:t>
      </w:r>
    </w:p>
    <w:p w14:paraId="7CA93065" w14:textId="4FABAC9F" w:rsidR="00D50016" w:rsidRPr="00EA0DC7" w:rsidRDefault="00D50016" w:rsidP="00D50016">
      <w:pPr>
        <w:ind w:firstLine="720"/>
        <w:rPr>
          <w:rFonts w:cs="Arial"/>
          <w:szCs w:val="24"/>
        </w:rPr>
      </w:pPr>
      <w:r w:rsidRPr="00EA0DC7">
        <w:rPr>
          <w:rFonts w:cs="Arial"/>
          <w:szCs w:val="24"/>
        </w:rPr>
        <w:t>The final mini-study in Chapter 6 (Study 3c) investigated the impact of patient non-adherence to behavioural activation. As with</w:t>
      </w:r>
      <w:r w:rsidR="003474A8" w:rsidRPr="00EA0DC7">
        <w:rPr>
          <w:rFonts w:cs="Arial"/>
          <w:szCs w:val="24"/>
        </w:rPr>
        <w:t xml:space="preserve"> study 3a, vignettes varied by</w:t>
      </w:r>
      <w:r w:rsidRPr="00EA0DC7">
        <w:rPr>
          <w:rFonts w:cs="Arial"/>
          <w:szCs w:val="24"/>
        </w:rPr>
        <w:t xml:space="preserve"> supervisee characteristics of gender and anxiety. As predicted, calm female supervisees were focused back on behavioural activation more than trait anxious female </w:t>
      </w:r>
      <w:r w:rsidR="00EA235C" w:rsidRPr="00EA0DC7">
        <w:rPr>
          <w:rFonts w:cs="Arial"/>
          <w:szCs w:val="24"/>
        </w:rPr>
        <w:t>supervisees were</w:t>
      </w:r>
      <w:r w:rsidRPr="00EA0DC7">
        <w:rPr>
          <w:rFonts w:cs="Arial"/>
          <w:szCs w:val="24"/>
        </w:rPr>
        <w:t xml:space="preserve">. Whereas, all male supervisees were given the same guidance by supervisors. </w:t>
      </w:r>
    </w:p>
    <w:p w14:paraId="01B28A95" w14:textId="77777777" w:rsidR="00D50016" w:rsidRPr="00EA0DC7" w:rsidRDefault="00D50016" w:rsidP="00D50016">
      <w:pPr>
        <w:ind w:firstLine="720"/>
        <w:rPr>
          <w:rFonts w:cs="Arial"/>
          <w:szCs w:val="24"/>
        </w:rPr>
      </w:pPr>
      <w:r w:rsidRPr="00EA0DC7">
        <w:rPr>
          <w:rFonts w:cs="Arial"/>
          <w:szCs w:val="24"/>
        </w:rPr>
        <w:t xml:space="preserve">The supervisors’ general focus for supervision sessions in all three mini-studies appears to be contradictory to the focus presented in the supervision literature. Supervisors in this series of studies placed the greatest focus on alliance and case management work, rather than on technique work. </w:t>
      </w:r>
      <w:r w:rsidRPr="00EA0DC7">
        <w:rPr>
          <w:rFonts w:cs="Arial"/>
          <w:szCs w:val="24"/>
        </w:rPr>
        <w:lastRenderedPageBreak/>
        <w:t>Results from all three mini-studies also indicated that supervisors fall into natural groupings and these grouping are dictated by how they choose to conduct supervision. Only a small minority of supervisors had a high focus on all core aspects of supervision and large numbers of supervisors appear to lack a clear focus in supervision.</w:t>
      </w:r>
    </w:p>
    <w:p w14:paraId="397B1B38" w14:textId="0CA597E6" w:rsidR="00D50016" w:rsidRPr="00EA0DC7" w:rsidRDefault="00D50016" w:rsidP="00D50016">
      <w:pPr>
        <w:pStyle w:val="Heading2"/>
      </w:pPr>
      <w:bookmarkStart w:id="195" w:name="_Toc47039872"/>
      <w:r w:rsidRPr="00EA0DC7">
        <w:t>7.2 Synthesising key findings</w:t>
      </w:r>
      <w:bookmarkEnd w:id="195"/>
    </w:p>
    <w:p w14:paraId="47C10462" w14:textId="0EC504CE" w:rsidR="003474A8" w:rsidRPr="00EA0DC7" w:rsidRDefault="003474A8" w:rsidP="003474A8">
      <w:pPr>
        <w:ind w:firstLine="720"/>
      </w:pPr>
      <w:r w:rsidRPr="00EA0DC7">
        <w:t xml:space="preserve">In the following section, I will discuss some key findings </w:t>
      </w:r>
      <w:r w:rsidR="00C15D60" w:rsidRPr="00EA0DC7">
        <w:t>from across this thesis</w:t>
      </w:r>
      <w:r w:rsidRPr="00EA0DC7">
        <w:t xml:space="preserve">. First, I will discuss </w:t>
      </w:r>
      <w:r w:rsidR="000B268A" w:rsidRPr="00EA0DC7">
        <w:t>what the</w:t>
      </w:r>
      <w:r w:rsidRPr="00EA0DC7">
        <w:t xml:space="preserve"> function and value of supervision </w:t>
      </w:r>
      <w:r w:rsidR="000B268A" w:rsidRPr="00EA0DC7">
        <w:t xml:space="preserve">appears to be, based on the </w:t>
      </w:r>
      <w:r w:rsidRPr="00EA0DC7">
        <w:t xml:space="preserve">literature. Then, I will discuss the disconnect between the empirical and theoretical supervision literature. Following this, </w:t>
      </w:r>
      <w:r w:rsidR="000B268A" w:rsidRPr="00EA0DC7">
        <w:t>there is a discussion of the three core aspects of supervision and which ones supervisors choose to focus on. Finally, there is a discussion</w:t>
      </w:r>
      <w:r w:rsidR="00A174BE" w:rsidRPr="00EA0DC7">
        <w:t xml:space="preserve"> of the supervisor, supervisee, and patient </w:t>
      </w:r>
      <w:r w:rsidR="000B268A" w:rsidRPr="00EA0DC7">
        <w:t xml:space="preserve">characteristics that can influence </w:t>
      </w:r>
      <w:r w:rsidR="00C15D60" w:rsidRPr="00EA0DC7">
        <w:t>supervisors</w:t>
      </w:r>
      <w:r w:rsidR="000B268A" w:rsidRPr="00EA0DC7">
        <w:t>’ recommendations in supervision.</w:t>
      </w:r>
    </w:p>
    <w:p w14:paraId="42D009D0" w14:textId="5F17926C" w:rsidR="00D50016" w:rsidRPr="00EA0DC7" w:rsidRDefault="00D50016" w:rsidP="00D50016">
      <w:pPr>
        <w:pStyle w:val="Heading3"/>
      </w:pPr>
      <w:r w:rsidRPr="00EA0DC7">
        <w:t>7.2.1 The function and value of supervision</w:t>
      </w:r>
    </w:p>
    <w:p w14:paraId="42155292" w14:textId="40223595" w:rsidR="00D50016" w:rsidRPr="00EA0DC7" w:rsidRDefault="00D50016" w:rsidP="00D50016">
      <w:pPr>
        <w:rPr>
          <w:rFonts w:eastAsia="Times New Roman" w:cs="Arial"/>
          <w:szCs w:val="24"/>
        </w:rPr>
      </w:pPr>
      <w:r w:rsidRPr="00EA0DC7">
        <w:tab/>
        <w:t>Clinical supervision usually describes a relationship between two people (supervisor and supervisee) with the aims of education, support, and management. However, the most fundamental aim of supervision is to guide effective therapy for a patient (Milne &amp; James, 2000). Therefore, the supervision process actually involves three parties</w:t>
      </w:r>
      <w:r w:rsidR="00313657" w:rsidRPr="00EA0DC7">
        <w:t xml:space="preserve"> -</w:t>
      </w:r>
      <w:r w:rsidRPr="00EA0DC7">
        <w:t xml:space="preserve"> the supervisor, the supervisee, and the patient</w:t>
      </w:r>
      <w:r w:rsidR="0012583B" w:rsidRPr="00EA0DC7">
        <w:t xml:space="preserve"> - </w:t>
      </w:r>
      <w:r w:rsidRPr="00EA0DC7">
        <w:t xml:space="preserve">that </w:t>
      </w:r>
      <w:r w:rsidR="0012583B" w:rsidRPr="00EA0DC7">
        <w:t>is not present</w:t>
      </w:r>
      <w:r w:rsidRPr="00EA0DC7">
        <w:t xml:space="preserve"> in both the theoretical and empirical literature. The content analysis of supervision models in Chapter 2 indicated that </w:t>
      </w:r>
      <w:r w:rsidR="00313657" w:rsidRPr="00EA0DC7">
        <w:t>fewer</w:t>
      </w:r>
      <w:r w:rsidRPr="00EA0DC7">
        <w:t xml:space="preserve"> than half of the supervision models analysed focus on the patient, and fewer still discuss </w:t>
      </w:r>
      <w:r w:rsidRPr="00EA0DC7">
        <w:rPr>
          <w:rFonts w:eastAsia="Times New Roman" w:cs="Arial"/>
          <w:szCs w:val="24"/>
        </w:rPr>
        <w:t xml:space="preserve">individual patient differences, patient </w:t>
      </w:r>
      <w:r w:rsidRPr="00EA0DC7">
        <w:rPr>
          <w:rFonts w:eastAsia="Times New Roman" w:cs="Arial"/>
          <w:szCs w:val="24"/>
        </w:rPr>
        <w:lastRenderedPageBreak/>
        <w:t>expectations, or patient development in any detail. Although the disparity between supervisee</w:t>
      </w:r>
      <w:r w:rsidR="00A174BE" w:rsidRPr="00EA0DC7">
        <w:rPr>
          <w:rFonts w:eastAsia="Times New Roman" w:cs="Arial"/>
          <w:szCs w:val="24"/>
        </w:rPr>
        <w:t>s</w:t>
      </w:r>
      <w:r w:rsidRPr="00EA0DC7">
        <w:rPr>
          <w:rFonts w:eastAsia="Times New Roman" w:cs="Arial"/>
          <w:szCs w:val="24"/>
        </w:rPr>
        <w:t xml:space="preserve"> and patients is slightly less pronounced in the empirical liter</w:t>
      </w:r>
      <w:r w:rsidR="00E50129" w:rsidRPr="00EA0DC7">
        <w:rPr>
          <w:rFonts w:eastAsia="Times New Roman" w:cs="Arial"/>
          <w:szCs w:val="24"/>
        </w:rPr>
        <w:t>ature, most studies focus</w:t>
      </w:r>
      <w:r w:rsidRPr="00EA0DC7">
        <w:rPr>
          <w:rFonts w:eastAsia="Times New Roman" w:cs="Arial"/>
          <w:szCs w:val="24"/>
        </w:rPr>
        <w:t xml:space="preserve"> on supervisee outcomes, rather than patient outcomes. The meta-analyses in Chapter 3 found 11 papers investigating supervisee outcomes</w:t>
      </w:r>
      <w:r w:rsidR="00A174BE" w:rsidRPr="00EA0DC7">
        <w:rPr>
          <w:rFonts w:eastAsia="Times New Roman" w:cs="Arial"/>
          <w:szCs w:val="24"/>
        </w:rPr>
        <w:t>,</w:t>
      </w:r>
      <w:r w:rsidRPr="00EA0DC7">
        <w:rPr>
          <w:rFonts w:eastAsia="Times New Roman" w:cs="Arial"/>
          <w:szCs w:val="24"/>
        </w:rPr>
        <w:t xml:space="preserve"> </w:t>
      </w:r>
      <w:r w:rsidR="00E50129" w:rsidRPr="00EA0DC7">
        <w:rPr>
          <w:rFonts w:eastAsia="Times New Roman" w:cs="Arial"/>
          <w:szCs w:val="24"/>
        </w:rPr>
        <w:t>compared to</w:t>
      </w:r>
      <w:r w:rsidRPr="00EA0DC7">
        <w:rPr>
          <w:rFonts w:eastAsia="Times New Roman" w:cs="Arial"/>
          <w:szCs w:val="24"/>
        </w:rPr>
        <w:t xml:space="preserve"> eight investigating patient outcomes.</w:t>
      </w:r>
    </w:p>
    <w:p w14:paraId="470D74FE" w14:textId="5A70448E" w:rsidR="00D50016" w:rsidRPr="00EA0DC7" w:rsidRDefault="00D50016" w:rsidP="00D50016">
      <w:pPr>
        <w:rPr>
          <w:rFonts w:eastAsia="Times New Roman" w:cs="Arial"/>
          <w:szCs w:val="24"/>
        </w:rPr>
      </w:pPr>
      <w:r w:rsidRPr="00EA0DC7">
        <w:rPr>
          <w:rFonts w:eastAsia="Times New Roman" w:cs="Arial"/>
          <w:szCs w:val="24"/>
        </w:rPr>
        <w:tab/>
        <w:t>In addition to this lack of focus on the patient, the meta-analyses also found that there is a moderate</w:t>
      </w:r>
      <w:r w:rsidR="000C648D" w:rsidRPr="00EA0DC7">
        <w:rPr>
          <w:rFonts w:eastAsia="Times New Roman" w:cs="Arial"/>
          <w:szCs w:val="24"/>
        </w:rPr>
        <w:t>,</w:t>
      </w:r>
      <w:r w:rsidRPr="00EA0DC7">
        <w:rPr>
          <w:rFonts w:eastAsia="Times New Roman" w:cs="Arial"/>
          <w:szCs w:val="24"/>
        </w:rPr>
        <w:t xml:space="preserve"> positive effect of supervision on supervisee outcomes, but a non-significant effect on patients. As supervision does not appear to benefit patients, this raises the question of whether clinical supervision is a cost-effective exercise. This element of clinical practice is costly in terms of both time and money (Lyth, 2000) and therefore it should have a clear value in clinical practice. Perhaps this value does not lie with direct benefit to patients, but instead the value of supervision might be in its potential to stop therapist</w:t>
      </w:r>
      <w:r w:rsidR="00A174BE" w:rsidRPr="00EA0DC7">
        <w:rPr>
          <w:rFonts w:eastAsia="Times New Roman" w:cs="Arial"/>
          <w:szCs w:val="24"/>
        </w:rPr>
        <w:t>s</w:t>
      </w:r>
      <w:r w:rsidRPr="00EA0DC7">
        <w:rPr>
          <w:rFonts w:eastAsia="Times New Roman" w:cs="Arial"/>
          <w:szCs w:val="24"/>
        </w:rPr>
        <w:t xml:space="preserve"> from deteriorating and therefore aid patients in the long term. </w:t>
      </w:r>
    </w:p>
    <w:p w14:paraId="6A4E18D3" w14:textId="77777777" w:rsidR="00D50016" w:rsidRPr="00EA0DC7" w:rsidRDefault="00D50016" w:rsidP="00D50016">
      <w:pPr>
        <w:rPr>
          <w:rFonts w:eastAsia="Times New Roman" w:cs="Arial"/>
          <w:szCs w:val="24"/>
        </w:rPr>
      </w:pPr>
      <w:r w:rsidRPr="00EA0DC7">
        <w:rPr>
          <w:rFonts w:eastAsia="Times New Roman" w:cs="Arial"/>
          <w:szCs w:val="24"/>
        </w:rPr>
        <w:tab/>
        <w:t>It is possible that the lack of direct supervision impact on patients is a consequence of a lack of patient focus. Although the focus on supervision models is generally directed towards supervisee improvement, it is difficult to know whether this is the focus of supervision in practice. Empirical studies into supervision do not often outline the details of the supervision received. If such studies are following model protocols and focusing on the supervisee, this might explain the positive effect on the supervisee, but not on the patient.</w:t>
      </w:r>
    </w:p>
    <w:p w14:paraId="511B4DB6" w14:textId="77777777" w:rsidR="00D50016" w:rsidRPr="00EA0DC7" w:rsidRDefault="00D50016" w:rsidP="004C54F0">
      <w:pPr>
        <w:pStyle w:val="Heading3"/>
        <w:keepNext/>
      </w:pPr>
      <w:r w:rsidRPr="00EA0DC7">
        <w:lastRenderedPageBreak/>
        <w:t>7.2.2 Comparing the theoretical and empirical literature</w:t>
      </w:r>
    </w:p>
    <w:p w14:paraId="1F813103" w14:textId="5755A3B8" w:rsidR="00D50016" w:rsidRPr="00EA0DC7" w:rsidRDefault="00D50016" w:rsidP="00D50016">
      <w:pPr>
        <w:ind w:firstLine="720"/>
      </w:pPr>
      <w:r w:rsidRPr="00EA0DC7">
        <w:t>When looking at the models literature alongside the empirical, a key finding in this thesis becomes apparent. That is, within the clinical supervision literature there is evidence of validity but without reliability. The content analysis of supervision models in Chapter 2 shows an inconsistent picture of what constitutes supervision. Models emphasise different aspects of supervision without building on previous models or empirically testing these aspects, and not all models focus on the three core functions of supervision. Therefore, the models literature is unreliable. Turning to the meta-analys</w:t>
      </w:r>
      <w:r w:rsidR="00313657" w:rsidRPr="00EA0DC7">
        <w:t>i</w:t>
      </w:r>
      <w:r w:rsidRPr="00EA0DC7">
        <w:t>s of the empirical literature (Chapter 3)</w:t>
      </w:r>
      <w:r w:rsidR="00313657" w:rsidRPr="00EA0DC7">
        <w:t>, a</w:t>
      </w:r>
      <w:r w:rsidRPr="00EA0DC7">
        <w:t>lthough, the meta-analysis indicated that supervision had no effect on patient outcomes, it does have a positive effect on supervisee outcomes</w:t>
      </w:r>
      <w:r w:rsidR="00313657" w:rsidRPr="00EA0DC7">
        <w:t>. Therefore, supervision</w:t>
      </w:r>
      <w:r w:rsidRPr="00EA0DC7">
        <w:t xml:space="preserve"> does have </w:t>
      </w:r>
      <w:r w:rsidR="0012583B" w:rsidRPr="00EA0DC7">
        <w:t>value</w:t>
      </w:r>
      <w:r w:rsidRPr="00EA0DC7">
        <w:t xml:space="preserve">. </w:t>
      </w:r>
    </w:p>
    <w:p w14:paraId="3A41F72A" w14:textId="3FF4F839" w:rsidR="00D50016" w:rsidRPr="00EA0DC7" w:rsidRDefault="00D50016" w:rsidP="00D50016">
      <w:r w:rsidRPr="00EA0DC7">
        <w:tab/>
        <w:t>Ther</w:t>
      </w:r>
      <w:r w:rsidR="000C648D" w:rsidRPr="00EA0DC7">
        <w:t>e appears to be a great disconnect</w:t>
      </w:r>
      <w:r w:rsidRPr="00EA0DC7">
        <w:t xml:space="preserve"> between supervision theory (models) and empirical research into supervision. Very few models have been empirically tested or based on empirical research</w:t>
      </w:r>
      <w:r w:rsidR="00313657" w:rsidRPr="00EA0DC7">
        <w:t xml:space="preserve">. </w:t>
      </w:r>
      <w:r w:rsidR="00FA3C03" w:rsidRPr="00EA0DC7">
        <w:t>Therefore,</w:t>
      </w:r>
      <w:r w:rsidRPr="00EA0DC7">
        <w:t xml:space="preserve"> it is impossible to know </w:t>
      </w:r>
      <w:r w:rsidR="00313657" w:rsidRPr="00EA0DC7">
        <w:t>which model</w:t>
      </w:r>
      <w:r w:rsidRPr="00EA0DC7">
        <w:t xml:space="preserve">, if any, should be used when conducting supervision. Alongside this, studies investigating the impact of clinical supervision often fail to outline details of the supervision or indicate whether they have used any specific supervision models. This means that clinical supervisors cannot learn procedure from the research and might struggle to replicate these results in clinical practice. </w:t>
      </w:r>
    </w:p>
    <w:p w14:paraId="0FB3CD25" w14:textId="77777777" w:rsidR="00D50016" w:rsidRPr="00EA0DC7" w:rsidRDefault="00D50016" w:rsidP="00D50016">
      <w:pPr>
        <w:ind w:firstLine="720"/>
      </w:pPr>
      <w:r w:rsidRPr="00EA0DC7">
        <w:t xml:space="preserve">To summarise, although we know that supervision is beneficial to supervisees, we do not know what is happening in clinical supervision and whether this is related to the content of supervision models. It is possible that </w:t>
      </w:r>
      <w:r w:rsidRPr="00EA0DC7">
        <w:lastRenderedPageBreak/>
        <w:t>the models literature as a whole feels very unclear because the models of supervision are too generic. Perhaps supervision needs to be more specialised to specific disorders and treatments. In order to investigate how supervision looks specifically within CBT for depression three empirical studies were carried out. The studies explored what happens in supervision for depression treatment, and how various factors might impact the supervision content.</w:t>
      </w:r>
    </w:p>
    <w:p w14:paraId="7FD1B178" w14:textId="77777777" w:rsidR="00D50016" w:rsidRPr="00EA0DC7" w:rsidRDefault="00D50016" w:rsidP="00D50016">
      <w:pPr>
        <w:pStyle w:val="Heading3"/>
      </w:pPr>
      <w:r w:rsidRPr="00EA0DC7">
        <w:t>7.2.3 The three core aspects of supervision</w:t>
      </w:r>
    </w:p>
    <w:p w14:paraId="2A924F2B" w14:textId="1B9EE2D0" w:rsidR="00D50016" w:rsidRPr="00EA0DC7" w:rsidRDefault="00D50016" w:rsidP="00D50016">
      <w:pPr>
        <w:rPr>
          <w:rFonts w:eastAsia="SimSun" w:cs="Arial"/>
        </w:rPr>
      </w:pPr>
      <w:r w:rsidRPr="00EA0DC7">
        <w:tab/>
        <w:t xml:space="preserve">Both the theoretical and empirical literature suggest that clinical supervision has three core functions. Proctor (1988) describes these functions as ‘formative’, </w:t>
      </w:r>
      <w:r w:rsidRPr="00EA0DC7">
        <w:rPr>
          <w:rFonts w:eastAsia="SimSun" w:cs="Arial"/>
        </w:rPr>
        <w:t xml:space="preserve">‘restorative’, and ‘normative’. The ‘formative’ aspect of supervision referring to education or the development of skills, the ‘restorative’ to the supportive element of supervision, and the ‘normative’ to case management and managerial roles. Kadushin (1976) describes the same aspects of supervision as ‘educational’, ‘supportive’, and ‘managerial’. The use of these elements of supervision was investigated in this thesis through analysis </w:t>
      </w:r>
      <w:r w:rsidR="001417D9" w:rsidRPr="00EA0DC7">
        <w:rPr>
          <w:rFonts w:eastAsia="SimSun" w:cs="Arial"/>
        </w:rPr>
        <w:t>both of</w:t>
      </w:r>
      <w:r w:rsidRPr="00EA0DC7">
        <w:rPr>
          <w:rFonts w:eastAsia="SimSun" w:cs="Arial"/>
        </w:rPr>
        <w:t xml:space="preserve"> the recommendations of supervision models and </w:t>
      </w:r>
      <w:r w:rsidR="001417D9" w:rsidRPr="00EA0DC7">
        <w:rPr>
          <w:rFonts w:eastAsia="SimSun" w:cs="Arial"/>
        </w:rPr>
        <w:t xml:space="preserve">of </w:t>
      </w:r>
      <w:r w:rsidRPr="00EA0DC7">
        <w:rPr>
          <w:rFonts w:eastAsia="SimSun" w:cs="Arial"/>
        </w:rPr>
        <w:t>the recommendations of clinical supervisors in hypothetical supervision scenarios.</w:t>
      </w:r>
    </w:p>
    <w:p w14:paraId="49F3E0CA" w14:textId="6D4F8A66" w:rsidR="00D50016" w:rsidRPr="00EA0DC7" w:rsidRDefault="00D50016" w:rsidP="00D50016">
      <w:pPr>
        <w:rPr>
          <w:rFonts w:eastAsia="SimSun" w:cs="Arial"/>
        </w:rPr>
      </w:pPr>
      <w:r w:rsidRPr="00EA0DC7">
        <w:rPr>
          <w:rFonts w:eastAsia="SimSun" w:cs="Arial"/>
        </w:rPr>
        <w:tab/>
        <w:t xml:space="preserve">All three elements are described as key to successful supervision (Proctor, 1988; Kadushin, 1976). However, results from the content analysis in Chapter 2 indicated that supervision models often only emphasise one or two of the elements, and a focus on all three elements was found in fewer than 40% of supervision models. Looking at how supervisors say they would actually use these aspects of supervision, Studies 1 to 3 found that most </w:t>
      </w:r>
      <w:r w:rsidRPr="00EA0DC7">
        <w:rPr>
          <w:rFonts w:eastAsia="SimSun" w:cs="Arial"/>
        </w:rPr>
        <w:lastRenderedPageBreak/>
        <w:t xml:space="preserve">clinical supervisors would </w:t>
      </w:r>
      <w:r w:rsidR="00313657" w:rsidRPr="00EA0DC7">
        <w:rPr>
          <w:rFonts w:eastAsia="SimSun" w:cs="Arial"/>
        </w:rPr>
        <w:t>address</w:t>
      </w:r>
      <w:r w:rsidRPr="00EA0DC7">
        <w:rPr>
          <w:rFonts w:eastAsia="SimSun" w:cs="Arial"/>
        </w:rPr>
        <w:t xml:space="preserve"> all three elements in their supervision. However, the majority of supervisors in these studies fall into groups that can be describe</w:t>
      </w:r>
      <w:r w:rsidR="00AD5C8D" w:rsidRPr="00EA0DC7">
        <w:rPr>
          <w:rFonts w:eastAsia="SimSun" w:cs="Arial"/>
        </w:rPr>
        <w:t xml:space="preserve">d as </w:t>
      </w:r>
      <w:r w:rsidRPr="00EA0DC7">
        <w:rPr>
          <w:rFonts w:eastAsia="SimSun" w:cs="Arial"/>
          <w:i/>
        </w:rPr>
        <w:t>Unfocused</w:t>
      </w:r>
      <w:r w:rsidR="00AD5C8D" w:rsidRPr="00EA0DC7">
        <w:rPr>
          <w:rFonts w:eastAsia="SimSun" w:cs="Arial"/>
        </w:rPr>
        <w:t xml:space="preserve"> or </w:t>
      </w:r>
      <w:r w:rsidR="00AD5C8D" w:rsidRPr="00EA0DC7">
        <w:rPr>
          <w:rFonts w:eastAsia="SimSun" w:cs="Arial"/>
          <w:i/>
        </w:rPr>
        <w:t>Moderate Focus</w:t>
      </w:r>
      <w:r w:rsidRPr="00EA0DC7">
        <w:rPr>
          <w:rFonts w:eastAsia="SimSun" w:cs="Arial"/>
        </w:rPr>
        <w:t xml:space="preserve">. This indicates that although supervisors address all three elements, they do not have a high focus on any of them and often appear to have such a low focus on all elements that it is unclear what they intend to do in the supervision session. This apparent lack of focus from supervisors might be a reflection of the confusing nature of the models literature, leaving supervisors unsure of the best ways in which to conduct supervision. </w:t>
      </w:r>
    </w:p>
    <w:p w14:paraId="2C0379C1" w14:textId="1D1158CE" w:rsidR="00D50016" w:rsidRPr="00EA0DC7" w:rsidRDefault="00D50016" w:rsidP="00D50016">
      <w:pPr>
        <w:rPr>
          <w:rFonts w:eastAsia="SimSun" w:cs="Arial"/>
        </w:rPr>
      </w:pPr>
      <w:r w:rsidRPr="00EA0DC7">
        <w:rPr>
          <w:rFonts w:eastAsia="SimSun" w:cs="Arial"/>
        </w:rPr>
        <w:tab/>
        <w:t xml:space="preserve">Findings from this thesis show that the core aspects of supervision are not all focused on to an equal extent. Supervisors in Study 1 place a greater emphasis on technique over case management, and in Study </w:t>
      </w:r>
      <w:r w:rsidR="009E06DB" w:rsidRPr="00EA0DC7">
        <w:rPr>
          <w:rFonts w:eastAsia="SimSun" w:cs="Arial"/>
        </w:rPr>
        <w:t>2,</w:t>
      </w:r>
      <w:r w:rsidRPr="00EA0DC7">
        <w:rPr>
          <w:rFonts w:eastAsia="SimSun" w:cs="Arial"/>
        </w:rPr>
        <w:t xml:space="preserve"> they place emphasis on technique work over both case management and alliance. The pattern from the supervision model</w:t>
      </w:r>
      <w:r w:rsidR="009E06DB" w:rsidRPr="00EA0DC7">
        <w:rPr>
          <w:rFonts w:eastAsia="SimSun" w:cs="Arial"/>
        </w:rPr>
        <w:t>s</w:t>
      </w:r>
      <w:r w:rsidRPr="00EA0DC7">
        <w:rPr>
          <w:rFonts w:eastAsia="SimSun" w:cs="Arial"/>
        </w:rPr>
        <w:t xml:space="preserve"> literature is similar. Most models emphasis</w:t>
      </w:r>
      <w:r w:rsidR="007735A9" w:rsidRPr="00EA0DC7">
        <w:rPr>
          <w:rFonts w:eastAsia="SimSun" w:cs="Arial"/>
        </w:rPr>
        <w:t>e</w:t>
      </w:r>
      <w:r w:rsidRPr="00EA0DC7">
        <w:rPr>
          <w:rFonts w:eastAsia="SimSun" w:cs="Arial"/>
        </w:rPr>
        <w:t xml:space="preserve"> technique work but only around 60% emphasise alliance or case management. Therapy manuals offer support for this pattern of focus</w:t>
      </w:r>
      <w:r w:rsidR="00313657" w:rsidRPr="00EA0DC7">
        <w:rPr>
          <w:rFonts w:eastAsia="SimSun" w:cs="Arial"/>
        </w:rPr>
        <w:t>. F</w:t>
      </w:r>
      <w:r w:rsidRPr="00EA0DC7">
        <w:rPr>
          <w:rFonts w:eastAsia="SimSun" w:cs="Arial"/>
        </w:rPr>
        <w:t xml:space="preserve">or example, Beck et al. (1979) stress that technique is key to patient change in CT. </w:t>
      </w:r>
    </w:p>
    <w:p w14:paraId="1C62A8D2" w14:textId="77777777" w:rsidR="00D50016" w:rsidRPr="00EA0DC7" w:rsidRDefault="00D50016" w:rsidP="00D50016">
      <w:pPr>
        <w:ind w:firstLine="720"/>
        <w:rPr>
          <w:rFonts w:eastAsia="SimSun" w:cs="Arial"/>
        </w:rPr>
      </w:pPr>
      <w:r w:rsidRPr="00EA0DC7">
        <w:rPr>
          <w:rFonts w:eastAsia="SimSun" w:cs="Arial"/>
        </w:rPr>
        <w:t xml:space="preserve">Supervisors appear to lose this preference for techniques when there are issues of non-adherence in therapy (as in Studies 3a, b, and c). Supervisors in this series of studies consistently focus most on alliance, then on case management, and least on technique. This apparent avoidance of technique work when faced with non-adherence might be due to supervisors worrying about upsetting or ‘breaking’ the ‘fragile’ patient or therapist (Meehl, </w:t>
      </w:r>
      <w:r w:rsidRPr="00EA0DC7">
        <w:rPr>
          <w:rFonts w:eastAsia="SimSun" w:cs="Arial"/>
        </w:rPr>
        <w:lastRenderedPageBreak/>
        <w:t>1973). Therefore, supervisors are focusing on potentially more comfortable aspects of supervision (alliance and case management work).</w:t>
      </w:r>
    </w:p>
    <w:p w14:paraId="0FF3539D" w14:textId="6DBD1E8C" w:rsidR="00D50016" w:rsidRPr="00EA0DC7" w:rsidRDefault="00D50016" w:rsidP="00D50016">
      <w:pPr>
        <w:rPr>
          <w:rFonts w:eastAsia="SimSun" w:cs="Arial"/>
        </w:rPr>
      </w:pPr>
      <w:r w:rsidRPr="00EA0DC7">
        <w:rPr>
          <w:rFonts w:eastAsia="SimSun" w:cs="Arial"/>
        </w:rPr>
        <w:tab/>
        <w:t xml:space="preserve">To summarise, it appears that both in the supervision literature and in supervision practice, there is a preference for technique-focused supervision. </w:t>
      </w:r>
      <w:r w:rsidR="00AD5C8D" w:rsidRPr="00EA0DC7">
        <w:rPr>
          <w:rFonts w:eastAsia="SimSun" w:cs="Arial"/>
        </w:rPr>
        <w:t>That is, unless other issues (</w:t>
      </w:r>
      <w:r w:rsidRPr="00EA0DC7">
        <w:rPr>
          <w:rFonts w:eastAsia="SimSun" w:cs="Arial"/>
        </w:rPr>
        <w:t>such as non-adherence</w:t>
      </w:r>
      <w:r w:rsidR="00AD5C8D" w:rsidRPr="00EA0DC7">
        <w:rPr>
          <w:rFonts w:eastAsia="SimSun" w:cs="Arial"/>
        </w:rPr>
        <w:t>)</w:t>
      </w:r>
      <w:r w:rsidRPr="00EA0DC7">
        <w:rPr>
          <w:rFonts w:eastAsia="SimSun" w:cs="Arial"/>
        </w:rPr>
        <w:t xml:space="preserve"> are present in supervision. Whilst the therapy literature suggests that this is perhaps an effective pattern of focus (e.g., Beck et al., 1979), few empirical studies investigating supervision outcomes actually describe how they conduct supervision (Chapter 3). Therefore, it is very difficult to know which aspects of supervision might lead to the most positive clinical outcomes. </w:t>
      </w:r>
    </w:p>
    <w:p w14:paraId="04DB60EA" w14:textId="77777777" w:rsidR="00D50016" w:rsidRPr="00EA0DC7" w:rsidRDefault="00D50016" w:rsidP="00D50016">
      <w:pPr>
        <w:pStyle w:val="Heading3"/>
      </w:pPr>
      <w:r w:rsidRPr="00EA0DC7">
        <w:t>7.2.4 Factors that impact supervisory focus and outcomes</w:t>
      </w:r>
    </w:p>
    <w:p w14:paraId="6F21B14B" w14:textId="19B5FA3B" w:rsidR="00D50016" w:rsidRPr="00EA0DC7" w:rsidRDefault="00D50016" w:rsidP="00D50016">
      <w:pPr>
        <w:ind w:firstLine="720"/>
      </w:pPr>
      <w:r w:rsidRPr="00EA0DC7">
        <w:t>Although it is unclear which aspects of supervision might be most beneficial to patients, there is an assumption that supervisors will maintain a certain level of consistency in their supervisory practice. Such consistency might be necessary when ensuring therapist adherence. There is much evidence indicating that therapists do not always stick to therapy protocols, a phenomenon known as therapist drift (Waller, 2009). This is seen across a variety of settings and disorders (e.g. Stobie et al., 2007; van Minnen, Hendriks &amp; Olff, 2010; Waller et al., 2012), and can be due to a number of reasons, such as anxiety (Meyer et al.,</w:t>
      </w:r>
      <w:r w:rsidR="00AD5C8D" w:rsidRPr="00EA0DC7">
        <w:t xml:space="preserve"> </w:t>
      </w:r>
      <w:r w:rsidRPr="00EA0DC7">
        <w:t xml:space="preserve">2014), negative beliefs (Farrell et al., 2013), and a lack of knowledge (Addis &amp; Krasnow, 2000). There is some evidence that supervision can increase therapist adherence (Sholomskas et al., 2005). However, it is unclear whether supervisors provide the neutral input required to ensure that all therapy remains on track, regardless of external factors. The </w:t>
      </w:r>
      <w:r w:rsidRPr="00EA0DC7">
        <w:lastRenderedPageBreak/>
        <w:t>studies in this thesis have shown that supervisors might not always approach supervision in a consistent manner, and that they drift in their practice in a similar way to therapists. Factors that influence supervisory focus are discussed below.</w:t>
      </w:r>
    </w:p>
    <w:p w14:paraId="7A9B849A" w14:textId="7BEF2381" w:rsidR="00D50016" w:rsidRPr="00EA0DC7" w:rsidRDefault="00D50016" w:rsidP="003447C9">
      <w:pPr>
        <w:pStyle w:val="Heading4"/>
        <w:keepNext/>
      </w:pPr>
      <w:r w:rsidRPr="00EA0DC7">
        <w:t>7.2.4.1 Patient factors</w:t>
      </w:r>
    </w:p>
    <w:p w14:paraId="3B3AF99D" w14:textId="03DC1A52" w:rsidR="00D50016" w:rsidRPr="00EA0DC7" w:rsidRDefault="00D50016" w:rsidP="00D50016">
      <w:pPr>
        <w:ind w:firstLine="720"/>
      </w:pPr>
      <w:r w:rsidRPr="00EA0DC7">
        <w:t>Patient factors appear to play a key role in supervision sessions. In the first empirical study in this thesis (Chapter 4), supervisors focused more on technique work for both the straightforward and complex patient cases, than for the diffuse case. The finding that supervisors change supervisory focus depending on the quali</w:t>
      </w:r>
      <w:r w:rsidR="00AD5C8D" w:rsidRPr="00EA0DC7">
        <w:t>ties of the patient might not seem</w:t>
      </w:r>
      <w:r w:rsidRPr="00EA0DC7">
        <w:t xml:space="preserve"> particularly surprising. Individual patients can have different needs and differing prospects of recovery. Those with a lower level of complexity make greater gains in treatment </w:t>
      </w:r>
      <w:r w:rsidRPr="00EA0DC7">
        <w:rPr>
          <w:rFonts w:eastAsia="SimSun" w:cs="Arial"/>
        </w:rPr>
        <w:t>(Piette et al. 2011)</w:t>
      </w:r>
      <w:r w:rsidRPr="00EA0DC7">
        <w:t xml:space="preserve">, and those with more severe pre-treatment presentation have a poorer response in therapy </w:t>
      </w:r>
      <w:r w:rsidRPr="00EA0DC7">
        <w:rPr>
          <w:rFonts w:eastAsia="SimSun" w:cs="Arial"/>
        </w:rPr>
        <w:t>(Jarrett et al., 1991; Persons, Burns, &amp; Perloff, 1988)</w:t>
      </w:r>
      <w:r w:rsidRPr="00EA0DC7">
        <w:t xml:space="preserve">. </w:t>
      </w:r>
    </w:p>
    <w:p w14:paraId="6086C4A4" w14:textId="060EFB09" w:rsidR="00D50016" w:rsidRPr="00EA0DC7" w:rsidRDefault="00D50016" w:rsidP="00D50016">
      <w:pPr>
        <w:ind w:firstLine="720"/>
      </w:pPr>
      <w:r w:rsidRPr="00EA0DC7">
        <w:t>However, when this finding is assessed alongside findings from the content analysis of supervision models in Chapter 2, it becomes</w:t>
      </w:r>
      <w:r w:rsidR="00AD5C8D" w:rsidRPr="00EA0DC7">
        <w:t xml:space="preserve"> perhaps</w:t>
      </w:r>
      <w:r w:rsidRPr="00EA0DC7">
        <w:t xml:space="preserve"> more surprising. As fewer than half of the supervision models analysed mention the patient (and even fewer discuss patient complexit</w:t>
      </w:r>
      <w:r w:rsidR="00313657" w:rsidRPr="00EA0DC7">
        <w:t>y</w:t>
      </w:r>
      <w:r w:rsidRPr="00EA0DC7">
        <w:t>), the implication is that supervision should remain constant, regardless of the qualities of the patient. Whether adapting to different patients or keeping supervision content fixed leads to the most positive outcomes is unclear as the models are rarely empirically tested and the empirical studies into supervision outcomes do not outline how the supervisors work with different types of patient.</w:t>
      </w:r>
    </w:p>
    <w:p w14:paraId="2D32A1CB" w14:textId="77777777" w:rsidR="00D50016" w:rsidRPr="00EA0DC7" w:rsidRDefault="00D50016" w:rsidP="00D50016">
      <w:pPr>
        <w:ind w:firstLine="720"/>
      </w:pPr>
      <w:r w:rsidRPr="00EA0DC7">
        <w:lastRenderedPageBreak/>
        <w:t>When there is an added element of non-adherence from the patient (as in Chapter 6), supervisors no longer adapt their supervision content to the different types of patient. This approach implies that the supervisors prioritise dealing with non-adherence. This would appear to be a logical step to take as successful completion of between-session tasks in cognitive therapy for depression has a positive impact on patient outcomes (Detweiler &amp; Whisman, 2006). To work with patient non-adherence, supervisors lean towards alliance and case management aspects of supervision over general technique work. It is possible that supervisors view these as more comfortable aspects of supervision, and so are trying to avoid upsetting or ‘breaking’ the ‘fragile’ patient (Meehl, 1973). Alternatively, supervisors might believe that there is a rupture in the therapeutic alliance, and that this needs repairing before proceeding with further technique work (Safran et al., 2001). Indeed, increased adherence to technique work can exacerbate problems with the alliance leaning to less positive patient outcomes (Castonguay et al., 1996).</w:t>
      </w:r>
    </w:p>
    <w:p w14:paraId="0A75B6E6" w14:textId="015ADF9A" w:rsidR="00D50016" w:rsidRPr="00EA0DC7" w:rsidRDefault="00D50016" w:rsidP="00D50016">
      <w:pPr>
        <w:pStyle w:val="Heading4"/>
      </w:pPr>
      <w:r w:rsidRPr="00EA0DC7">
        <w:t>7.2.4.2 Therapist factors</w:t>
      </w:r>
    </w:p>
    <w:p w14:paraId="60F65A56" w14:textId="278CF591" w:rsidR="00D50016" w:rsidRPr="00EA0DC7" w:rsidRDefault="00D50016" w:rsidP="00D50016">
      <w:r w:rsidRPr="00EA0DC7">
        <w:tab/>
        <w:t xml:space="preserve">There is evidence that supervisors have biases (whether implicit or explicit) that lead them to overestimate the abilities of their supervisees (Dennhag et al., 2012; Gonsalvez &amp; Freestone, 2007). Studies in this thesis investigated whether such supervisory bias extends beyond the existence of a prior relationship with the supervisee. Specifically, whether such biases extend to the characteristics of the supervisees. The supervision models literature indicates that these aspects are key to the supervisory process as almost all supervision models focused on the supervisee </w:t>
      </w:r>
      <w:r w:rsidR="00AD5C8D" w:rsidRPr="00EA0DC7">
        <w:t>(94.23%), and 65% of them</w:t>
      </w:r>
      <w:r w:rsidRPr="00EA0DC7">
        <w:t xml:space="preserve"> focused on the supervisee’s characteristics.</w:t>
      </w:r>
    </w:p>
    <w:p w14:paraId="65F48BB4" w14:textId="2D629EB2" w:rsidR="00D50016" w:rsidRPr="00EA0DC7" w:rsidRDefault="00D50016" w:rsidP="00D50016">
      <w:r w:rsidRPr="00EA0DC7">
        <w:lastRenderedPageBreak/>
        <w:tab/>
        <w:t>Many of the supervision models assessed in Chapter 2 take a developmental approach to supervision, suggesting that as supervisees gain experience the structure and content of supervision should adapt to their needs. Such models often suggest a heavy focus on educational approaches for low-level supervisees but peer work for those at higher levels (e.g., Hogan, 1964; Sto</w:t>
      </w:r>
      <w:r w:rsidR="00555C45" w:rsidRPr="00EA0DC7">
        <w:t>l</w:t>
      </w:r>
      <w:r w:rsidRPr="00EA0DC7">
        <w:t xml:space="preserve">tenberg &amp; Delworth, 1987). As the meta-analysis in Chapter 3 found that supervision has a medium to large positive effect on trainee outcomes but a non-significant effect for </w:t>
      </w:r>
      <w:r w:rsidR="000A4A74">
        <w:t xml:space="preserve">qualified </w:t>
      </w:r>
      <w:r w:rsidRPr="00EA0DC7">
        <w:t xml:space="preserve">outcomes, it appears that there could be differential treatment of supervisees of different experience levels. </w:t>
      </w:r>
    </w:p>
    <w:p w14:paraId="71A058E5" w14:textId="4C325A90" w:rsidR="00D50016" w:rsidRPr="00EA0DC7" w:rsidRDefault="00D50016" w:rsidP="00D50016">
      <w:pPr>
        <w:ind w:firstLine="720"/>
      </w:pPr>
      <w:r w:rsidRPr="00EA0DC7">
        <w:t>However, Study 3b found this was not the case. All of the supervisees in this study were treated the same, regardless of their experience level. Therefore, outcome differences might not be due to supervisors varying their supervision focus for those of different experience levels. It is possible that supervision has particular benefits for early-career supervisees. Indeed, Ost et al. (2012) found supervision could produce treatment ef</w:t>
      </w:r>
      <w:r w:rsidR="00AD5C8D" w:rsidRPr="00EA0DC7">
        <w:t>fects for trainees that are on</w:t>
      </w:r>
      <w:r w:rsidRPr="00EA0DC7">
        <w:t xml:space="preserve"> par with those of qualified supervisees. Alternatively, supervision might play a lesser role </w:t>
      </w:r>
      <w:r w:rsidR="00AD5C8D" w:rsidRPr="00EA0DC7">
        <w:t xml:space="preserve">for qualified supervisees as </w:t>
      </w:r>
      <w:r w:rsidRPr="00EA0DC7">
        <w:t xml:space="preserve">other factors </w:t>
      </w:r>
      <w:r w:rsidR="00AD5C8D" w:rsidRPr="00EA0DC7">
        <w:t xml:space="preserve">possibly </w:t>
      </w:r>
      <w:r w:rsidRPr="00EA0DC7">
        <w:t>contribute more to their outcomes (e.g., experience; Eells et al., 2005). However, it is worth noting that although supervisee experience did not impact supervisory focus in Study 3b, this could be due to the presence of non-adherence from the patient. Perhaps when a patient is not adhering to therapeutic techniques, supervisors will direct supervision in a way to increase adherence, regardless of the experience level of their supervisee. Such adherence is important for patient improvement (Detweiler &amp; Whisman, 2006).</w:t>
      </w:r>
    </w:p>
    <w:p w14:paraId="2F7F4799" w14:textId="573FE7DE" w:rsidR="00D50016" w:rsidRPr="00EA0DC7" w:rsidRDefault="00D50016" w:rsidP="00D50016">
      <w:pPr>
        <w:ind w:firstLine="851"/>
      </w:pPr>
      <w:r w:rsidRPr="00EA0DC7">
        <w:lastRenderedPageBreak/>
        <w:t>Therapist anxiety can impact how therapy is conducted (Waller et al., 2016). Evidence indicates that anxious therapists drift from therapeutic protocols, thereby affecting the content of therapy sessions (e.g., Meyer et al., 2014; Waller et al., 2012). Despite this, more than half of the supervision models analysed in Chapter 2 do not acknowledge the possibility of supervisee anxiety. This is potentially problematic as</w:t>
      </w:r>
      <w:r w:rsidR="00021FA1" w:rsidRPr="00EA0DC7">
        <w:t>,</w:t>
      </w:r>
      <w:r w:rsidRPr="00EA0DC7">
        <w:t xml:space="preserve"> within this thesis, therapist anxiety was found to impact the content of supervision sessions. The presence of therapist anxiety leads supervisors to place a lesser focus on therapeutic techniques (and behavioural activation more specifically) in supervision sessions. However, this pattern of focus only applies when the supervisee is female. </w:t>
      </w:r>
    </w:p>
    <w:p w14:paraId="40EA7C8B" w14:textId="281B1BB4" w:rsidR="00D50016" w:rsidRPr="00EA0DC7" w:rsidRDefault="00D50016" w:rsidP="00D50016">
      <w:pPr>
        <w:ind w:firstLine="851"/>
        <w:rPr>
          <w:rFonts w:cs="Arial"/>
        </w:rPr>
      </w:pPr>
      <w:r w:rsidRPr="00EA0DC7">
        <w:t>There are a number of possible explanations for why supervisors are avoiding technique work with anxious supervisees. First, supervisors might feel that establishing a good therapeutic alliance with the patient is being prevented by the therapist’s anxiety (Hardy et al., 2009). Indeed, Study 2 indicated that supervisors placed a greater focus on alliance work when working with an anxious supervisee. Second, supervisors might be aware that anxious therapists often focus on immediate patient comfort to the exclusion of more change-oriented methods (e.g. behavioural activation). This parallels the avoidance of exposure work in therapy for anxiety disorders (e.g.</w:t>
      </w:r>
      <w:r w:rsidR="00313657" w:rsidRPr="00EA0DC7">
        <w:t>,</w:t>
      </w:r>
      <w:r w:rsidRPr="00EA0DC7">
        <w:t xml:space="preserve"> </w:t>
      </w:r>
      <w:r w:rsidRPr="00EA0DC7">
        <w:rPr>
          <w:rFonts w:cs="Arial"/>
        </w:rPr>
        <w:t xml:space="preserve">Schumacher et al., 2014). Finally, supervisors might not want to disrupt the supervisee relationship by challenging their </w:t>
      </w:r>
      <w:r w:rsidR="002C6402" w:rsidRPr="00EA0DC7">
        <w:rPr>
          <w:rFonts w:cs="Arial"/>
        </w:rPr>
        <w:t>supervisee,</w:t>
      </w:r>
      <w:r w:rsidRPr="00EA0DC7">
        <w:rPr>
          <w:rFonts w:cs="Arial"/>
        </w:rPr>
        <w:t xml:space="preserve"> as poor supervisee relationships can be harmful to supervisee growth (Gray et al., 2001).</w:t>
      </w:r>
    </w:p>
    <w:p w14:paraId="7EB8B0AA" w14:textId="1B366B74" w:rsidR="00D50016" w:rsidRPr="00EA0DC7" w:rsidRDefault="00D50016" w:rsidP="00D50016">
      <w:pPr>
        <w:ind w:firstLine="851"/>
        <w:rPr>
          <w:rFonts w:cs="Arial"/>
        </w:rPr>
      </w:pPr>
      <w:r w:rsidRPr="00EA0DC7">
        <w:rPr>
          <w:rFonts w:cs="Arial"/>
        </w:rPr>
        <w:t>However, none of these explanations can account for why technique work is avoided specifically with anxious female supervisees</w:t>
      </w:r>
      <w:r w:rsidR="00313657" w:rsidRPr="00EA0DC7">
        <w:rPr>
          <w:rFonts w:cs="Arial"/>
        </w:rPr>
        <w:t xml:space="preserve"> but not with </w:t>
      </w:r>
      <w:r w:rsidRPr="00EA0DC7">
        <w:rPr>
          <w:rFonts w:cs="Arial"/>
        </w:rPr>
        <w:lastRenderedPageBreak/>
        <w:t xml:space="preserve">anxious male supervisees. Perhaps supervisors feel that female supervisees are more likely to pick up on problems with the therapeutic alliance that might hinder therapeutic progress. Patients have been found to report higher alliance ratings with female (rather than male) therapists (Staczan et al., 2017). Therefore, supervisors might take the anxiety of female supervisees more seriously. In doing so, supervisors could be holding off on encouraging aspects of therapy that might be more challenging to the </w:t>
      </w:r>
      <w:r w:rsidR="00021FA1" w:rsidRPr="00EA0DC7">
        <w:rPr>
          <w:rFonts w:cs="Arial"/>
        </w:rPr>
        <w:t>patient</w:t>
      </w:r>
      <w:r w:rsidRPr="00EA0DC7">
        <w:rPr>
          <w:rFonts w:cs="Arial"/>
        </w:rPr>
        <w:t xml:space="preserve"> or those that the patient or supervisee has previously not adhered to. A greater focus on alliance work with female supervisees (rather than male supervisees) in Study 2 lends support to this explanation.</w:t>
      </w:r>
    </w:p>
    <w:p w14:paraId="0E5E779A" w14:textId="40DDFD85" w:rsidR="00D50016" w:rsidRPr="00EA0DC7" w:rsidRDefault="00D50016" w:rsidP="00D50016">
      <w:pPr>
        <w:ind w:firstLine="851"/>
        <w:rPr>
          <w:rFonts w:cs="Arial"/>
        </w:rPr>
      </w:pPr>
      <w:r w:rsidRPr="00EA0DC7">
        <w:rPr>
          <w:rFonts w:cs="Arial"/>
        </w:rPr>
        <w:t>An alternative explanation is that supervisors feel that female supervisees are likely to have a more anxious disposition, by virtue of their gender (e.g. Leahy et al., 2012). Therefore, such displays of anxiety might lead supervisors to view their female supervisees as more vulnerable and unable to cope with technique work, or to return to potentially anxiety-provoking techniques that were previously not adhered to. Supervisors are encouraged to play a nurturing role with their own patients and a formative role with their often vulnerable supervisees (Gonsalvez &amp; Freestone, 2007), and so they might strive to protect and not ‘break’ their supervisee (Meehl, 1973), particularly if the</w:t>
      </w:r>
      <w:r w:rsidR="00D77D2E">
        <w:rPr>
          <w:rFonts w:cs="Arial"/>
        </w:rPr>
        <w:t xml:space="preserve"> supervisee is</w:t>
      </w:r>
      <w:r w:rsidRPr="00EA0DC7">
        <w:rPr>
          <w:rFonts w:cs="Arial"/>
        </w:rPr>
        <w:t xml:space="preserve"> female and relatively anxious. </w:t>
      </w:r>
    </w:p>
    <w:p w14:paraId="591EFC93" w14:textId="77777777" w:rsidR="00D50016" w:rsidRPr="00EA0DC7" w:rsidRDefault="00D50016" w:rsidP="00D50016">
      <w:pPr>
        <w:ind w:firstLine="851"/>
        <w:rPr>
          <w:rFonts w:cs="Arial"/>
        </w:rPr>
      </w:pPr>
      <w:r w:rsidRPr="00EA0DC7">
        <w:rPr>
          <w:rFonts w:cs="Arial"/>
        </w:rPr>
        <w:t xml:space="preserve">Such assumptions that female supervisees might be more vulnerable or more unable to cope appear ill-founded as therapist gender has little impact on therapy outcome, and sometimes female therapists perform better than males (Branson, &amp; Shafran, 2015; Huppert at al., 2001). However, it remains possible that providing different supervisory guidance to male and female </w:t>
      </w:r>
      <w:r w:rsidRPr="00EA0DC7">
        <w:rPr>
          <w:rFonts w:cs="Arial"/>
        </w:rPr>
        <w:lastRenderedPageBreak/>
        <w:t>supervisees can still lead to equivalent clinical outcomes. Indeed, Bearman et al. (2013) found that discussion of evidence-based practices in supervision predicted adherence to those practices from male but not from female supervisees.</w:t>
      </w:r>
    </w:p>
    <w:p w14:paraId="14CC84FF" w14:textId="190AD8D1" w:rsidR="00D50016" w:rsidRPr="00EA0DC7" w:rsidRDefault="00D50016" w:rsidP="00021FA1">
      <w:pPr>
        <w:pStyle w:val="Heading4"/>
        <w:keepNext/>
      </w:pPr>
      <w:r w:rsidRPr="00EA0DC7">
        <w:t>7.2.4.3 Supervisor factors</w:t>
      </w:r>
    </w:p>
    <w:p w14:paraId="0516EC34" w14:textId="4CCC5864" w:rsidR="00D50016" w:rsidRPr="00EA0DC7" w:rsidRDefault="00D50016" w:rsidP="00D50016">
      <w:r w:rsidRPr="00EA0DC7">
        <w:tab/>
        <w:t xml:space="preserve">The supervisor </w:t>
      </w:r>
      <w:r w:rsidR="00313657" w:rsidRPr="00EA0DC7">
        <w:t xml:space="preserve">themselves </w:t>
      </w:r>
      <w:r w:rsidRPr="00EA0DC7">
        <w:t xml:space="preserve">is a key aspect of the supervision process; 80.77% of models analysed in Chapter 2 focus in some way on the supervisor. However, details of which specific supervisor aspects impact supervision is somewhat lacking in the models literature. A cluster analysis of supervisor elements indicated that the majority of models fall into an </w:t>
      </w:r>
      <w:r w:rsidRPr="00EA0DC7">
        <w:rPr>
          <w:i/>
        </w:rPr>
        <w:t>Unfocused</w:t>
      </w:r>
      <w:r w:rsidRPr="00EA0DC7">
        <w:t xml:space="preserve"> </w:t>
      </w:r>
      <w:r w:rsidR="002C6402" w:rsidRPr="00EA0DC7">
        <w:t>cluster, which</w:t>
      </w:r>
      <w:r w:rsidRPr="00EA0DC7">
        <w:t xml:space="preserve"> contains models that do not provide any particular detail about the supervisor as a person. The second largest group of models focuses in on the supervisor being an authority figure, again without discussing the supervisor’s personal qualities. Representing the majority of supervision models, these two clusters suggest that the supervisor’s personal characteristics are not relevant to the supervision process. However, as there is a wealth of evidence indicating that therapists drift from therapeutic protocols for reasons relating to their own characteristics (e.g., anxiety, Meyer et al., 2014; mood, Waller et al., 2013; personality, Peters-Scheffer, Didden, Korzilius &amp; Sturmey, 2013), there is little reason to believe that supervisors are immune to such drift within their own practice. Indeed, the empirical studies presented within this thesis found a number of supervisor characteristics that are related to supervisory focus in supervision sessions.</w:t>
      </w:r>
    </w:p>
    <w:p w14:paraId="5B7037E4" w14:textId="3E51F650" w:rsidR="00D50016" w:rsidRPr="00EA0DC7" w:rsidRDefault="00D50016" w:rsidP="00D50016">
      <w:r w:rsidRPr="00EA0DC7">
        <w:tab/>
        <w:t>Despite only three supervision models taking a focus on the anxiety of the supervisor (C</w:t>
      </w:r>
      <w:r w:rsidR="001934DA" w:rsidRPr="00EA0DC7">
        <w:t>hapter 2), supervisors’ anxiety</w:t>
      </w:r>
      <w:r w:rsidRPr="00EA0DC7">
        <w:t xml:space="preserve"> </w:t>
      </w:r>
      <w:r w:rsidR="001934DA" w:rsidRPr="00EA0DC7">
        <w:t>(</w:t>
      </w:r>
      <w:r w:rsidRPr="00EA0DC7">
        <w:t>s</w:t>
      </w:r>
      <w:r w:rsidR="001934DA" w:rsidRPr="00EA0DC7">
        <w:t xml:space="preserve">pecifically prospective </w:t>
      </w:r>
      <w:r w:rsidR="001934DA" w:rsidRPr="00EA0DC7">
        <w:lastRenderedPageBreak/>
        <w:t>anxiety)</w:t>
      </w:r>
      <w:r w:rsidRPr="00EA0DC7">
        <w:t xml:space="preserve"> appears to have an impact on the supervisory focus. Results from Study 1 indicated that those supervisors with a greater anxiety towards future events mainly focused on the case management aspects of supervision (rather than technique </w:t>
      </w:r>
      <w:r w:rsidR="002C6402" w:rsidRPr="00EA0DC7">
        <w:t>or alliance work). Whereas, in S</w:t>
      </w:r>
      <w:r w:rsidRPr="00EA0DC7">
        <w:t>tudy 2, those scoring higher on the prospective anxiety scale focused more on alliance work than those with lower prospective anxiety scores. Combined, these results indicate that supervisors who have higher anxiety relating to future events seem to focus more on the non-technique aspects of supervision. These findings parallel those indicating that anxious therapists avoid the use of core CBT techniques in therapy</w:t>
      </w:r>
      <w:r w:rsidRPr="00EA0DC7">
        <w:rPr>
          <w:rFonts w:cs="Arial"/>
        </w:rPr>
        <w:t xml:space="preserve"> </w:t>
      </w:r>
      <w:r w:rsidRPr="00EA0DC7">
        <w:rPr>
          <w:rFonts w:cs="Arial"/>
          <w:noProof/>
        </w:rPr>
        <w:t>(e.g., Meyer, et al., 2014; Waller et al., 2012).</w:t>
      </w:r>
      <w:r w:rsidRPr="00EA0DC7">
        <w:t xml:space="preserve"> A fear over future events can lead supervisors to focus on patient safety or ensuring a positive relationship to the exclusion of more change-oriented methods. This is potentially due to case management and alliance aspects of therapy being viewed as less anxiety-provoking than technique work. </w:t>
      </w:r>
    </w:p>
    <w:p w14:paraId="7B1D1E16" w14:textId="581F1268" w:rsidR="00D50016" w:rsidRPr="00EA0DC7" w:rsidRDefault="00D50016" w:rsidP="00D50016">
      <w:r w:rsidRPr="00EA0DC7">
        <w:tab/>
        <w:t>Supervisor self-esteem appears to have some impact on supervisory focus. In Study 1, supervisors with high self-esteem focused more on alliance and technique work than those with lower self-esteem.  Although a similar effect of supervisor self-esteem was not found in the other studies in this thesis, this finding ties in with research concerning therapist characteristics by Waller et al. (2013)</w:t>
      </w:r>
      <w:r w:rsidR="001934DA" w:rsidRPr="00EA0DC7">
        <w:t xml:space="preserve"> who</w:t>
      </w:r>
      <w:r w:rsidRPr="00EA0DC7">
        <w:t xml:space="preserve"> that found </w:t>
      </w:r>
      <w:r w:rsidR="001934DA" w:rsidRPr="00EA0DC7">
        <w:t xml:space="preserve">that </w:t>
      </w:r>
      <w:r w:rsidRPr="00EA0DC7">
        <w:t>therapists with a higher mood have more positive beliefs about the use treatment manuals. The finding from Study 1 is also in line with previous work by Moldovan &amp; David (2013) suggesting that high supervisor self-acceptance and self-efficacy positively affects trainee</w:t>
      </w:r>
      <w:r w:rsidR="00CF1786" w:rsidRPr="00EA0DC7">
        <w:t>s</w:t>
      </w:r>
      <w:r w:rsidRPr="00EA0DC7">
        <w:t xml:space="preserve">’ outcomes. Combined, these findings indicate that the self-esteem or mood of the supervisor has a role to play in how supervision is conducted. </w:t>
      </w:r>
      <w:r w:rsidRPr="00EA0DC7">
        <w:lastRenderedPageBreak/>
        <w:t>Despite this, these aspects did not appear in any of the supervision models analysed in Chapter 2.</w:t>
      </w:r>
    </w:p>
    <w:p w14:paraId="2718204A" w14:textId="2C742BC5" w:rsidR="00D50016" w:rsidRPr="00EA0DC7" w:rsidRDefault="00D50016" w:rsidP="00D50016">
      <w:r w:rsidRPr="00EA0DC7">
        <w:tab/>
        <w:t>While the theme of development runs throughout the supervision models literature, many models focus on supervisee development (55.77% of models), but only a few (9.62%) focus on the development of the supervisor. Within the empirical studies in this thesis, the development of the supervisor emerged as an impor</w:t>
      </w:r>
      <w:r w:rsidR="00A544DC" w:rsidRPr="00EA0DC7">
        <w:t xml:space="preserve">tant variable. In Study 1, the </w:t>
      </w:r>
      <w:r w:rsidR="00A544DC" w:rsidRPr="00EA0DC7">
        <w:rPr>
          <w:i/>
        </w:rPr>
        <w:t>Case-M</w:t>
      </w:r>
      <w:r w:rsidRPr="00EA0DC7">
        <w:rPr>
          <w:i/>
        </w:rPr>
        <w:t>anagement focused</w:t>
      </w:r>
      <w:r w:rsidRPr="00EA0DC7">
        <w:t xml:space="preserve"> group of supervisors had been qualified, using CBT, and accredited as a therapist </w:t>
      </w:r>
      <w:r w:rsidR="00A544DC" w:rsidRPr="00EA0DC7">
        <w:t xml:space="preserve">for longer than those who were </w:t>
      </w:r>
      <w:r w:rsidR="00A544DC" w:rsidRPr="00EA0DC7">
        <w:rPr>
          <w:i/>
        </w:rPr>
        <w:t>U</w:t>
      </w:r>
      <w:r w:rsidRPr="00EA0DC7">
        <w:rPr>
          <w:i/>
        </w:rPr>
        <w:t>nfocused.</w:t>
      </w:r>
      <w:r w:rsidRPr="00EA0DC7">
        <w:t xml:space="preserve"> This could be viewed as supervisory drift with time</w:t>
      </w:r>
      <w:r w:rsidR="00CF1786" w:rsidRPr="00EA0DC7">
        <w:t xml:space="preserve"> </w:t>
      </w:r>
      <w:r w:rsidR="007735A9" w:rsidRPr="00EA0DC7">
        <w:t>–</w:t>
      </w:r>
      <w:r w:rsidR="00CF1786" w:rsidRPr="00EA0DC7">
        <w:t xml:space="preserve"> </w:t>
      </w:r>
      <w:r w:rsidRPr="00EA0DC7">
        <w:t xml:space="preserve">experienced supervisors no longer focusing on the core aspects of therapy that lead to patient change. In contrast, Study 3a indicated that those who had been using CBT for longer had a higher focus on all aspects of supervision than those with less experience. This perhaps suggests that having more experience in beneficial when working with more difficult cases, such as those with a lack of adherence (as in Study 3). This explanation ties in with research into the impact therapist experience on therapeutic outcomes by Mason et al. (2016) that found qualified therapists only outperform trainees when working with patients with severe anxiety (rather than mild or moderate). </w:t>
      </w:r>
    </w:p>
    <w:p w14:paraId="639B78BE" w14:textId="77777777" w:rsidR="00D50016" w:rsidRPr="00EA0DC7" w:rsidRDefault="00D50016" w:rsidP="00D50016">
      <w:pPr>
        <w:ind w:firstLine="720"/>
      </w:pPr>
      <w:r w:rsidRPr="00EA0DC7">
        <w:t xml:space="preserve">Although supervisor experience had an impact in some of the studies in this thesis, it did not have an impact in all, and the direction of the effect of supervisor experience upon supervisory content is slightly unclear. This is similar to findings from the therapeutic experience literature. Some studies indicate that experience has a positive impact on therapy (Eells et al., 2005), while others indicate a negative impact (Bjaastad et al., 2018; Goldberg et al., </w:t>
      </w:r>
      <w:r w:rsidRPr="00EA0DC7">
        <w:lastRenderedPageBreak/>
        <w:t xml:space="preserve">2016), or even an intermediate effect (Witteman &amp; van de Bercken; 2007). Perhaps measurements of experience other than time are key to the assessing the impact of experience. For example, perhaps the focus needs to be on the quality of experience, or the similarly of previous situations to the current one. </w:t>
      </w:r>
    </w:p>
    <w:p w14:paraId="5E740443" w14:textId="49D9D0C0" w:rsidR="00D50016" w:rsidRPr="00EA0DC7" w:rsidRDefault="00D50016" w:rsidP="00D50016">
      <w:pPr>
        <w:ind w:firstLine="720"/>
      </w:pPr>
      <w:r w:rsidRPr="00EA0DC7">
        <w:t xml:space="preserve">A final supervisor characteristic that must be discussed is supervisor gender. Results from all three empirical chapters in this thesis indicated that supervisor gender had no impact on supervisory focus in supervision. When supervisor ‘types’ were identified based on supervision focus through cluster analyses, supervisors of each gender </w:t>
      </w:r>
      <w:r w:rsidR="002C3AD6" w:rsidRPr="00EA0DC7">
        <w:t xml:space="preserve">were </w:t>
      </w:r>
      <w:r w:rsidR="00D02706" w:rsidRPr="00EA0DC7">
        <w:t xml:space="preserve">evenly </w:t>
      </w:r>
      <w:r w:rsidR="002C3AD6" w:rsidRPr="00EA0DC7">
        <w:t>split</w:t>
      </w:r>
      <w:r w:rsidRPr="00EA0DC7">
        <w:t xml:space="preserve"> between the clusters. This finding resonates with research showing that therapist gender often has no impact on therapy outcomes or therapeutic performance (e.g., Branson &amp; Shafran, 2015; </w:t>
      </w:r>
      <w:r w:rsidRPr="00EA0DC7">
        <w:rPr>
          <w:rFonts w:cs="Arial"/>
        </w:rPr>
        <w:t xml:space="preserve">Huppert at al., 2001). </w:t>
      </w:r>
    </w:p>
    <w:p w14:paraId="23D4661E" w14:textId="14635BD3" w:rsidR="00D50016" w:rsidRPr="00EA0DC7" w:rsidRDefault="00D50016" w:rsidP="00D50016">
      <w:pPr>
        <w:ind w:firstLine="720"/>
      </w:pPr>
      <w:r w:rsidRPr="00EA0DC7">
        <w:t xml:space="preserve"> In addition, supervisor gender was unrelated to the differential treatment of male and female supervisees in Study 2.  Both male and female supervisors focused less on technique work with anxious female supervisees, than with anxious male supervisees. Nelson and Holloway (1990) found a similar pattern of gender relevance in a study of power balance in supervision in which, regardless of their gender, supervisors assumed more power with female than with male supervisees. There is similar evidence in other domains. For example, in a study by Steinpreis et al. (1999), both male and female employers were m</w:t>
      </w:r>
      <w:r w:rsidR="00FA5DE9" w:rsidRPr="00EA0DC7">
        <w:t>ore likely to offer positions at</w:t>
      </w:r>
      <w:r w:rsidRPr="00EA0DC7">
        <w:t xml:space="preserve"> higher starting salaries to men than women with identical curricula vitae</w:t>
      </w:r>
    </w:p>
    <w:p w14:paraId="265E5654" w14:textId="5AC26644" w:rsidR="00D50016" w:rsidRPr="00EA0DC7" w:rsidRDefault="00D50016" w:rsidP="004C54F0">
      <w:pPr>
        <w:pStyle w:val="Heading4"/>
        <w:keepNext/>
      </w:pPr>
      <w:r w:rsidRPr="00EA0DC7">
        <w:lastRenderedPageBreak/>
        <w:t>7.2.4.4 Summary</w:t>
      </w:r>
    </w:p>
    <w:p w14:paraId="0C22AEA8" w14:textId="084C5D5B" w:rsidR="00D50016" w:rsidRPr="00EA0DC7" w:rsidRDefault="00D50016" w:rsidP="00D50016">
      <w:r w:rsidRPr="00EA0DC7">
        <w:tab/>
        <w:t xml:space="preserve">There is much research indicating that therapists can drift from ‘best practice’ in therapy (e.g., Meyer et al., 2014; Stobie et al., 2007; Waller et al., 2012). This leads to patients receiving treatment that deviates from the evidence-base and so reduces their chances of improvement (Waller et al., 2016). Clinical supervision is an aspect of therapy that is often expected to ensure that therapists stay on track. However, this thesis has found that there might be different ‘types’ of supervisor who conduct their supervision in different ways. In addition, the way in which supervisors are conducting their supervision is related to factors similar to </w:t>
      </w:r>
      <w:r w:rsidR="009621D9" w:rsidRPr="00EA0DC7">
        <w:t>those that</w:t>
      </w:r>
      <w:r w:rsidRPr="00EA0DC7">
        <w:t xml:space="preserve"> impact therapists when conducting therapy. Such factors can be related to the patients being treated, the supervisee in supervision, and the supervisor themselves. Therefore, supervisors appear to drift, just as therapists do. Some of these factors are taken into account in models of supervision; however, many of them are not. Here, these findings have been discussed in relation to the empirical evidence and in the following section; they will be discussed in relation to psychology theory.</w:t>
      </w:r>
    </w:p>
    <w:p w14:paraId="29932A37" w14:textId="77777777" w:rsidR="00D50016" w:rsidRPr="00EA0DC7" w:rsidRDefault="00D50016" w:rsidP="00D50016">
      <w:pPr>
        <w:pStyle w:val="Heading2"/>
      </w:pPr>
      <w:bookmarkStart w:id="196" w:name="_Toc47039873"/>
      <w:r w:rsidRPr="00EA0DC7">
        <w:t>7.3 Wider psychology literature</w:t>
      </w:r>
      <w:bookmarkEnd w:id="196"/>
      <w:r w:rsidRPr="00EA0DC7">
        <w:t xml:space="preserve"> </w:t>
      </w:r>
    </w:p>
    <w:p w14:paraId="0DC748E4" w14:textId="1D813427" w:rsidR="00D50016" w:rsidRPr="00EA0DC7" w:rsidRDefault="00D50016" w:rsidP="00D50016">
      <w:r w:rsidRPr="00EA0DC7">
        <w:tab/>
        <w:t>As the supervision models literature lacks an evidence base, it is difficult to use it to draw meaningful conclusions about the emp</w:t>
      </w:r>
      <w:r w:rsidR="002C3AD6" w:rsidRPr="00EA0DC7">
        <w:t>irical studies in this thesis. Here</w:t>
      </w:r>
      <w:r w:rsidRPr="00EA0DC7">
        <w:t xml:space="preserve">, the findings will be discussed in the context of wider psychology theory.   </w:t>
      </w:r>
    </w:p>
    <w:p w14:paraId="3143FC31" w14:textId="77777777" w:rsidR="00D50016" w:rsidRPr="00EA0DC7" w:rsidRDefault="00D50016" w:rsidP="004C54F0">
      <w:pPr>
        <w:pStyle w:val="Heading3"/>
        <w:keepNext/>
      </w:pPr>
      <w:r w:rsidRPr="00EA0DC7">
        <w:lastRenderedPageBreak/>
        <w:t>7.3.1 Social Psychology theory</w:t>
      </w:r>
    </w:p>
    <w:p w14:paraId="182EA178" w14:textId="504F3957" w:rsidR="00D50016" w:rsidRPr="00EA0DC7" w:rsidRDefault="00D50016" w:rsidP="00D50016">
      <w:r w:rsidRPr="00EA0DC7">
        <w:tab/>
        <w:t>Previous research suggests that supervisors to have biases towards their supervisees. There is evidence of leniency bias</w:t>
      </w:r>
      <w:r w:rsidR="00CF1786" w:rsidRPr="00EA0DC7">
        <w:t>,</w:t>
      </w:r>
      <w:r w:rsidRPr="00EA0DC7">
        <w:t xml:space="preserve"> where supervisors overestimate the abilities of their own supervisees (Dennhag et al., 2012; Gonsalvez &amp; Freestone, 2007). Gonsalvez &amp; Freestone (2007) also found evidence of a halo-effect type of bias (Thorndike, 1920). When supervisors rated their supervisees highly on one performance dimension, they tended to rate them highly on others, but there was weak between-supervisor agreement. The positive relationship that supervisors are encouraged to have with their supervisees can leave them vulnerable to this type of bias. Supervisors view their supervisee in a positive light and therefore attribute them other positive qualities, such as high competency scores.</w:t>
      </w:r>
    </w:p>
    <w:p w14:paraId="4FF53EE0" w14:textId="4AFA5C0D" w:rsidR="00D50016" w:rsidRPr="00EA0DC7" w:rsidRDefault="00D50016" w:rsidP="00D50016">
      <w:r w:rsidRPr="00EA0DC7">
        <w:tab/>
        <w:t xml:space="preserve">The findings from this thesis indicate the potential for other implicit (or explicit) social cognitions from supervisors, in the form of stereotypes. Stereotypes are beliefs shared by members of society about traits characteristic of members of a specific social category (Greenwald &amp; Banaji, 1995). The differential treatment of male and female supervisees could be due to supervisors acting on gender stereotypes. A few gender stereotypes might be influencing supervisory decisions. First, there is the widely held stereotype of women as nurturers (Hamilton, Anderson, Broddus &amp; Young, 2006; Hyde, 2005). Women are often rated higher on communion traits, </w:t>
      </w:r>
      <w:r w:rsidR="00CF1786" w:rsidRPr="00EA0DC7">
        <w:t>such as</w:t>
      </w:r>
      <w:r w:rsidRPr="00EA0DC7">
        <w:t xml:space="preserve"> warmth (Haines, Deaux &amp; Lofaro, 2016). Supervisors might feel that female supervisees are more attuned to relationship problems in therapy, and so their anxieties around certain techniques are taken more seriously than those of their male colleagues. In addition, supervisors are more inclined to focus on </w:t>
      </w:r>
      <w:r w:rsidRPr="00EA0DC7">
        <w:lastRenderedPageBreak/>
        <w:t>alliance work with female, rather than male, supervisees. Second, men tend to be rated higher on agency measures, such as competence or assertiveness (Haines et al., 2016). Supervisors might assume that an anxious male supervisee is competent enough to continue with therapeutic techniques despite their anxiety, or that they are assertive enough to push on with aspects of therapy that are being met with resistance.</w:t>
      </w:r>
    </w:p>
    <w:p w14:paraId="0E79FFC1" w14:textId="1E9FA0B8" w:rsidR="00D50016" w:rsidRPr="00EA0DC7" w:rsidRDefault="00D50016" w:rsidP="003447C9">
      <w:pPr>
        <w:pStyle w:val="Heading3"/>
        <w:keepNext/>
        <w:widowControl w:val="0"/>
      </w:pPr>
      <w:r w:rsidRPr="00EA0DC7">
        <w:t>7.3.2 CBT theory</w:t>
      </w:r>
    </w:p>
    <w:p w14:paraId="7955438F" w14:textId="61B0FA78" w:rsidR="00D50016" w:rsidRPr="00EA0DC7" w:rsidRDefault="00D50016" w:rsidP="003447C9">
      <w:pPr>
        <w:widowControl w:val="0"/>
      </w:pPr>
      <w:r w:rsidRPr="00EA0DC7">
        <w:tab/>
        <w:t>The findings from this thesis can be related to the theory underpinning CBT. Cognitive Theory proposed by Beck (1967) suggests that an individual bases their behaviours on underlying beliefs about the self, the world, and the future. However, these beliefs can be irrational, therefore leading to cognitive biases and maladaptive behaviours. Understanding and challenging these beliefs is the core mechanism through which CBT leads to behaviour change and clinical improvement. Just like their patients, it is possible that supervisors will also have irrational beliefs, and this is shown in some of the findings from this thesis. For example, some supervisors appear to base their supervision recommendations on their own anxiety and worry surrounding potential future events. This leads them to choose courses of action that appear to defy their knowledge of the evidence-base.</w:t>
      </w:r>
    </w:p>
    <w:p w14:paraId="570DCAD8" w14:textId="77777777" w:rsidR="00D50016" w:rsidRPr="00EA0DC7" w:rsidRDefault="00D50016" w:rsidP="003447C9">
      <w:pPr>
        <w:widowControl w:val="0"/>
        <w:ind w:firstLine="720"/>
      </w:pPr>
      <w:r w:rsidRPr="00EA0DC7">
        <w:t xml:space="preserve">The ease with which these results fit to the theory underlying CBT can be viewed as both troubling and reassuring. Supervisors working with CBT should be well educated on the theory and mechanisms leading to patient change. However, some supervisors appear to lack an awareness of how this theory can apply to their own behaviours. On the other hand, as this is a theory </w:t>
      </w:r>
      <w:r w:rsidRPr="00EA0DC7">
        <w:lastRenderedPageBreak/>
        <w:t>that clinicians should know well, it is perhaps easy for them to assess their own beliefs. This could lead to a change in any cognitive biases that they might have.</w:t>
      </w:r>
    </w:p>
    <w:p w14:paraId="472BB116" w14:textId="77777777" w:rsidR="00D50016" w:rsidRPr="00EA0DC7" w:rsidRDefault="00D50016" w:rsidP="002C3AD6">
      <w:pPr>
        <w:pStyle w:val="Heading2"/>
        <w:keepNext/>
      </w:pPr>
      <w:bookmarkStart w:id="197" w:name="_Toc47039874"/>
      <w:r w:rsidRPr="00EA0DC7">
        <w:t>7.4 Clinical and service improvement</w:t>
      </w:r>
      <w:bookmarkEnd w:id="197"/>
    </w:p>
    <w:p w14:paraId="7235730E" w14:textId="77777777" w:rsidR="00D50016" w:rsidRPr="00EA0DC7" w:rsidRDefault="00D50016" w:rsidP="00D50016">
      <w:r w:rsidRPr="00EA0DC7">
        <w:tab/>
        <w:t>When looking at the clinical implications of this research, it is first important to highlight that although the supervision models literature is unclear and there is limited empirical research, the meta-analysis of supervision in Chapter 3 found that clinical supervision has a positive impact on supervisees. Therefore, supervision appears to have some value. However, its value might lie in limiting supervisee deterioration, rather than directly improving patient outcomes. In order to maximise supervision impact, the supervision process needs to be tidied up. To do this, supervision perhaps needs to move towards being more patient-oriented. Factors that have an impact on supervision sessions (other than the patient in treatment) need to be taken into account when setting out supervision protocols.</w:t>
      </w:r>
    </w:p>
    <w:p w14:paraId="078BC6AB" w14:textId="77777777" w:rsidR="00D50016" w:rsidRPr="00EA0DC7" w:rsidRDefault="00D50016" w:rsidP="00D50016">
      <w:pPr>
        <w:pStyle w:val="Heading3"/>
      </w:pPr>
      <w:r w:rsidRPr="00EA0DC7">
        <w:t>7.4.1 Monitoring of supervision</w:t>
      </w:r>
    </w:p>
    <w:p w14:paraId="185134DD" w14:textId="4633919E" w:rsidR="00D50016" w:rsidRPr="00EA0DC7" w:rsidRDefault="00D50016" w:rsidP="00D50016">
      <w:pPr>
        <w:ind w:firstLine="720"/>
      </w:pPr>
      <w:r w:rsidRPr="00EA0DC7">
        <w:t>To ensure tha</w:t>
      </w:r>
      <w:r w:rsidR="00BA6ECC">
        <w:t>t</w:t>
      </w:r>
      <w:r w:rsidRPr="00EA0DC7">
        <w:t xml:space="preserve"> supervision stays on track, there is an argument for greater monitoring of supervision. Patients appear to have better clinical outcomes within RCT settings </w:t>
      </w:r>
      <w:r w:rsidRPr="00EA0DC7">
        <w:rPr>
          <w:rFonts w:cs="Arial"/>
          <w:noProof/>
        </w:rPr>
        <w:t>(Gibbons et al., 2013)</w:t>
      </w:r>
      <w:r w:rsidRPr="00EA0DC7">
        <w:t xml:space="preserve">, where the supervisory conditions are more regulated </w:t>
      </w:r>
      <w:r w:rsidRPr="00EA0DC7">
        <w:rPr>
          <w:rFonts w:cs="Arial"/>
          <w:noProof/>
        </w:rPr>
        <w:t>(Roth et al., 2010; Tracey et al., 2012).</w:t>
      </w:r>
      <w:r w:rsidRPr="00EA0DC7">
        <w:t xml:space="preserve"> Monitoring might be conducted in a number of ways. First, there is the option for analysis at the practice level. Clinical practices should be aware of how their own supervisory procedures might relate to outcomes. Outcome data might include both session-by-session patient outcome monitoring and </w:t>
      </w:r>
      <w:r w:rsidRPr="00EA0DC7">
        <w:lastRenderedPageBreak/>
        <w:t>feedback from supervisees. Such session-by-session monitoring of therapy has been successfully used within IAPT services (Clark et al., 2018). Supervision data can be incorporated into existing systems and expanded to practices outside of IAPT.</w:t>
      </w:r>
    </w:p>
    <w:p w14:paraId="7E65B23C" w14:textId="2CFD0787" w:rsidR="00D50016" w:rsidRPr="00EA0DC7" w:rsidRDefault="00D50016" w:rsidP="00D50016">
      <w:pPr>
        <w:ind w:firstLine="720"/>
      </w:pPr>
      <w:r w:rsidRPr="00EA0DC7">
        <w:t xml:space="preserve">Second, supervisors might require some form of supervision themselves. Some therapeutic organisations recommend that supervisors should receive supervision (e.g., BABCP, 2019), and therapy centres are beginning to offer courses in supervision of supervision. Such supervision might take the form of a group discussion. This allows supervisors to present their case and then take a step back to avoid any biases that might occur due to their prior knowledge of and relationship with the supervisee. As these biases can be explained through Cognitive Theory (Beck, 1967), it should be </w:t>
      </w:r>
      <w:r w:rsidR="002C3AD6" w:rsidRPr="00EA0DC7">
        <w:t xml:space="preserve">straightforward </w:t>
      </w:r>
      <w:r w:rsidRPr="00EA0DC7">
        <w:t>for other supervisors trained in this theory to identify them.</w:t>
      </w:r>
    </w:p>
    <w:p w14:paraId="1E73B198" w14:textId="77777777" w:rsidR="00D50016" w:rsidRPr="00EA0DC7" w:rsidRDefault="00D50016" w:rsidP="00D50016">
      <w:pPr>
        <w:ind w:firstLine="720"/>
      </w:pPr>
      <w:r w:rsidRPr="00EA0DC7">
        <w:t>Finally, supervisors should set aside some time to monitor themselves. They should request supervisee feedback, look at their patient outcome data, and seek out any patterns in their treatment of different types of individuals. Supervisors must assess their focus in supervision and decide what their ultimate aim is – supervisee comfort or patient improvement. Supervisors need to monitor of their own anxieties around upsetting their supervisees, as holding off potentially anxiety-provoking techniques might be detrimental to the patient in the long term.</w:t>
      </w:r>
    </w:p>
    <w:p w14:paraId="5770C931" w14:textId="77777777" w:rsidR="00D50016" w:rsidRPr="00EA0DC7" w:rsidRDefault="00D50016" w:rsidP="00D50016">
      <w:pPr>
        <w:pStyle w:val="Heading3"/>
      </w:pPr>
      <w:r w:rsidRPr="00EA0DC7">
        <w:t>7.4.2 Training and professional development</w:t>
      </w:r>
    </w:p>
    <w:p w14:paraId="1CE346C0" w14:textId="77777777" w:rsidR="00D50016" w:rsidRPr="00EA0DC7" w:rsidRDefault="00D50016" w:rsidP="00D50016">
      <w:r w:rsidRPr="00EA0DC7">
        <w:tab/>
        <w:t xml:space="preserve">Improving monitoring of supervision can lead to supervisors becoming aware of potential biases that they might hold. Supplementing monitoring with </w:t>
      </w:r>
      <w:r w:rsidRPr="00EA0DC7">
        <w:lastRenderedPageBreak/>
        <w:t>training around identifying and understanding biases might be sufficient to eliminate such biases. Simple consciousness raising is an effective strategy for avoiding unintended discrimination (Greenwald &amp; Banaji, 1995). Such training and professional development might also look to incorporate aspects of CBT to counter cognitive biases, just as exposure therapy has been recommended for anxious therapists (Farrell et al., 2013).</w:t>
      </w:r>
    </w:p>
    <w:p w14:paraId="561E0772" w14:textId="5C7BE5EA" w:rsidR="00D50016" w:rsidRPr="00EA0DC7" w:rsidRDefault="00D50016" w:rsidP="00D50016">
      <w:pPr>
        <w:ind w:firstLine="720"/>
        <w:rPr>
          <w:rFonts w:cs="Arial"/>
          <w:noProof/>
          <w:szCs w:val="24"/>
        </w:rPr>
      </w:pPr>
      <w:r w:rsidRPr="00EA0DC7">
        <w:t xml:space="preserve">The empirical studies within this thesis indicated that many supervisors conduct their supervision without much focus. Therefore, clearer protocols on what should happen in supervision are required. Current guidelines for </w:t>
      </w:r>
      <w:r w:rsidR="002C3AD6" w:rsidRPr="00EA0DC7">
        <w:t>supervision focus are not clear; t</w:t>
      </w:r>
      <w:r w:rsidRPr="00EA0DC7">
        <w:rPr>
          <w:rFonts w:cs="Arial"/>
          <w:noProof/>
          <w:szCs w:val="24"/>
        </w:rPr>
        <w:t xml:space="preserve">he empirical research does not outline details of what effective supervision looks like, and it is unclear which supervision models (if any) are appropriate. </w:t>
      </w:r>
      <w:r w:rsidRPr="00EA0DC7">
        <w:t>Although the use of supervision is required in accreditation guidelines set out by various therapy organisations (e.g.</w:t>
      </w:r>
      <w:r w:rsidRPr="00EA0DC7">
        <w:rPr>
          <w:rFonts w:cs="Arial"/>
          <w:noProof/>
          <w:szCs w:val="24"/>
        </w:rPr>
        <w:t>, BABCP, 2012; BACP, 2016), the specifics of what this supervision should entail are vague. Such organisations commonly suggest one and a half hours of supervision per month, but do not detail what should go into this supervision. Therefore, there is a need for more detail in protocols and guidelines, such as acknowedgement of how the supervisor’s own characteristics might impact supervision, or methods to ensure gender-neutral practice in supervision.</w:t>
      </w:r>
    </w:p>
    <w:p w14:paraId="59107621" w14:textId="77777777" w:rsidR="00D50016" w:rsidRPr="00EA0DC7" w:rsidRDefault="00D50016" w:rsidP="00D50016">
      <w:pPr>
        <w:pStyle w:val="Heading2"/>
        <w:rPr>
          <w:noProof/>
        </w:rPr>
      </w:pPr>
      <w:bookmarkStart w:id="198" w:name="_Toc47039875"/>
      <w:r w:rsidRPr="00EA0DC7">
        <w:rPr>
          <w:noProof/>
        </w:rPr>
        <w:t>7.5 Research implications</w:t>
      </w:r>
      <w:bookmarkEnd w:id="198"/>
    </w:p>
    <w:p w14:paraId="6790C865" w14:textId="7F89306E" w:rsidR="00D50016" w:rsidRPr="00EA0DC7" w:rsidRDefault="00D50016" w:rsidP="00D50016">
      <w:r w:rsidRPr="00EA0DC7">
        <w:tab/>
        <w:t xml:space="preserve">Analysis of both the theoretical and empirical literature for this thesis has highlighted a number of implications for conducting research in this area. Regarding the supervision models literature, it is possible that a number of models fail to include core aspects of supervision because it is assumed </w:t>
      </w:r>
      <w:r w:rsidRPr="00EA0DC7">
        <w:lastRenderedPageBreak/>
        <w:t xml:space="preserve">knowledge. When laying out guidance for supervisors, there is a need to be more explicit so that the literature as a whole does not present a confusing and disordered picture. </w:t>
      </w:r>
      <w:r w:rsidRPr="00EA0DC7">
        <w:rPr>
          <w:rFonts w:eastAsia="Times New Roman" w:cs="Arial"/>
          <w:szCs w:val="24"/>
        </w:rPr>
        <w:t xml:space="preserve">In particular, authors should always aim to </w:t>
      </w:r>
      <w:r w:rsidR="00B47958" w:rsidRPr="00EA0DC7">
        <w:rPr>
          <w:rFonts w:eastAsia="Times New Roman" w:cs="Arial"/>
          <w:szCs w:val="24"/>
        </w:rPr>
        <w:t xml:space="preserve">explicitly </w:t>
      </w:r>
      <w:r w:rsidRPr="00EA0DC7">
        <w:rPr>
          <w:rFonts w:eastAsia="Times New Roman" w:cs="Arial"/>
          <w:szCs w:val="24"/>
        </w:rPr>
        <w:t>address patient perspectives and outcomes when outlining supervision processes.</w:t>
      </w:r>
      <w:r w:rsidRPr="00EA0DC7">
        <w:t xml:space="preserve"> </w:t>
      </w:r>
    </w:p>
    <w:p w14:paraId="3864C6EC" w14:textId="77777777" w:rsidR="00D50016" w:rsidRPr="00EA0DC7" w:rsidRDefault="00D50016" w:rsidP="00D50016">
      <w:pPr>
        <w:ind w:firstLine="720"/>
      </w:pPr>
      <w:r w:rsidRPr="00EA0DC7">
        <w:t>Aspects of supervision that authors discuss in their models should be based on empirical evidence and the models should then be tested to investigate their impact on both supervisees and patients. Findings from the empirical studies within this thesis can inform the development of supervision models. Results indicate that supervisor, supervisee, and patient characteristics have an impact on the supervision process. Such aspects should be taken into account in the supervision models literature. Currently, these aspects are not discussed in many models.</w:t>
      </w:r>
    </w:p>
    <w:p w14:paraId="6505D84A" w14:textId="77777777" w:rsidR="007E4937" w:rsidRPr="00EA0DC7" w:rsidRDefault="00D50016" w:rsidP="00D50016">
      <w:pPr>
        <w:ind w:firstLine="720"/>
      </w:pPr>
      <w:r w:rsidRPr="00EA0DC7">
        <w:t xml:space="preserve">Regarding empirical literature, use of supervision in study designs as a tool to ensure that therapists stay on track is </w:t>
      </w:r>
      <w:r w:rsidR="002C3AD6" w:rsidRPr="00EA0DC7">
        <w:t>perhaps</w:t>
      </w:r>
      <w:r w:rsidRPr="00EA0DC7">
        <w:t xml:space="preserve"> problematic. Research within this thesis indicates that supervisors might drift as therapists do. Therefore, study designs need to include further monitoring or regulation of supervision. Study designs should take into account how different types of therapists and supervisors can impact supervision and, ultimately, research outcomes. </w:t>
      </w:r>
    </w:p>
    <w:p w14:paraId="0D302BB9" w14:textId="5BD71322" w:rsidR="00D50016" w:rsidRPr="00EA0DC7" w:rsidRDefault="00D50016" w:rsidP="00D50016">
      <w:pPr>
        <w:ind w:firstLine="720"/>
      </w:pPr>
      <w:r w:rsidRPr="00EA0DC7">
        <w:t xml:space="preserve">In addition, when reporting studies, researchers should be more explicit when explaining the supervision processes that they have used. It is difficult for supervisors to replicate results from these studies in their clinical practice because the way in which supervision is conducted in these studies is unclear. </w:t>
      </w:r>
      <w:r w:rsidRPr="00EA0DC7">
        <w:lastRenderedPageBreak/>
        <w:t>Greater study detail is also required for synthesis of the empirical literature. A lack of detail creates problems when researchers are looking to compare one piece of research with another or to categorise studies when investigating moderating effects (as in the meta-analyses in Chapter 3).</w:t>
      </w:r>
    </w:p>
    <w:p w14:paraId="0C09FF79" w14:textId="77777777" w:rsidR="00D50016" w:rsidRPr="00EA0DC7" w:rsidRDefault="00D50016" w:rsidP="00D50016">
      <w:pPr>
        <w:pStyle w:val="Heading2"/>
      </w:pPr>
      <w:bookmarkStart w:id="199" w:name="_Toc47039876"/>
      <w:r w:rsidRPr="00EA0DC7">
        <w:t>7.6 Limitations and directions for future research</w:t>
      </w:r>
      <w:bookmarkEnd w:id="199"/>
    </w:p>
    <w:p w14:paraId="769A7F53" w14:textId="77777777" w:rsidR="00D50016" w:rsidRPr="00EA0DC7" w:rsidRDefault="00D50016" w:rsidP="00D50016">
      <w:r w:rsidRPr="00EA0DC7">
        <w:tab/>
        <w:t>The majority of supervision models are not disorder-specific and the empirical literature into supervision outcomes is limited. Therefore, synthesis of the theoretical and empirical literature could not focus on clinical supervision specifically for depression. For the meta-analysis in Chapter 3, conclusions had to be drawn about the impact of clinical supervision in all contexts. It was not possible to find supervision effects for specific disorders. The empirical studies in this thesis focused on supervision content in CBT for depression and similar research should be carried out for other disorders and therapies. This would indicate whether the application of supervision is universal (as many supervision models suggest) or whether there should be specific protocols for each disorder and therapy.</w:t>
      </w:r>
    </w:p>
    <w:p w14:paraId="2013801A" w14:textId="555288DC" w:rsidR="00D50016" w:rsidRPr="00EA0DC7" w:rsidRDefault="00D50016" w:rsidP="00D50016">
      <w:r w:rsidRPr="00EA0DC7">
        <w:tab/>
        <w:t xml:space="preserve">In addition to investigating other disorders and therapies, study protocols similar to the ones used in this thesis could investigate other variables. Although the moderator analyses from Chapter 3 are somewhat speculative due to the small study numbers, these moderators highlight areas that are of potential research interest. Supervisee experience level is one area that requires further investigation. The meta-analysis indicated a positive impact of supervision on trainee supervisees, but no impact on qualified supervisees. However, in Study 3b of this thesis, supervisee experience level </w:t>
      </w:r>
      <w:r w:rsidRPr="00EA0DC7">
        <w:lastRenderedPageBreak/>
        <w:t xml:space="preserve">appeared not to have an impact on supervision content. This could be due to a couple of reasons. First, the supervisors might have been basing their recommendations purely on the presence of non-adherence. To investigate whether this is the case, supervisor experience needs to be investigated without the added element of non-adherence. Second, the impact of supervisee experience might only have an effect when comparing trainees </w:t>
      </w:r>
      <w:r w:rsidR="00434618">
        <w:t xml:space="preserve">with </w:t>
      </w:r>
      <w:r w:rsidRPr="00EA0DC7">
        <w:t>those who are qualified. Study 3b only varied the experience level of qualified supervisees. Therefore, future studies should investigate whether having trainee supervisees impact</w:t>
      </w:r>
      <w:r w:rsidR="00792D29" w:rsidRPr="00EA0DC7">
        <w:t>s</w:t>
      </w:r>
      <w:r w:rsidRPr="00EA0DC7">
        <w:t xml:space="preserve"> the supervision advice</w:t>
      </w:r>
      <w:r w:rsidR="006407EE">
        <w:t>.</w:t>
      </w:r>
    </w:p>
    <w:p w14:paraId="27261D1E" w14:textId="6DB2CADA" w:rsidR="00D50016" w:rsidRPr="00EA0DC7" w:rsidRDefault="00D50016" w:rsidP="00C067C0">
      <w:pPr>
        <w:ind w:firstLine="720"/>
        <w:rPr>
          <w:rFonts w:cs="Arial"/>
        </w:rPr>
      </w:pPr>
      <w:r w:rsidRPr="00EA0DC7">
        <w:t>There are a number of other ways in which the</w:t>
      </w:r>
      <w:r w:rsidR="002715F8">
        <w:t xml:space="preserve"> </w:t>
      </w:r>
      <w:r w:rsidRPr="00EA0DC7">
        <w:t>empirical studies in this thesis can be improved upon. First</w:t>
      </w:r>
      <w:r w:rsidR="002715F8">
        <w:t>,</w:t>
      </w:r>
      <w:r w:rsidR="00C067C0">
        <w:t xml:space="preserve"> </w:t>
      </w:r>
      <w:r w:rsidRPr="00EA0DC7">
        <w:t xml:space="preserve">these studies only investigated supervisor variables of anxiety and self-esteem that were within a non-clinical range. </w:t>
      </w:r>
      <w:r w:rsidRPr="00EA0DC7">
        <w:rPr>
          <w:rFonts w:cs="Arial"/>
        </w:rPr>
        <w:t>It is possible that patterns of supervisor behaviour are exacerbated when focusing on levels of anxiety and self-esteem that are more representative of clinical groups.</w:t>
      </w:r>
      <w:r w:rsidR="002715F8">
        <w:rPr>
          <w:rFonts w:cs="Arial"/>
        </w:rPr>
        <w:t xml:space="preserve"> </w:t>
      </w:r>
      <w:r w:rsidRPr="00EA0DC7">
        <w:rPr>
          <w:rFonts w:cs="Arial"/>
        </w:rPr>
        <w:t xml:space="preserve">Second, as the impact of supervisor experience produced mixed results within this thesis (greater experience indicating less focus in Study 1, but more focus in Study 3), this requires further study. Within this thesis, experience was measured by time but it </w:t>
      </w:r>
      <w:r w:rsidR="007E4937" w:rsidRPr="00EA0DC7">
        <w:rPr>
          <w:rFonts w:cs="Arial"/>
        </w:rPr>
        <w:t>could be measured in ot</w:t>
      </w:r>
      <w:r w:rsidR="001724F5" w:rsidRPr="00EA0DC7">
        <w:rPr>
          <w:rFonts w:cs="Arial"/>
        </w:rPr>
        <w:t>her ways. Some examples include, quality of experience</w:t>
      </w:r>
      <w:r w:rsidR="007E4937" w:rsidRPr="00EA0DC7">
        <w:rPr>
          <w:rFonts w:cs="Arial"/>
        </w:rPr>
        <w:t xml:space="preserve"> and</w:t>
      </w:r>
      <w:r w:rsidRPr="00EA0DC7">
        <w:rPr>
          <w:rFonts w:cs="Arial"/>
        </w:rPr>
        <w:t xml:space="preserve"> similarity of the current situation to previous situations. Third, it would be useful to consider further the role of supervisor gender. Although in Study 2, supervisor gender was found not to impact supervisee treatment; it could not be investigated in Study 3 due to limited participant numbers. Finally, the impact of non-adherence needs to be investigated further</w:t>
      </w:r>
      <w:r w:rsidR="00CF1786" w:rsidRPr="00EA0DC7">
        <w:rPr>
          <w:rFonts w:cs="Arial"/>
        </w:rPr>
        <w:t>. F</w:t>
      </w:r>
      <w:r w:rsidRPr="00EA0DC7">
        <w:rPr>
          <w:rFonts w:cs="Arial"/>
        </w:rPr>
        <w:t>or example, does non-adherence to as</w:t>
      </w:r>
      <w:r w:rsidR="001724F5" w:rsidRPr="00EA0DC7">
        <w:rPr>
          <w:rFonts w:cs="Arial"/>
        </w:rPr>
        <w:t xml:space="preserve">pects of </w:t>
      </w:r>
      <w:r w:rsidR="001724F5" w:rsidRPr="00EA0DC7">
        <w:rPr>
          <w:rFonts w:cs="Arial"/>
        </w:rPr>
        <w:lastRenderedPageBreak/>
        <w:t>therapy other than</w:t>
      </w:r>
      <w:r w:rsidRPr="00EA0DC7">
        <w:rPr>
          <w:rFonts w:cs="Arial"/>
        </w:rPr>
        <w:t xml:space="preserve"> behavioural activation lead to the same patterns of supervisor behaviour? </w:t>
      </w:r>
    </w:p>
    <w:p w14:paraId="73CF84D8" w14:textId="79E5AE55" w:rsidR="002715F8" w:rsidRDefault="002715F8" w:rsidP="0055551C">
      <w:pPr>
        <w:pStyle w:val="Heading3"/>
      </w:pPr>
      <w:commentRangeStart w:id="200"/>
      <w:r>
        <w:t>7.6.1 Addressing methodological limitations of the empirical studies</w:t>
      </w:r>
      <w:r w:rsidR="00D50016" w:rsidRPr="00EA0DC7">
        <w:tab/>
      </w:r>
    </w:p>
    <w:p w14:paraId="7B5DE657" w14:textId="00E1AD90" w:rsidR="002715F8" w:rsidRDefault="002715F8" w:rsidP="0055551C">
      <w:pPr>
        <w:ind w:firstLine="720"/>
        <w:rPr>
          <w:rFonts w:cs="Arial"/>
        </w:rPr>
      </w:pPr>
      <w:r w:rsidRPr="00EA0DC7">
        <w:rPr>
          <w:rFonts w:cs="Arial"/>
        </w:rPr>
        <w:t>Limitations of the questionnaire-style experimental design used in this thesis should be noted.</w:t>
      </w:r>
      <w:r>
        <w:rPr>
          <w:rFonts w:cs="Arial"/>
        </w:rPr>
        <w:t xml:space="preserve"> T</w:t>
      </w:r>
      <w:r>
        <w:t>he use of self-report anxiety and self-esteem measures is potentially problematic. Results might have been impacted by demand characteristics</w:t>
      </w:r>
      <w:r w:rsidR="00D77D2E">
        <w:t>,</w:t>
      </w:r>
      <w:r>
        <w:t xml:space="preserve"> due to participants having an awareness of what the study looked to measure. Attempts were made to reduce the impact of demand characteristics through the use of a less well-known anxiety measure (IUS; Carleton et a</w:t>
      </w:r>
      <w:r w:rsidR="007D75FF">
        <w:t xml:space="preserve">l., 2007) and by presenting </w:t>
      </w:r>
      <w:r w:rsidR="00D80B4D">
        <w:t xml:space="preserve">these </w:t>
      </w:r>
      <w:r>
        <w:t>measures last in the questionnaire. However, it is not possible to rule out any effect of demand characteristics</w:t>
      </w:r>
      <w:r w:rsidR="00D77D2E">
        <w:t>,</w:t>
      </w:r>
      <w:r>
        <w:t xml:space="preserve"> given the study design.</w:t>
      </w:r>
    </w:p>
    <w:p w14:paraId="34B82660" w14:textId="770D9B2B" w:rsidR="002715F8" w:rsidRDefault="00D50016" w:rsidP="0055551C">
      <w:pPr>
        <w:ind w:firstLine="720"/>
        <w:rPr>
          <w:rFonts w:cs="Arial"/>
        </w:rPr>
      </w:pPr>
      <w:r w:rsidRPr="00EA0DC7">
        <w:rPr>
          <w:rFonts w:cs="Arial"/>
        </w:rPr>
        <w:t>As there was a need to keep the questionnaires concise, there might not have been enough information to ensure that the supervisory content items did not confuse the participants. Although the items were grouped in specific categories (e.g.</w:t>
      </w:r>
      <w:r w:rsidR="00D77D2E">
        <w:rPr>
          <w:rFonts w:cs="Arial"/>
        </w:rPr>
        <w:t>,</w:t>
      </w:r>
      <w:r w:rsidRPr="00EA0DC7">
        <w:rPr>
          <w:rFonts w:cs="Arial"/>
        </w:rPr>
        <w:t xml:space="preserve"> ‘therapeutic alliance’), confusion might have caused overlap between categories. In addition, there could have been some response bias towards selecting items in the ‘therapeutic techniques’ category as it was the largest. </w:t>
      </w:r>
      <w:r w:rsidR="00A26A08">
        <w:rPr>
          <w:rFonts w:cs="Arial"/>
        </w:rPr>
        <w:t>Definitions of terms could be added to ensure that all participants have the same understanding of each of the terms being presented to them.</w:t>
      </w:r>
      <w:r w:rsidR="00417265">
        <w:rPr>
          <w:rFonts w:cs="Arial"/>
        </w:rPr>
        <w:t xml:space="preserve"> Alternatively, observational studies c</w:t>
      </w:r>
      <w:r w:rsidR="00D77D2E">
        <w:rPr>
          <w:rFonts w:cs="Arial"/>
        </w:rPr>
        <w:t>ould</w:t>
      </w:r>
      <w:r w:rsidR="00417265">
        <w:rPr>
          <w:rFonts w:cs="Arial"/>
        </w:rPr>
        <w:t xml:space="preserve"> be used t</w:t>
      </w:r>
      <w:r w:rsidR="00417265" w:rsidRPr="00EA0DC7">
        <w:rPr>
          <w:rFonts w:cs="Arial"/>
        </w:rPr>
        <w:t>o avoid confusion over terms or definitions. In such studies, raters trained to identify specific aspects of supervision c</w:t>
      </w:r>
      <w:r w:rsidR="00D77D2E">
        <w:rPr>
          <w:rFonts w:cs="Arial"/>
        </w:rPr>
        <w:t>ould</w:t>
      </w:r>
      <w:r w:rsidR="00417265" w:rsidRPr="00EA0DC7">
        <w:rPr>
          <w:rFonts w:cs="Arial"/>
        </w:rPr>
        <w:t xml:space="preserve"> rate supervision sessions. </w:t>
      </w:r>
    </w:p>
    <w:p w14:paraId="54063059" w14:textId="2C8748A1" w:rsidR="00F67ABB" w:rsidRDefault="00D50016" w:rsidP="0055551C">
      <w:pPr>
        <w:ind w:firstLine="720"/>
        <w:rPr>
          <w:rFonts w:cs="Arial"/>
        </w:rPr>
      </w:pPr>
      <w:r w:rsidRPr="00EA0DC7">
        <w:rPr>
          <w:rFonts w:cs="Arial"/>
        </w:rPr>
        <w:lastRenderedPageBreak/>
        <w:t>Due to the need to keep the questionnaires short</w:t>
      </w:r>
      <w:r w:rsidR="00D77D2E">
        <w:rPr>
          <w:rFonts w:cs="Arial"/>
        </w:rPr>
        <w:t xml:space="preserve"> and manageable</w:t>
      </w:r>
      <w:r w:rsidRPr="00EA0DC7">
        <w:rPr>
          <w:rFonts w:cs="Arial"/>
        </w:rPr>
        <w:t>, the vignettes did not provide a large amount of detail about the patients or supervisees. In actual supervisory practice, sometimes there is only a limited amount of time to talk about a patient</w:t>
      </w:r>
      <w:r w:rsidR="00D77D2E">
        <w:rPr>
          <w:rFonts w:cs="Arial"/>
        </w:rPr>
        <w:t>,</w:t>
      </w:r>
      <w:r w:rsidRPr="00EA0DC7">
        <w:rPr>
          <w:rFonts w:cs="Arial"/>
        </w:rPr>
        <w:t xml:space="preserve"> and these vignettes reflect </w:t>
      </w:r>
      <w:r w:rsidR="00D77D2E">
        <w:rPr>
          <w:rFonts w:cs="Arial"/>
        </w:rPr>
        <w:t>that experience</w:t>
      </w:r>
      <w:r w:rsidRPr="00EA0DC7">
        <w:rPr>
          <w:rFonts w:cs="Arial"/>
        </w:rPr>
        <w:t xml:space="preserve">. </w:t>
      </w:r>
      <w:r w:rsidR="00E80855">
        <w:rPr>
          <w:rFonts w:cs="Arial"/>
        </w:rPr>
        <w:t>The vignettes were</w:t>
      </w:r>
      <w:r w:rsidR="00E80855" w:rsidRPr="00E80855">
        <w:rPr>
          <w:rFonts w:cs="Arial"/>
        </w:rPr>
        <w:t xml:space="preserve"> </w:t>
      </w:r>
      <w:r w:rsidR="00E80855">
        <w:rPr>
          <w:rFonts w:cs="Arial"/>
        </w:rPr>
        <w:t>based on case examples that supervisors would be used to seeing in supervision manuals</w:t>
      </w:r>
      <w:r w:rsidR="00D80B4D">
        <w:rPr>
          <w:rFonts w:cs="Arial"/>
        </w:rPr>
        <w:t xml:space="preserve">. </w:t>
      </w:r>
      <w:r w:rsidRPr="00EA0DC7">
        <w:rPr>
          <w:rFonts w:cs="Arial"/>
        </w:rPr>
        <w:t xml:space="preserve">However, </w:t>
      </w:r>
      <w:r w:rsidR="00E80855">
        <w:rPr>
          <w:rFonts w:cs="Arial"/>
        </w:rPr>
        <w:t>it is noted that supervisors will often</w:t>
      </w:r>
      <w:r w:rsidRPr="00EA0DC7">
        <w:rPr>
          <w:rFonts w:cs="Arial"/>
        </w:rPr>
        <w:t xml:space="preserve"> have more information to base any decisions on.</w:t>
      </w:r>
      <w:r w:rsidR="00E80855">
        <w:rPr>
          <w:rFonts w:cs="Arial"/>
        </w:rPr>
        <w:t xml:space="preserve"> Therefore, the supervisor responses might not </w:t>
      </w:r>
      <w:r w:rsidR="00F67ABB">
        <w:rPr>
          <w:rFonts w:cs="Arial"/>
        </w:rPr>
        <w:t xml:space="preserve">truly </w:t>
      </w:r>
      <w:r w:rsidR="00E80855">
        <w:rPr>
          <w:rFonts w:cs="Arial"/>
        </w:rPr>
        <w:t>reflect their actions within clinical practice.</w:t>
      </w:r>
      <w:r w:rsidR="004051C1">
        <w:rPr>
          <w:rFonts w:cs="Arial"/>
        </w:rPr>
        <w:t xml:space="preserve"> </w:t>
      </w:r>
    </w:p>
    <w:p w14:paraId="7C37E029" w14:textId="30CC4C60" w:rsidR="00D50016" w:rsidRDefault="00F67ABB" w:rsidP="0055551C">
      <w:pPr>
        <w:ind w:firstLine="720"/>
        <w:rPr>
          <w:rFonts w:cs="Arial"/>
        </w:rPr>
      </w:pPr>
      <w:r>
        <w:rPr>
          <w:rFonts w:cs="Arial"/>
        </w:rPr>
        <w:t>A</w:t>
      </w:r>
      <w:r w:rsidR="004051C1">
        <w:rPr>
          <w:rFonts w:cs="Arial"/>
        </w:rPr>
        <w:t>lthough two clinical psychologists helped develop the vignettes base</w:t>
      </w:r>
      <w:r w:rsidR="00EF63C3">
        <w:rPr>
          <w:rFonts w:cs="Arial"/>
        </w:rPr>
        <w:t>d on their clinical experience, f</w:t>
      </w:r>
      <w:r w:rsidR="004051C1">
        <w:rPr>
          <w:rFonts w:cs="Arial"/>
        </w:rPr>
        <w:t>urther testing of the validity of the vignettes would have been beneficial. This could have been done through the use of a pilot study</w:t>
      </w:r>
      <w:r>
        <w:rPr>
          <w:rFonts w:cs="Arial"/>
        </w:rPr>
        <w:t xml:space="preserve"> in which </w:t>
      </w:r>
      <w:r w:rsidR="00F21E86">
        <w:rPr>
          <w:rFonts w:cs="Arial"/>
        </w:rPr>
        <w:t xml:space="preserve">clinical </w:t>
      </w:r>
      <w:r>
        <w:rPr>
          <w:rFonts w:cs="Arial"/>
        </w:rPr>
        <w:t xml:space="preserve">supervisors </w:t>
      </w:r>
      <w:r w:rsidR="00D77D2E">
        <w:rPr>
          <w:rFonts w:cs="Arial"/>
        </w:rPr>
        <w:t>we</w:t>
      </w:r>
      <w:r>
        <w:rPr>
          <w:rFonts w:cs="Arial"/>
        </w:rPr>
        <w:t xml:space="preserve">re asked to comment on the </w:t>
      </w:r>
      <w:r w:rsidR="00D77D2E">
        <w:rPr>
          <w:rFonts w:cs="Arial"/>
        </w:rPr>
        <w:t xml:space="preserve">realistic nature </w:t>
      </w:r>
      <w:r>
        <w:rPr>
          <w:rFonts w:cs="Arial"/>
        </w:rPr>
        <w:t>of the vignettes.</w:t>
      </w:r>
      <w:r w:rsidR="004051C1">
        <w:rPr>
          <w:rFonts w:cs="Arial"/>
        </w:rPr>
        <w:t xml:space="preserve"> </w:t>
      </w:r>
      <w:r>
        <w:rPr>
          <w:rFonts w:cs="Arial"/>
        </w:rPr>
        <w:t xml:space="preserve">Feedback from this </w:t>
      </w:r>
      <w:r w:rsidR="00D77D2E">
        <w:rPr>
          <w:rFonts w:cs="Arial"/>
        </w:rPr>
        <w:t xml:space="preserve">process </w:t>
      </w:r>
      <w:r>
        <w:rPr>
          <w:rFonts w:cs="Arial"/>
        </w:rPr>
        <w:t>could have fed into the further development of the vignettes.</w:t>
      </w:r>
    </w:p>
    <w:p w14:paraId="069F840D" w14:textId="338AB347" w:rsidR="00D50016" w:rsidRPr="00EA0DC7" w:rsidRDefault="00E80855" w:rsidP="0055551C">
      <w:pPr>
        <w:ind w:firstLine="720"/>
        <w:rPr>
          <w:rFonts w:cs="Arial"/>
        </w:rPr>
      </w:pPr>
      <w:r>
        <w:rPr>
          <w:rFonts w:cs="Arial"/>
        </w:rPr>
        <w:t>The benefit of limiting the information provided in the vignettes</w:t>
      </w:r>
      <w:r w:rsidR="00417265">
        <w:rPr>
          <w:rFonts w:cs="Arial"/>
        </w:rPr>
        <w:t xml:space="preserve"> is that </w:t>
      </w:r>
      <w:r w:rsidR="00D77D2E">
        <w:rPr>
          <w:rFonts w:cs="Arial"/>
        </w:rPr>
        <w:t xml:space="preserve">it </w:t>
      </w:r>
      <w:r w:rsidR="00417265">
        <w:rPr>
          <w:rFonts w:cs="Arial"/>
        </w:rPr>
        <w:t>allow</w:t>
      </w:r>
      <w:r w:rsidR="00D77D2E">
        <w:rPr>
          <w:rFonts w:cs="Arial"/>
        </w:rPr>
        <w:t>s</w:t>
      </w:r>
      <w:r>
        <w:rPr>
          <w:rFonts w:cs="Arial"/>
        </w:rPr>
        <w:t xml:space="preserve"> </w:t>
      </w:r>
      <w:r w:rsidR="00D80B4D">
        <w:rPr>
          <w:rFonts w:cs="Arial"/>
        </w:rPr>
        <w:t>for</w:t>
      </w:r>
      <w:r>
        <w:rPr>
          <w:rFonts w:cs="Arial"/>
        </w:rPr>
        <w:t xml:space="preserve"> controlled examination of </w:t>
      </w:r>
      <w:r w:rsidR="00D80B4D">
        <w:rPr>
          <w:rFonts w:cs="Arial"/>
        </w:rPr>
        <w:t xml:space="preserve">the </w:t>
      </w:r>
      <w:r>
        <w:rPr>
          <w:rFonts w:cs="Arial"/>
        </w:rPr>
        <w:t xml:space="preserve">variables of interest. </w:t>
      </w:r>
      <w:r w:rsidR="00D80B4D">
        <w:rPr>
          <w:rFonts w:cs="Arial"/>
        </w:rPr>
        <w:t>Video recordings of therapists w</w:t>
      </w:r>
      <w:r w:rsidR="00434618">
        <w:rPr>
          <w:rFonts w:cs="Arial"/>
        </w:rPr>
        <w:t>ere</w:t>
      </w:r>
      <w:r w:rsidR="00D80B4D">
        <w:rPr>
          <w:rFonts w:cs="Arial"/>
        </w:rPr>
        <w:t xml:space="preserve"> considered</w:t>
      </w:r>
      <w:r w:rsidR="00D77D2E">
        <w:rPr>
          <w:rFonts w:cs="Arial"/>
        </w:rPr>
        <w:t>,</w:t>
      </w:r>
      <w:r w:rsidR="00D80B4D">
        <w:rPr>
          <w:rFonts w:cs="Arial"/>
        </w:rPr>
        <w:t xml:space="preserve"> but </w:t>
      </w:r>
      <w:r w:rsidR="00F67ABB">
        <w:rPr>
          <w:rFonts w:cs="Arial"/>
        </w:rPr>
        <w:t xml:space="preserve">as </w:t>
      </w:r>
      <w:r w:rsidR="00417265">
        <w:rPr>
          <w:rFonts w:cs="Arial"/>
        </w:rPr>
        <w:t>these would provide such a wealth of information to participants, it</w:t>
      </w:r>
      <w:r w:rsidR="00F67ABB">
        <w:rPr>
          <w:rFonts w:cs="Arial"/>
        </w:rPr>
        <w:t xml:space="preserve"> would be</w:t>
      </w:r>
      <w:r w:rsidR="00434618">
        <w:rPr>
          <w:rFonts w:cs="Arial"/>
        </w:rPr>
        <w:t xml:space="preserve"> more</w:t>
      </w:r>
      <w:r w:rsidR="00F67ABB">
        <w:rPr>
          <w:rFonts w:cs="Arial"/>
        </w:rPr>
        <w:t xml:space="preserve"> difficult to </w:t>
      </w:r>
      <w:r w:rsidR="00434618">
        <w:rPr>
          <w:rFonts w:cs="Arial"/>
        </w:rPr>
        <w:t xml:space="preserve">identify </w:t>
      </w:r>
      <w:r w:rsidR="0055551C">
        <w:rPr>
          <w:rFonts w:cs="Arial"/>
        </w:rPr>
        <w:t xml:space="preserve">the </w:t>
      </w:r>
      <w:r w:rsidR="00F67ABB">
        <w:rPr>
          <w:rFonts w:cs="Arial"/>
        </w:rPr>
        <w:t>specific variables</w:t>
      </w:r>
      <w:r w:rsidR="00417265">
        <w:rPr>
          <w:rFonts w:cs="Arial"/>
        </w:rPr>
        <w:t xml:space="preserve"> influencing their decisions. </w:t>
      </w:r>
      <w:r w:rsidR="00F67ABB">
        <w:rPr>
          <w:rFonts w:cs="Arial"/>
        </w:rPr>
        <w:t>This</w:t>
      </w:r>
      <w:r>
        <w:rPr>
          <w:rFonts w:cs="Arial"/>
        </w:rPr>
        <w:t xml:space="preserve"> series of studies </w:t>
      </w:r>
      <w:r w:rsidR="00F67ABB">
        <w:rPr>
          <w:rFonts w:cs="Arial"/>
        </w:rPr>
        <w:t xml:space="preserve">using vignettes has highlighted some </w:t>
      </w:r>
      <w:r w:rsidR="00417265">
        <w:rPr>
          <w:rFonts w:cs="Arial"/>
        </w:rPr>
        <w:t xml:space="preserve">variables </w:t>
      </w:r>
      <w:r>
        <w:rPr>
          <w:rFonts w:cs="Arial"/>
        </w:rPr>
        <w:t>that appear to influence supervisory practice</w:t>
      </w:r>
      <w:r w:rsidR="00417265">
        <w:rPr>
          <w:rFonts w:cs="Arial"/>
        </w:rPr>
        <w:t xml:space="preserve"> (e.g., therapist gender)</w:t>
      </w:r>
      <w:r>
        <w:rPr>
          <w:rFonts w:cs="Arial"/>
        </w:rPr>
        <w:t xml:space="preserve">. Such variables can then be explored further in </w:t>
      </w:r>
      <w:r w:rsidR="00417265">
        <w:rPr>
          <w:rFonts w:cs="Arial"/>
        </w:rPr>
        <w:t xml:space="preserve">studies </w:t>
      </w:r>
      <w:r>
        <w:rPr>
          <w:rFonts w:cs="Arial"/>
        </w:rPr>
        <w:t xml:space="preserve">with designs which are </w:t>
      </w:r>
      <w:r w:rsidR="00F67ABB">
        <w:rPr>
          <w:rFonts w:cs="Arial"/>
        </w:rPr>
        <w:t>closer</w:t>
      </w:r>
      <w:r w:rsidR="00417265">
        <w:rPr>
          <w:rFonts w:cs="Arial"/>
        </w:rPr>
        <w:t xml:space="preserve"> to </w:t>
      </w:r>
      <w:r w:rsidR="006A1900">
        <w:rPr>
          <w:rFonts w:cs="Arial"/>
        </w:rPr>
        <w:t>‘</w:t>
      </w:r>
      <w:r w:rsidR="00417265">
        <w:rPr>
          <w:rFonts w:cs="Arial"/>
        </w:rPr>
        <w:t>real-world</w:t>
      </w:r>
      <w:r w:rsidR="006A1900">
        <w:rPr>
          <w:rFonts w:cs="Arial"/>
        </w:rPr>
        <w:t>’</w:t>
      </w:r>
      <w:r w:rsidR="00417265">
        <w:rPr>
          <w:rFonts w:cs="Arial"/>
        </w:rPr>
        <w:t xml:space="preserve"> scenarios, such as those using recordings and/or observation</w:t>
      </w:r>
      <w:r>
        <w:rPr>
          <w:rFonts w:cs="Arial"/>
        </w:rPr>
        <w:t>.</w:t>
      </w:r>
      <w:r w:rsidR="00417265">
        <w:rPr>
          <w:rFonts w:cs="Arial"/>
        </w:rPr>
        <w:t xml:space="preserve"> </w:t>
      </w:r>
      <w:r w:rsidR="00417265" w:rsidRPr="00EA0DC7">
        <w:rPr>
          <w:rFonts w:cs="Arial"/>
        </w:rPr>
        <w:t xml:space="preserve">In </w:t>
      </w:r>
      <w:r w:rsidR="00C44FE0">
        <w:rPr>
          <w:rFonts w:cs="Arial"/>
        </w:rPr>
        <w:t>these</w:t>
      </w:r>
      <w:r w:rsidR="00F67ABB">
        <w:rPr>
          <w:rFonts w:cs="Arial"/>
        </w:rPr>
        <w:t xml:space="preserve"> </w:t>
      </w:r>
      <w:r w:rsidR="00417265" w:rsidRPr="00EA0DC7">
        <w:rPr>
          <w:rFonts w:cs="Arial"/>
        </w:rPr>
        <w:t>scenario</w:t>
      </w:r>
      <w:r w:rsidR="00F67ABB">
        <w:rPr>
          <w:rFonts w:cs="Arial"/>
        </w:rPr>
        <w:t>s</w:t>
      </w:r>
      <w:r w:rsidR="00417265" w:rsidRPr="00EA0DC7">
        <w:rPr>
          <w:rFonts w:cs="Arial"/>
        </w:rPr>
        <w:t xml:space="preserve">, supervisors will have much </w:t>
      </w:r>
      <w:r w:rsidR="00417265" w:rsidRPr="00EA0DC7">
        <w:rPr>
          <w:rFonts w:cs="Arial"/>
        </w:rPr>
        <w:lastRenderedPageBreak/>
        <w:t>more information about the patient and supervisee on which to base their decisions.</w:t>
      </w:r>
      <w:r w:rsidR="00D50016" w:rsidRPr="00EA0DC7">
        <w:rPr>
          <w:rFonts w:cs="Arial"/>
        </w:rPr>
        <w:tab/>
      </w:r>
    </w:p>
    <w:p w14:paraId="3099A3A4" w14:textId="7DD4062A" w:rsidR="00D50016" w:rsidRPr="00EA0DC7" w:rsidRDefault="00D50016" w:rsidP="00D50016">
      <w:pPr>
        <w:rPr>
          <w:rFonts w:cs="Arial"/>
        </w:rPr>
      </w:pPr>
      <w:r w:rsidRPr="00EA0DC7">
        <w:rPr>
          <w:rFonts w:cs="Arial"/>
        </w:rPr>
        <w:tab/>
        <w:t xml:space="preserve">Finally, the studies in this thesis would benefit from the addition of actual clinical data. Such data would allow for investigation into how decisions made in supervision impact the supervisee and patient. Which aspects of supervision are beneficial/detrimental to the supervisee or patient? And if supervision has a positive impact </w:t>
      </w:r>
      <w:r w:rsidR="00CD1244" w:rsidRPr="00EA0DC7">
        <w:rPr>
          <w:rFonts w:cs="Arial"/>
        </w:rPr>
        <w:t xml:space="preserve">only </w:t>
      </w:r>
      <w:r w:rsidRPr="00EA0DC7">
        <w:rPr>
          <w:rFonts w:cs="Arial"/>
        </w:rPr>
        <w:t xml:space="preserve">on the supervisees (as found in Chapter 3), how might this effect be translated to patients? Perhaps patients receive an indirect positive effect through reduced supervisee burnout or increased satisfaction </w:t>
      </w:r>
      <w:r w:rsidRPr="00EA0DC7">
        <w:rPr>
          <w:rFonts w:eastAsia="Calibri" w:cs="Arial"/>
          <w:lang w:eastAsia="en-US"/>
        </w:rPr>
        <w:t>(Delgadillo et al., 2018).</w:t>
      </w:r>
      <w:r w:rsidR="00417265">
        <w:rPr>
          <w:rFonts w:eastAsia="Calibri" w:cs="Arial"/>
          <w:lang w:eastAsia="en-US"/>
        </w:rPr>
        <w:t xml:space="preserve"> As with using recordings, using clinical data </w:t>
      </w:r>
      <w:r w:rsidR="008D799C">
        <w:rPr>
          <w:rFonts w:eastAsia="Calibri" w:cs="Arial"/>
          <w:lang w:eastAsia="en-US"/>
        </w:rPr>
        <w:t>allows for a wealth of information to be collected. This series of studies has highlighted specific areas to focus on (e.g.</w:t>
      </w:r>
      <w:r w:rsidR="00CD1244">
        <w:rPr>
          <w:rFonts w:eastAsia="Calibri" w:cs="Arial"/>
          <w:lang w:eastAsia="en-US"/>
        </w:rPr>
        <w:t>,</w:t>
      </w:r>
      <w:r w:rsidR="008D799C">
        <w:rPr>
          <w:rFonts w:eastAsia="Calibri" w:cs="Arial"/>
          <w:lang w:eastAsia="en-US"/>
        </w:rPr>
        <w:t xml:space="preserve"> clinician gender) when looking at clinical data.</w:t>
      </w:r>
      <w:commentRangeEnd w:id="200"/>
      <w:r w:rsidR="004D1109">
        <w:rPr>
          <w:rStyle w:val="CommentReference"/>
          <w:rFonts w:eastAsiaTheme="minorHAnsi"/>
          <w:lang w:eastAsia="en-US"/>
        </w:rPr>
        <w:commentReference w:id="200"/>
      </w:r>
    </w:p>
    <w:p w14:paraId="112797E8" w14:textId="77777777" w:rsidR="00D50016" w:rsidRPr="00EA0DC7" w:rsidRDefault="00D50016" w:rsidP="00D50016">
      <w:pPr>
        <w:pStyle w:val="Heading2"/>
      </w:pPr>
      <w:bookmarkStart w:id="201" w:name="_Toc47039877"/>
      <w:r w:rsidRPr="00EA0DC7">
        <w:t>7.7 Conclusion</w:t>
      </w:r>
      <w:bookmarkEnd w:id="201"/>
    </w:p>
    <w:p w14:paraId="36FB6424" w14:textId="13461715" w:rsidR="00D50016" w:rsidRPr="00EA0DC7" w:rsidRDefault="00D50016" w:rsidP="00D50016">
      <w:r w:rsidRPr="00EA0DC7">
        <w:tab/>
        <w:t>This thesis investigated recommendations for clinical supervision, the impact of supervision, and factors that affect the content of supervision sessions. Although this research was originally intended to focus on the use of supervision in depression treatments, the generic nature of the supervision models and the lack of empirical outcome studies meant that the background literature across all disorders was assessed together. However, the original empirical studies in this thesis focus on depression treatment. There are many models of supervision</w:t>
      </w:r>
      <w:r w:rsidR="00CF1786" w:rsidRPr="00EA0DC7">
        <w:t>. H</w:t>
      </w:r>
      <w:r w:rsidRPr="00EA0DC7">
        <w:t>owever, there are few empirical studies investigating supervision outcomes. The models literature presents a confused picture of what should happen in supervision</w:t>
      </w:r>
      <w:r w:rsidR="00CF1786" w:rsidRPr="00EA0DC7">
        <w:t>,</w:t>
      </w:r>
      <w:r w:rsidRPr="00EA0DC7">
        <w:t xml:space="preserve"> as many models recommend different </w:t>
      </w:r>
      <w:r w:rsidR="007735A9" w:rsidRPr="00EA0DC7">
        <w:lastRenderedPageBreak/>
        <w:t>approaches</w:t>
      </w:r>
      <w:r w:rsidR="00CF1786" w:rsidRPr="00EA0DC7">
        <w:t xml:space="preserve"> to </w:t>
      </w:r>
      <w:r w:rsidRPr="00EA0DC7">
        <w:t xml:space="preserve">supervision, few are based on empirical evidence, and even fewer are tested. Meta-analyses of the empirical literature found that supervision had a moderate, positive impact on supervisees but no impact on patients. Indeed, there was generally a lack of focus on the patient in both the models literature and the empirical literature. </w:t>
      </w:r>
    </w:p>
    <w:p w14:paraId="653D9025" w14:textId="6F6AC7F6" w:rsidR="00D50016" w:rsidRPr="00EA0DC7" w:rsidRDefault="00D50016" w:rsidP="00D50016">
      <w:pPr>
        <w:ind w:firstLine="720"/>
      </w:pPr>
      <w:r w:rsidRPr="00EA0DC7">
        <w:t>Original research in this thesis found that although the patient is often ignored in the literature, patient characteristics affect the content of supervision sessions. In addition to the patient in treatment, both supervisee and supervisor characteristics have an impact on the recommendations given in supervision. Many supervisors have a general lack of focus in supervision, which perhaps reflects a lack of clarity in the supervision literature. In addition, there is a tendency for supervisors to hold back on therapeutic techniques (despite these being key to patient change), or to instead focus on other aspects of supervision (case management and alliance). This pattern of focus tends to occur when the patient has a more diffuse depression presentation, when the super</w:t>
      </w:r>
      <w:r w:rsidR="006E4ED7" w:rsidRPr="00EA0DC7">
        <w:t>visee is female and anxious, or</w:t>
      </w:r>
      <w:r w:rsidRPr="00EA0DC7">
        <w:t xml:space="preserve"> when the s</w:t>
      </w:r>
      <w:r w:rsidR="003E5A44" w:rsidRPr="00EA0DC7">
        <w:t>upervisor themselves is more anxious</w:t>
      </w:r>
      <w:r w:rsidRPr="00EA0DC7">
        <w:t xml:space="preserve">. </w:t>
      </w:r>
    </w:p>
    <w:p w14:paraId="05CFB7D5" w14:textId="77777777" w:rsidR="00D50016" w:rsidRPr="00EA0DC7" w:rsidRDefault="00D50016" w:rsidP="00D50016">
      <w:pPr>
        <w:ind w:firstLine="720"/>
      </w:pPr>
      <w:r w:rsidRPr="00EA0DC7">
        <w:t>Clinical training and/or protocols should consider the impact of patient, supervisee, and supervisor factors. There should also be further monitoring of supervision in both research and practice, particularly in relation to patient outcomes. Research from this thesis needs to be replicated with other therapies and disorders, and these studies should be expanded to include observational and clinical outcome data.</w:t>
      </w:r>
    </w:p>
    <w:p w14:paraId="0CCC186F" w14:textId="77777777" w:rsidR="00D50016" w:rsidRPr="00EA0DC7" w:rsidRDefault="00D50016" w:rsidP="00D50016">
      <w:r w:rsidRPr="00EA0DC7">
        <w:tab/>
      </w:r>
    </w:p>
    <w:p w14:paraId="3CF97F96" w14:textId="5159AB9C" w:rsidR="00584A06" w:rsidRPr="004C54F0" w:rsidRDefault="00584A06" w:rsidP="004C54F0">
      <w:pPr>
        <w:pStyle w:val="Heading1"/>
        <w:numPr>
          <w:ilvl w:val="0"/>
          <w:numId w:val="0"/>
        </w:numPr>
      </w:pPr>
      <w:bookmarkStart w:id="202" w:name="_Toc47039878"/>
      <w:r w:rsidRPr="00EA0DC7">
        <w:rPr>
          <w:lang w:val="de-DE"/>
        </w:rPr>
        <w:lastRenderedPageBreak/>
        <w:t>References</w:t>
      </w:r>
      <w:bookmarkEnd w:id="202"/>
    </w:p>
    <w:p w14:paraId="1B746AF8"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cs="Arial"/>
          <w:bCs/>
          <w:szCs w:val="24"/>
        </w:rPr>
        <w:t xml:space="preserve">Achenbach, T. M. (1991). </w:t>
      </w:r>
      <w:r w:rsidRPr="00EA0DC7">
        <w:rPr>
          <w:rFonts w:cs="Arial"/>
          <w:bCs/>
          <w:i/>
          <w:szCs w:val="24"/>
        </w:rPr>
        <w:t>Manual for the Teacher’s Report Form and 1991 profile.</w:t>
      </w:r>
      <w:r w:rsidRPr="00EA0DC7">
        <w:rPr>
          <w:rFonts w:cs="Arial"/>
          <w:bCs/>
          <w:szCs w:val="24"/>
        </w:rPr>
        <w:t xml:space="preserve"> Burlington, VT: University of Vermont, Department of Psychiatry</w:t>
      </w:r>
      <w:r w:rsidRPr="00EA0DC7">
        <w:rPr>
          <w:rFonts w:eastAsia="Calibri" w:cs="Arial"/>
          <w:noProof/>
          <w:szCs w:val="24"/>
          <w:lang w:eastAsia="en-US"/>
        </w:rPr>
        <w:t>.</w:t>
      </w:r>
    </w:p>
    <w:p w14:paraId="5C387440" w14:textId="77777777" w:rsidR="0065163F" w:rsidRPr="00EA0DC7" w:rsidRDefault="0065163F">
      <w:pPr>
        <w:widowControl w:val="0"/>
        <w:spacing w:after="160"/>
        <w:ind w:left="720" w:hanging="709"/>
        <w:rPr>
          <w:rFonts w:cs="Arial"/>
          <w:bCs/>
          <w:szCs w:val="24"/>
        </w:rPr>
      </w:pPr>
      <w:r w:rsidRPr="00EA0DC7">
        <w:rPr>
          <w:rFonts w:cs="Arial"/>
          <w:bCs/>
          <w:szCs w:val="24"/>
        </w:rPr>
        <w:t xml:space="preserve">Ackerman, S. J., &amp; Hilsenroth, M. J. (2003). A review of therapist characteristics and techniques positively impacting the therapeutic alliance. </w:t>
      </w:r>
      <w:r w:rsidRPr="00EA0DC7">
        <w:rPr>
          <w:rFonts w:cs="Arial"/>
          <w:bCs/>
          <w:i/>
          <w:szCs w:val="24"/>
        </w:rPr>
        <w:t xml:space="preserve">Clinical Psychology Review, 23, </w:t>
      </w:r>
      <w:r w:rsidRPr="00EA0DC7">
        <w:rPr>
          <w:rFonts w:cs="Arial"/>
          <w:bCs/>
          <w:szCs w:val="24"/>
        </w:rPr>
        <w:t>1-33.</w:t>
      </w:r>
    </w:p>
    <w:p w14:paraId="7CD09203" w14:textId="37CB1839"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Addis, M. E. (1997). Evaluating the treatment manual as a means of disseminating empirically validated psychotherapies. </w:t>
      </w:r>
      <w:r w:rsidRPr="00EA0DC7">
        <w:rPr>
          <w:rFonts w:eastAsia="Calibri" w:cs="Arial"/>
          <w:i/>
          <w:iCs/>
          <w:noProof/>
          <w:szCs w:val="24"/>
          <w:lang w:eastAsia="en-US"/>
        </w:rPr>
        <w:t>Clinical Psychology: Science and Practice</w:t>
      </w:r>
      <w:r w:rsidRPr="00EA0DC7">
        <w:rPr>
          <w:rFonts w:eastAsia="Calibri" w:cs="Arial"/>
          <w:noProof/>
          <w:szCs w:val="24"/>
          <w:lang w:eastAsia="en-US"/>
        </w:rPr>
        <w:t xml:space="preserve">, </w:t>
      </w:r>
      <w:r w:rsidRPr="00EA0DC7">
        <w:rPr>
          <w:rFonts w:eastAsia="Calibri" w:cs="Arial"/>
          <w:i/>
          <w:iCs/>
          <w:noProof/>
          <w:szCs w:val="24"/>
          <w:lang w:eastAsia="en-US"/>
        </w:rPr>
        <w:t>4</w:t>
      </w:r>
      <w:r w:rsidRPr="00EA0DC7">
        <w:rPr>
          <w:rFonts w:eastAsia="Calibri" w:cs="Arial"/>
          <w:noProof/>
          <w:szCs w:val="24"/>
          <w:lang w:eastAsia="en-US"/>
        </w:rPr>
        <w:t>, 1–11.</w:t>
      </w:r>
    </w:p>
    <w:p w14:paraId="056D0C71" w14:textId="6C74041D" w:rsidR="00A2762A" w:rsidRDefault="00A2762A">
      <w:pPr>
        <w:widowControl w:val="0"/>
        <w:autoSpaceDE w:val="0"/>
        <w:autoSpaceDN w:val="0"/>
        <w:adjustRightInd w:val="0"/>
        <w:spacing w:after="160"/>
        <w:ind w:left="709" w:hanging="709"/>
      </w:pPr>
      <w:r w:rsidRPr="00EA0DC7">
        <w:t xml:space="preserve">Addis, M. E., &amp; Krasnow, A. D. (2000). A national survey of practicing psychologists’ attitudes towards psychotherapy treatment manuals. </w:t>
      </w:r>
      <w:r w:rsidRPr="00EA0DC7">
        <w:rPr>
          <w:i/>
        </w:rPr>
        <w:t>Journal of Consulting and Clinical Psychology, 68,</w:t>
      </w:r>
      <w:r w:rsidRPr="00EA0DC7">
        <w:t xml:space="preserve"> 331–339.</w:t>
      </w:r>
    </w:p>
    <w:p w14:paraId="39CECDF0" w14:textId="1C646AA3" w:rsidR="00153AD8" w:rsidRPr="00EA0DC7" w:rsidRDefault="00153AD8">
      <w:pPr>
        <w:widowControl w:val="0"/>
        <w:autoSpaceDE w:val="0"/>
        <w:autoSpaceDN w:val="0"/>
        <w:adjustRightInd w:val="0"/>
        <w:spacing w:after="160"/>
        <w:ind w:left="709" w:hanging="709"/>
        <w:rPr>
          <w:rFonts w:eastAsia="Calibri" w:cs="Arial"/>
          <w:noProof/>
          <w:szCs w:val="24"/>
          <w:lang w:eastAsia="en-US"/>
        </w:rPr>
      </w:pPr>
      <w:r>
        <w:t xml:space="preserve">Addy, K., Gold, A. J., Christianson, L. E., David, M. B., Schipper, &amp; Ratigan, N. A. (2016). Denitrifying bioreactors for nitrate removal: A meta-analysis. </w:t>
      </w:r>
      <w:r w:rsidRPr="0055551C">
        <w:rPr>
          <w:i/>
        </w:rPr>
        <w:t>Journal of Environmental Quality, 43</w:t>
      </w:r>
      <w:r>
        <w:t>, 873-881.</w:t>
      </w:r>
    </w:p>
    <w:p w14:paraId="31AE900F" w14:textId="758FA1F5" w:rsidR="00DA04A4" w:rsidRPr="00EA0DC7" w:rsidRDefault="00DA04A4">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Alfonsson, S., Olsson, E., &amp; Hursti, T. (2015). </w:t>
      </w:r>
      <w:r w:rsidRPr="00EA0DC7">
        <w:t xml:space="preserve">The effects of therapist support and treatment presentation on the clinical outcomes of an internet based applied relaxation program. </w:t>
      </w:r>
      <w:r w:rsidRPr="00EA0DC7">
        <w:rPr>
          <w:i/>
        </w:rPr>
        <w:t>Internet Interventions, 2</w:t>
      </w:r>
      <w:r w:rsidRPr="00EA0DC7">
        <w:t>, 289-296.</w:t>
      </w:r>
    </w:p>
    <w:p w14:paraId="687E8A54"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Alfonsson, S., Parling, T., Spännargård, Å., Andersson, G., &amp; Lundgren, T. (2017). The effects of clinical supervision on supervisees and patients in cognitive behavioral therapy: a systematic review. </w:t>
      </w:r>
      <w:r w:rsidRPr="00EA0DC7">
        <w:rPr>
          <w:rFonts w:eastAsia="Calibri" w:cs="Arial"/>
          <w:i/>
          <w:iCs/>
          <w:noProof/>
          <w:szCs w:val="24"/>
          <w:lang w:eastAsia="en-US"/>
        </w:rPr>
        <w:t>Cognitive Behaviour Therapy</w:t>
      </w:r>
      <w:r w:rsidRPr="00EA0DC7">
        <w:rPr>
          <w:rFonts w:eastAsia="Calibri" w:cs="Arial"/>
          <w:i/>
          <w:noProof/>
          <w:szCs w:val="24"/>
          <w:lang w:eastAsia="en-US"/>
        </w:rPr>
        <w:t>, 47,</w:t>
      </w:r>
      <w:r w:rsidRPr="00EA0DC7">
        <w:rPr>
          <w:rFonts w:eastAsia="Calibri" w:cs="Arial"/>
          <w:noProof/>
          <w:szCs w:val="24"/>
          <w:lang w:eastAsia="en-US"/>
        </w:rPr>
        <w:t xml:space="preserve"> 206-228.</w:t>
      </w:r>
    </w:p>
    <w:p w14:paraId="598DA17D" w14:textId="3E0D670F" w:rsidR="0065163F" w:rsidRDefault="0065163F">
      <w:pPr>
        <w:widowControl w:val="0"/>
        <w:spacing w:after="160"/>
        <w:ind w:left="720" w:hanging="709"/>
        <w:rPr>
          <w:rFonts w:cs="Arial"/>
          <w:bCs/>
          <w:szCs w:val="24"/>
        </w:rPr>
      </w:pPr>
      <w:r w:rsidRPr="00EA0DC7">
        <w:rPr>
          <w:rFonts w:cs="Arial"/>
          <w:bCs/>
          <w:szCs w:val="24"/>
        </w:rPr>
        <w:lastRenderedPageBreak/>
        <w:t xml:space="preserve">American Psychiatric Association. (2013). </w:t>
      </w:r>
      <w:r w:rsidRPr="00EA0DC7">
        <w:rPr>
          <w:rFonts w:cs="Arial"/>
          <w:bCs/>
          <w:i/>
          <w:szCs w:val="24"/>
        </w:rPr>
        <w:t>Diagnostic and statistical manual of mental disorders (5th ed.)</w:t>
      </w:r>
      <w:r w:rsidRPr="00EA0DC7">
        <w:rPr>
          <w:rFonts w:cs="Arial"/>
          <w:bCs/>
          <w:szCs w:val="24"/>
        </w:rPr>
        <w:t>. Washington, DC: American Psychiatric Publishing.</w:t>
      </w:r>
    </w:p>
    <w:p w14:paraId="23378065" w14:textId="5210622F" w:rsidR="007F03B7" w:rsidRPr="00EA0DC7" w:rsidRDefault="007F03B7">
      <w:pPr>
        <w:widowControl w:val="0"/>
        <w:spacing w:after="160"/>
        <w:ind w:left="720" w:hanging="709"/>
        <w:rPr>
          <w:rFonts w:cs="Arial"/>
          <w:bCs/>
          <w:szCs w:val="24"/>
        </w:rPr>
      </w:pPr>
      <w:r w:rsidRPr="007F03B7">
        <w:rPr>
          <w:rFonts w:cs="Arial"/>
          <w:bCs/>
          <w:szCs w:val="24"/>
        </w:rPr>
        <w:t>Amos</w:t>
      </w:r>
      <w:r>
        <w:rPr>
          <w:rFonts w:cs="Arial"/>
          <w:bCs/>
          <w:szCs w:val="24"/>
        </w:rPr>
        <w:t>,</w:t>
      </w:r>
      <w:r w:rsidRPr="007F03B7">
        <w:rPr>
          <w:rFonts w:cs="Arial"/>
          <w:bCs/>
          <w:szCs w:val="24"/>
        </w:rPr>
        <w:t xml:space="preserve"> T</w:t>
      </w:r>
      <w:r>
        <w:rPr>
          <w:rFonts w:cs="Arial"/>
          <w:bCs/>
          <w:szCs w:val="24"/>
        </w:rPr>
        <w:t xml:space="preserve">. </w:t>
      </w:r>
      <w:r w:rsidRPr="007F03B7">
        <w:rPr>
          <w:rFonts w:cs="Arial"/>
          <w:bCs/>
          <w:szCs w:val="24"/>
        </w:rPr>
        <w:t>B</w:t>
      </w:r>
      <w:r>
        <w:rPr>
          <w:rFonts w:cs="Arial"/>
          <w:bCs/>
          <w:szCs w:val="24"/>
        </w:rPr>
        <w:t>.</w:t>
      </w:r>
      <w:r w:rsidRPr="007F03B7">
        <w:rPr>
          <w:rFonts w:cs="Arial"/>
          <w:bCs/>
          <w:szCs w:val="24"/>
        </w:rPr>
        <w:t>, Tandon</w:t>
      </w:r>
      <w:r>
        <w:rPr>
          <w:rFonts w:cs="Arial"/>
          <w:bCs/>
          <w:szCs w:val="24"/>
        </w:rPr>
        <w:t>,</w:t>
      </w:r>
      <w:r w:rsidRPr="007F03B7">
        <w:rPr>
          <w:rFonts w:cs="Arial"/>
          <w:bCs/>
          <w:szCs w:val="24"/>
        </w:rPr>
        <w:t xml:space="preserve"> N, Lefebvre</w:t>
      </w:r>
      <w:r>
        <w:rPr>
          <w:rFonts w:cs="Arial"/>
          <w:bCs/>
          <w:szCs w:val="24"/>
        </w:rPr>
        <w:t>, P, Pilon, D., Kamstra, R. L., Pivneva, I., &amp; Greenberg, P. E. (2018)</w:t>
      </w:r>
      <w:r w:rsidRPr="007F03B7">
        <w:rPr>
          <w:rFonts w:cs="Arial"/>
          <w:bCs/>
          <w:szCs w:val="24"/>
        </w:rPr>
        <w:t>. Direct and indirect cost burden and change of employment status in treatment-resistant depression: a matched-cohort study using a US commercial claims database.</w:t>
      </w:r>
      <w:r>
        <w:rPr>
          <w:rFonts w:cs="Arial"/>
          <w:bCs/>
          <w:szCs w:val="24"/>
        </w:rPr>
        <w:t xml:space="preserve"> </w:t>
      </w:r>
      <w:r w:rsidRPr="0055551C">
        <w:rPr>
          <w:rFonts w:cs="Arial"/>
          <w:bCs/>
          <w:i/>
          <w:szCs w:val="24"/>
        </w:rPr>
        <w:t>Journal of Clinical Psychiatry, 79</w:t>
      </w:r>
      <w:r>
        <w:rPr>
          <w:rFonts w:cs="Arial"/>
          <w:bCs/>
          <w:szCs w:val="24"/>
        </w:rPr>
        <w:t xml:space="preserve">, </w:t>
      </w:r>
      <w:r w:rsidRPr="007F03B7">
        <w:rPr>
          <w:rFonts w:cs="Arial"/>
          <w:bCs/>
          <w:szCs w:val="24"/>
        </w:rPr>
        <w:t>17m11725</w:t>
      </w:r>
    </w:p>
    <w:p w14:paraId="2979249C" w14:textId="77777777" w:rsidR="0065163F" w:rsidRPr="00EA0DC7" w:rsidRDefault="0065163F">
      <w:pPr>
        <w:widowControl w:val="0"/>
        <w:spacing w:after="160"/>
        <w:ind w:left="720" w:hanging="709"/>
        <w:rPr>
          <w:rFonts w:cs="Arial"/>
          <w:bCs/>
          <w:szCs w:val="24"/>
        </w:rPr>
      </w:pPr>
      <w:r w:rsidRPr="00EA0DC7">
        <w:rPr>
          <w:rFonts w:cs="Arial"/>
          <w:bCs/>
          <w:szCs w:val="24"/>
        </w:rPr>
        <w:t xml:space="preserve">Andrade, L., Caraveo-Anduaga, J. J., Berglund, P., Bijl, R. V., De Graaf, R., Vollebergh, W., Dragomirecka, E., … Wittchen, H. U. (2003). The epidemiology of major depressive episodes: results from the International Consortium of Psychiatric Epidemiology (ICPE) Surveys. </w:t>
      </w:r>
      <w:r w:rsidRPr="00EA0DC7">
        <w:rPr>
          <w:rFonts w:cs="Arial"/>
          <w:bCs/>
          <w:i/>
          <w:szCs w:val="24"/>
        </w:rPr>
        <w:t>International Journal of Methods in Psychiatric Research, 12,</w:t>
      </w:r>
      <w:r w:rsidRPr="00EA0DC7">
        <w:rPr>
          <w:rFonts w:cs="Arial"/>
          <w:bCs/>
          <w:szCs w:val="24"/>
        </w:rPr>
        <w:t xml:space="preserve"> 3-21.</w:t>
      </w:r>
    </w:p>
    <w:p w14:paraId="277E333D"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Ard, B. N. (1973). Providing clinical supervision for marriage counselors : A model for supervisor and supervisee. </w:t>
      </w:r>
      <w:r w:rsidRPr="00EA0DC7">
        <w:rPr>
          <w:rFonts w:eastAsia="Times New Roman" w:cs="Arial"/>
          <w:i/>
          <w:iCs/>
          <w:noProof/>
          <w:szCs w:val="24"/>
        </w:rPr>
        <w:t>The Family Coordinator</w:t>
      </w:r>
      <w:r w:rsidRPr="00EA0DC7">
        <w:rPr>
          <w:rFonts w:eastAsia="Times New Roman" w:cs="Arial"/>
          <w:noProof/>
          <w:szCs w:val="24"/>
        </w:rPr>
        <w:t xml:space="preserve">, </w:t>
      </w:r>
      <w:r w:rsidRPr="00EA0DC7">
        <w:rPr>
          <w:rFonts w:eastAsia="Times New Roman" w:cs="Arial"/>
          <w:i/>
          <w:iCs/>
          <w:noProof/>
          <w:szCs w:val="24"/>
        </w:rPr>
        <w:t>22</w:t>
      </w:r>
      <w:r w:rsidRPr="00EA0DC7">
        <w:rPr>
          <w:rFonts w:eastAsia="Times New Roman" w:cs="Arial"/>
          <w:noProof/>
          <w:szCs w:val="24"/>
        </w:rPr>
        <w:t>, 91–97.</w:t>
      </w:r>
    </w:p>
    <w:p w14:paraId="2F807856" w14:textId="4E72A7B4" w:rsidR="0065163F" w:rsidRDefault="0065163F">
      <w:pPr>
        <w:widowControl w:val="0"/>
        <w:spacing w:after="160"/>
        <w:ind w:left="720" w:hanging="709"/>
        <w:rPr>
          <w:rFonts w:eastAsia="Times New Roman" w:cs="Arial"/>
          <w:noProof/>
          <w:szCs w:val="24"/>
        </w:rPr>
      </w:pPr>
      <w:r w:rsidRPr="00EA0DC7">
        <w:rPr>
          <w:rFonts w:eastAsia="Times New Roman" w:cs="Arial"/>
          <w:noProof/>
          <w:szCs w:val="24"/>
        </w:rPr>
        <w:t xml:space="preserve">Armstrong, P. V., &amp; Freeston, M. H. (2006). Conceptualising and formulating cognitive therapy supervision. In N. Tarrier (Ed.), </w:t>
      </w:r>
      <w:r w:rsidRPr="00EA0DC7">
        <w:rPr>
          <w:rFonts w:eastAsia="Times New Roman" w:cs="Arial"/>
          <w:i/>
          <w:iCs/>
          <w:noProof/>
          <w:szCs w:val="24"/>
        </w:rPr>
        <w:t>Case formulation in cognitive behaviour therapy: The treatment of challenging and complex cases</w:t>
      </w:r>
      <w:r w:rsidRPr="00EA0DC7">
        <w:rPr>
          <w:rFonts w:eastAsia="Times New Roman" w:cs="Arial"/>
          <w:noProof/>
          <w:szCs w:val="24"/>
        </w:rPr>
        <w:t xml:space="preserve"> (pp. 349–371). Hove, UK: Routledge.</w:t>
      </w:r>
    </w:p>
    <w:p w14:paraId="1F98825A" w14:textId="004E5824" w:rsidR="005F6293" w:rsidRPr="00EA0DC7" w:rsidRDefault="005F6293">
      <w:pPr>
        <w:widowControl w:val="0"/>
        <w:spacing w:after="160"/>
        <w:ind w:left="720" w:hanging="709"/>
        <w:rPr>
          <w:rFonts w:eastAsia="Times New Roman" w:cs="Arial"/>
          <w:noProof/>
          <w:szCs w:val="24"/>
        </w:rPr>
      </w:pPr>
      <w:r>
        <w:rPr>
          <w:rFonts w:eastAsia="Times New Roman" w:cs="Arial"/>
          <w:noProof/>
          <w:szCs w:val="24"/>
        </w:rPr>
        <w:t>A-Tjak, J. G. L., Morina, N., Topper, M., &amp; Emmelkamp, P. M. G.</w:t>
      </w:r>
      <w:r w:rsidR="00365155">
        <w:rPr>
          <w:rFonts w:eastAsia="Times New Roman" w:cs="Arial"/>
          <w:noProof/>
          <w:szCs w:val="24"/>
        </w:rPr>
        <w:t xml:space="preserve"> (2018). </w:t>
      </w:r>
      <w:r w:rsidR="00365155">
        <w:t xml:space="preserve">A randomized controlled trial in routine clinical practice comparing Acceptance and Commitment Therapy with Cognitive Behavior Therapy in the treatment of Major Depressive Disorder. </w:t>
      </w:r>
      <w:r w:rsidR="00365155" w:rsidRPr="0055551C">
        <w:rPr>
          <w:i/>
        </w:rPr>
        <w:t xml:space="preserve">Psychotherapy </w:t>
      </w:r>
      <w:r w:rsidR="00365155" w:rsidRPr="0055551C">
        <w:rPr>
          <w:i/>
        </w:rPr>
        <w:lastRenderedPageBreak/>
        <w:t>and Psychosomatics, 87</w:t>
      </w:r>
      <w:r w:rsidR="00365155">
        <w:t>, 154-163.</w:t>
      </w:r>
    </w:p>
    <w:p w14:paraId="6E955887" w14:textId="77777777" w:rsidR="0065163F" w:rsidRPr="00EA0DC7" w:rsidRDefault="0065163F">
      <w:pPr>
        <w:widowControl w:val="0"/>
        <w:spacing w:after="160"/>
        <w:ind w:left="720" w:hanging="709"/>
        <w:rPr>
          <w:rFonts w:eastAsia="Times New Roman" w:cs="Arial"/>
          <w:noProof/>
          <w:szCs w:val="24"/>
        </w:rPr>
      </w:pPr>
      <w:r w:rsidRPr="00EA0DC7">
        <w:rPr>
          <w:rFonts w:eastAsia="Times New Roman" w:cs="Arial"/>
          <w:noProof/>
          <w:szCs w:val="24"/>
        </w:rPr>
        <w:t xml:space="preserve">Ault-Riché, M. (1988). Teaching an integrated model of family therapy: Women and students, women as supervisors. </w:t>
      </w:r>
      <w:r w:rsidRPr="00EA0DC7">
        <w:rPr>
          <w:rFonts w:eastAsia="Times New Roman" w:cs="Arial"/>
          <w:i/>
          <w:iCs/>
          <w:noProof/>
          <w:szCs w:val="24"/>
        </w:rPr>
        <w:t>Journal of Psychotherapy and the Family</w:t>
      </w:r>
      <w:r w:rsidRPr="00EA0DC7">
        <w:rPr>
          <w:rFonts w:eastAsia="Times New Roman" w:cs="Arial"/>
          <w:noProof/>
          <w:szCs w:val="24"/>
        </w:rPr>
        <w:t xml:space="preserve">, </w:t>
      </w:r>
      <w:r w:rsidRPr="00EA0DC7">
        <w:rPr>
          <w:rFonts w:eastAsia="Times New Roman" w:cs="Arial"/>
          <w:i/>
          <w:iCs/>
          <w:noProof/>
          <w:szCs w:val="24"/>
        </w:rPr>
        <w:t>3</w:t>
      </w:r>
      <w:r w:rsidRPr="00EA0DC7">
        <w:rPr>
          <w:rFonts w:eastAsia="Times New Roman" w:cs="Arial"/>
          <w:noProof/>
          <w:szCs w:val="24"/>
        </w:rPr>
        <w:t>, 175–192.</w:t>
      </w:r>
    </w:p>
    <w:p w14:paraId="72721259" w14:textId="77777777" w:rsidR="0065163F" w:rsidRPr="00EA0DC7" w:rsidRDefault="0065163F">
      <w:pPr>
        <w:widowControl w:val="0"/>
        <w:spacing w:after="160"/>
        <w:ind w:left="720" w:hanging="709"/>
        <w:rPr>
          <w:rFonts w:cs="Arial"/>
          <w:bCs/>
          <w:noProof/>
        </w:rPr>
      </w:pPr>
      <w:r w:rsidRPr="00EA0DC7">
        <w:rPr>
          <w:rFonts w:cs="Arial"/>
          <w:bCs/>
          <w:noProof/>
          <w:lang w:val="de-DE"/>
        </w:rPr>
        <w:t xml:space="preserve">Bambling, M., King, R., Raue, P., Schweitzer, R., &amp; Lambert, W. (2006). </w:t>
      </w:r>
      <w:r w:rsidRPr="00EA0DC7">
        <w:rPr>
          <w:rFonts w:cs="Arial"/>
          <w:bCs/>
          <w:noProof/>
        </w:rPr>
        <w:t xml:space="preserve">Clinical supervision: Its influence on client-rated working alliance and client symptom reduction in the brief treatment of major depression. </w:t>
      </w:r>
      <w:r w:rsidRPr="00EA0DC7">
        <w:rPr>
          <w:rFonts w:cs="Arial"/>
          <w:bCs/>
          <w:i/>
          <w:noProof/>
        </w:rPr>
        <w:t>Psychotherapy Research, 16</w:t>
      </w:r>
      <w:r w:rsidRPr="00EA0DC7">
        <w:rPr>
          <w:rFonts w:cs="Arial"/>
          <w:bCs/>
          <w:noProof/>
        </w:rPr>
        <w:t xml:space="preserve">, 317-331. </w:t>
      </w:r>
    </w:p>
    <w:p w14:paraId="1D36E256" w14:textId="77777777" w:rsidR="0065163F" w:rsidRPr="00EA0DC7" w:rsidRDefault="0065163F" w:rsidP="007735A9">
      <w:pPr>
        <w:widowControl w:val="0"/>
        <w:spacing w:after="120"/>
        <w:ind w:left="720" w:hanging="709"/>
        <w:rPr>
          <w:rFonts w:cs="Arial"/>
          <w:bCs/>
          <w:szCs w:val="24"/>
        </w:rPr>
      </w:pPr>
      <w:r w:rsidRPr="00EA0DC7">
        <w:rPr>
          <w:rFonts w:cs="Arial"/>
          <w:bCs/>
          <w:szCs w:val="24"/>
        </w:rPr>
        <w:t xml:space="preserve">Barber, J. P., Sharpless, B. A., Klostermann, S., &amp; McCarthy, K. S. (2007). Assessing intervention competence and its relation to therapy outcome: A selected review derived from the outcome literature. </w:t>
      </w:r>
      <w:r w:rsidRPr="00EA0DC7">
        <w:rPr>
          <w:rFonts w:cs="Arial"/>
          <w:bCs/>
          <w:i/>
          <w:szCs w:val="24"/>
        </w:rPr>
        <w:t>Professional Psychology: Research and Practice, 38,</w:t>
      </w:r>
      <w:r w:rsidRPr="00EA0DC7">
        <w:rPr>
          <w:rFonts w:cs="Arial"/>
          <w:bCs/>
          <w:szCs w:val="24"/>
        </w:rPr>
        <w:t xml:space="preserve"> 493-500.</w:t>
      </w:r>
    </w:p>
    <w:p w14:paraId="5D95B669" w14:textId="77777777" w:rsidR="0065163F" w:rsidRPr="00EA0DC7" w:rsidRDefault="0065163F" w:rsidP="00A4032D">
      <w:pPr>
        <w:widowControl w:val="0"/>
        <w:spacing w:after="120"/>
        <w:ind w:left="720" w:hanging="709"/>
        <w:rPr>
          <w:rFonts w:cs="Arial"/>
          <w:bCs/>
          <w:szCs w:val="24"/>
        </w:rPr>
      </w:pPr>
      <w:r w:rsidRPr="00EA0DC7">
        <w:rPr>
          <w:rFonts w:cs="Arial"/>
          <w:bCs/>
          <w:szCs w:val="24"/>
          <w:lang w:val="pl-PL"/>
        </w:rPr>
        <w:t xml:space="preserve">Barkham, M., &amp; Hardy, G. E. (2001). </w:t>
      </w:r>
      <w:r w:rsidRPr="00EA0DC7">
        <w:rPr>
          <w:rFonts w:cs="Arial"/>
          <w:bCs/>
          <w:szCs w:val="24"/>
        </w:rPr>
        <w:t xml:space="preserve">Counselling and interpersonal therapies for depression: towards securing an evidence-base. </w:t>
      </w:r>
      <w:r w:rsidRPr="00EA0DC7">
        <w:rPr>
          <w:rFonts w:cs="Arial"/>
          <w:bCs/>
          <w:i/>
          <w:szCs w:val="24"/>
        </w:rPr>
        <w:t>British Medical Bulletin, 57,</w:t>
      </w:r>
      <w:r w:rsidRPr="00EA0DC7">
        <w:rPr>
          <w:rFonts w:cs="Arial"/>
          <w:bCs/>
          <w:szCs w:val="24"/>
        </w:rPr>
        <w:t xml:space="preserve"> 115-132.</w:t>
      </w:r>
    </w:p>
    <w:p w14:paraId="5383CAB0" w14:textId="5D9A6BE5" w:rsidR="0065163F" w:rsidRPr="00EA0DC7" w:rsidRDefault="0065163F" w:rsidP="007735A9">
      <w:pPr>
        <w:widowControl w:val="0"/>
        <w:autoSpaceDE w:val="0"/>
        <w:autoSpaceDN w:val="0"/>
        <w:adjustRightInd w:val="0"/>
        <w:spacing w:after="120"/>
        <w:ind w:left="709" w:hanging="709"/>
        <w:rPr>
          <w:rFonts w:eastAsia="Times New Roman" w:cs="Arial"/>
          <w:noProof/>
          <w:szCs w:val="24"/>
        </w:rPr>
      </w:pPr>
      <w:r w:rsidRPr="00EA0DC7">
        <w:rPr>
          <w:rFonts w:eastAsia="Times New Roman" w:cs="Arial"/>
          <w:noProof/>
          <w:szCs w:val="24"/>
        </w:rPr>
        <w:t xml:space="preserve">Bear, T. M., &amp; Kivlighan, D. M. (1994). Single-subject examination of the process of supervision of beginning and advanced supervisees. </w:t>
      </w:r>
      <w:r w:rsidRPr="00EA0DC7">
        <w:rPr>
          <w:rFonts w:eastAsia="Times New Roman" w:cs="Arial"/>
          <w:i/>
          <w:iCs/>
          <w:noProof/>
          <w:szCs w:val="24"/>
        </w:rPr>
        <w:t>Professional Psychology: Research and Practice</w:t>
      </w:r>
      <w:r w:rsidRPr="00EA0DC7">
        <w:rPr>
          <w:rFonts w:eastAsia="Times New Roman" w:cs="Arial"/>
          <w:noProof/>
          <w:szCs w:val="24"/>
        </w:rPr>
        <w:t xml:space="preserve">, </w:t>
      </w:r>
      <w:r w:rsidRPr="00EA0DC7">
        <w:rPr>
          <w:rFonts w:eastAsia="Times New Roman" w:cs="Arial"/>
          <w:i/>
          <w:iCs/>
          <w:noProof/>
          <w:szCs w:val="24"/>
        </w:rPr>
        <w:t>25</w:t>
      </w:r>
      <w:r w:rsidRPr="00EA0DC7">
        <w:rPr>
          <w:rFonts w:eastAsia="Times New Roman" w:cs="Arial"/>
          <w:noProof/>
          <w:szCs w:val="24"/>
        </w:rPr>
        <w:t>, 450–457.</w:t>
      </w:r>
    </w:p>
    <w:p w14:paraId="082A0E88" w14:textId="5D50B95D" w:rsidR="000D3166" w:rsidRPr="00EA0DC7" w:rsidRDefault="000D3166" w:rsidP="007735A9">
      <w:pPr>
        <w:widowControl w:val="0"/>
        <w:ind w:left="709" w:hanging="709"/>
      </w:pPr>
      <w:r w:rsidRPr="00EA0DC7">
        <w:t xml:space="preserve">Bearman, S. K., Weisz, J. R., Chorpita, B. F., Hoagwood, K., Ward, A., Ugueto, A. M., Bernstein, A., The Research Network on Youth Mental Health (2013). More practice, less preach? The role of supervision processes and therapist characteristics in EBP implementation. </w:t>
      </w:r>
      <w:r w:rsidRPr="00EA0DC7">
        <w:rPr>
          <w:i/>
        </w:rPr>
        <w:t>Administrative Policy in Mental Health, 40,</w:t>
      </w:r>
      <w:r w:rsidRPr="00EA0DC7">
        <w:t xml:space="preserve"> 518-529.</w:t>
      </w:r>
    </w:p>
    <w:p w14:paraId="02039509" w14:textId="77777777" w:rsidR="0065163F" w:rsidRPr="00EA0DC7" w:rsidRDefault="0065163F">
      <w:pPr>
        <w:widowControl w:val="0"/>
        <w:spacing w:after="160"/>
        <w:ind w:left="720" w:hanging="709"/>
        <w:rPr>
          <w:rFonts w:cs="Arial"/>
          <w:bCs/>
          <w:szCs w:val="24"/>
        </w:rPr>
      </w:pPr>
      <w:r w:rsidRPr="00EA0DC7">
        <w:rPr>
          <w:rFonts w:cs="Arial"/>
          <w:bCs/>
          <w:szCs w:val="24"/>
        </w:rPr>
        <w:lastRenderedPageBreak/>
        <w:t xml:space="preserve">Bebbington, P. E., Brugha, T. S., Meltzer, H., Jenkins, R., Ceresa, C., Farrell, M., &amp; Lewis, G. (2000). Neurotic disorders and the receipt of psychiatric treatment. </w:t>
      </w:r>
      <w:r w:rsidRPr="00EA0DC7">
        <w:rPr>
          <w:rFonts w:cs="Arial"/>
          <w:bCs/>
          <w:i/>
          <w:szCs w:val="24"/>
        </w:rPr>
        <w:t>Psychological Medicine, 30,</w:t>
      </w:r>
      <w:r w:rsidRPr="00EA0DC7">
        <w:rPr>
          <w:rFonts w:cs="Arial"/>
          <w:bCs/>
          <w:szCs w:val="24"/>
        </w:rPr>
        <w:t xml:space="preserve"> 1369-1376.</w:t>
      </w:r>
    </w:p>
    <w:p w14:paraId="5E793E9A" w14:textId="0F314E20" w:rsidR="0065163F" w:rsidRDefault="0065163F">
      <w:pPr>
        <w:widowControl w:val="0"/>
        <w:spacing w:after="160"/>
        <w:ind w:left="720" w:hanging="709"/>
        <w:rPr>
          <w:rFonts w:cs="Arial"/>
          <w:bCs/>
          <w:szCs w:val="24"/>
        </w:rPr>
      </w:pPr>
      <w:r w:rsidRPr="00EA0DC7">
        <w:rPr>
          <w:rFonts w:cs="Arial"/>
          <w:bCs/>
          <w:szCs w:val="24"/>
        </w:rPr>
        <w:t xml:space="preserve">Beck, A. T. (1976). </w:t>
      </w:r>
      <w:r w:rsidRPr="00EA0DC7">
        <w:rPr>
          <w:rFonts w:cs="Arial"/>
          <w:bCs/>
          <w:i/>
          <w:szCs w:val="24"/>
        </w:rPr>
        <w:t>Cognitive therapy and emotional disorders</w:t>
      </w:r>
      <w:r w:rsidRPr="00EA0DC7">
        <w:rPr>
          <w:rFonts w:cs="Arial"/>
          <w:bCs/>
          <w:szCs w:val="24"/>
        </w:rPr>
        <w:t>. New York, NY: Meridian.</w:t>
      </w:r>
    </w:p>
    <w:p w14:paraId="718EDD1E" w14:textId="7EC5504D" w:rsidR="000C761D" w:rsidRPr="00EA0DC7" w:rsidRDefault="000C761D">
      <w:pPr>
        <w:widowControl w:val="0"/>
        <w:spacing w:after="160"/>
        <w:ind w:left="720" w:hanging="709"/>
        <w:rPr>
          <w:rFonts w:cs="Arial"/>
          <w:bCs/>
          <w:szCs w:val="24"/>
        </w:rPr>
      </w:pPr>
      <w:r>
        <w:rPr>
          <w:rFonts w:cs="Arial"/>
          <w:bCs/>
          <w:szCs w:val="24"/>
        </w:rPr>
        <w:t xml:space="preserve">Beck, A.T., Epstein, N., Brown, G., &amp; Steer, R.A. (1988). An inventory for measuring clinical anxiety: psychometric properties. </w:t>
      </w:r>
      <w:r w:rsidRPr="0055551C">
        <w:rPr>
          <w:rFonts w:cs="Arial"/>
          <w:bCs/>
          <w:i/>
          <w:szCs w:val="24"/>
        </w:rPr>
        <w:t>Journal of Consulting &amp; Clinical Psychology, 56,</w:t>
      </w:r>
      <w:r>
        <w:rPr>
          <w:rFonts w:cs="Arial"/>
          <w:bCs/>
          <w:szCs w:val="24"/>
        </w:rPr>
        <w:t xml:space="preserve"> 893-897.</w:t>
      </w:r>
    </w:p>
    <w:p w14:paraId="6C638CF6" w14:textId="77777777" w:rsidR="0065163F" w:rsidRPr="00EA0DC7" w:rsidRDefault="0065163F">
      <w:pPr>
        <w:widowControl w:val="0"/>
        <w:spacing w:after="160"/>
        <w:ind w:left="720" w:hanging="709"/>
        <w:rPr>
          <w:rFonts w:cs="Arial"/>
          <w:bCs/>
          <w:noProof/>
        </w:rPr>
      </w:pPr>
      <w:r w:rsidRPr="00EA0DC7">
        <w:rPr>
          <w:rFonts w:cs="Arial"/>
          <w:bCs/>
          <w:noProof/>
        </w:rPr>
        <w:t xml:space="preserve">Beck, A. T., Rush, A. J., Shaw, B. F., &amp; Emery, G. (1979). </w:t>
      </w:r>
      <w:r w:rsidRPr="00EA0DC7">
        <w:rPr>
          <w:rFonts w:cs="Arial"/>
          <w:bCs/>
          <w:i/>
          <w:noProof/>
        </w:rPr>
        <w:t>Cognitive therapy of depression</w:t>
      </w:r>
      <w:r w:rsidRPr="00EA0DC7">
        <w:rPr>
          <w:rFonts w:cs="Arial"/>
          <w:bCs/>
          <w:noProof/>
        </w:rPr>
        <w:t>. New York, NY: Guilford Press.</w:t>
      </w:r>
    </w:p>
    <w:p w14:paraId="4223A33E"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Beck, A. T., Steer, R. A., &amp; Brown, G. K. (1996). </w:t>
      </w:r>
      <w:r w:rsidRPr="00EA0DC7">
        <w:rPr>
          <w:rFonts w:eastAsia="Calibri" w:cs="Arial"/>
          <w:i/>
          <w:iCs/>
          <w:noProof/>
          <w:szCs w:val="24"/>
          <w:lang w:eastAsia="en-US"/>
        </w:rPr>
        <w:t>Manual for the Beck Depression Inventory-II</w:t>
      </w:r>
      <w:r w:rsidRPr="00EA0DC7">
        <w:rPr>
          <w:rFonts w:eastAsia="Calibri" w:cs="Arial"/>
          <w:noProof/>
          <w:szCs w:val="24"/>
          <w:lang w:eastAsia="en-US"/>
        </w:rPr>
        <w:t>. San Antonio, TX: Psychological Corporation.</w:t>
      </w:r>
    </w:p>
    <w:p w14:paraId="6C3A4E53" w14:textId="77777777" w:rsidR="0065163F" w:rsidRPr="00EA0DC7" w:rsidRDefault="0065163F">
      <w:pPr>
        <w:widowControl w:val="0"/>
        <w:tabs>
          <w:tab w:val="left" w:pos="709"/>
        </w:tabs>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Beck, A. T., Ward, C. H., Mendelson, M., Mock, J., &amp; Erbaugh, J. (1961). An inventory for measuring depression. </w:t>
      </w:r>
      <w:r w:rsidRPr="00EA0DC7">
        <w:rPr>
          <w:rFonts w:eastAsia="Calibri" w:cs="Arial"/>
          <w:i/>
          <w:iCs/>
          <w:noProof/>
          <w:szCs w:val="24"/>
          <w:lang w:eastAsia="en-US"/>
        </w:rPr>
        <w:t>Archives of General Psychiatry</w:t>
      </w:r>
      <w:r w:rsidRPr="00EA0DC7">
        <w:rPr>
          <w:rFonts w:eastAsia="Calibri" w:cs="Arial"/>
          <w:noProof/>
          <w:szCs w:val="24"/>
          <w:lang w:eastAsia="en-US"/>
        </w:rPr>
        <w:t xml:space="preserve">, </w:t>
      </w:r>
      <w:r w:rsidRPr="00EA0DC7">
        <w:rPr>
          <w:rFonts w:eastAsia="Calibri" w:cs="Arial"/>
          <w:i/>
          <w:iCs/>
          <w:noProof/>
          <w:szCs w:val="24"/>
          <w:lang w:eastAsia="en-US"/>
        </w:rPr>
        <w:t>4</w:t>
      </w:r>
      <w:r w:rsidRPr="00EA0DC7">
        <w:rPr>
          <w:rFonts w:eastAsia="Calibri" w:cs="Arial"/>
          <w:noProof/>
          <w:szCs w:val="24"/>
          <w:lang w:eastAsia="en-US"/>
        </w:rPr>
        <w:t>, 561–571.</w:t>
      </w:r>
    </w:p>
    <w:p w14:paraId="727EB0EC" w14:textId="77777777" w:rsidR="000D3166" w:rsidRPr="00EA0DC7" w:rsidRDefault="000D3166" w:rsidP="007735A9">
      <w:pPr>
        <w:widowControl w:val="0"/>
        <w:ind w:left="709" w:hanging="709"/>
      </w:pPr>
      <w:r w:rsidRPr="00EA0DC7">
        <w:t xml:space="preserve">Becker, C., Zayfert, C., &amp; Anderson, E. (2004). A survey of psychologists’ attitudes towards and utilization of exposure therapy for PTSD. </w:t>
      </w:r>
      <w:r w:rsidRPr="00EA0DC7">
        <w:rPr>
          <w:i/>
        </w:rPr>
        <w:t xml:space="preserve">Behaviour Research and Therapy, 42, </w:t>
      </w:r>
      <w:r w:rsidRPr="00EA0DC7">
        <w:t>277-292.</w:t>
      </w:r>
    </w:p>
    <w:p w14:paraId="13DBA6F6"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Beidas, R. S., Barmish, A. J., &amp; Kendall, P. C. (2009). Training as usual: Can therapist behavior change after reading a manual and attending a brief workshop on cognitive behavioral therapy for youth anxiety? </w:t>
      </w:r>
      <w:r w:rsidRPr="00EA0DC7">
        <w:rPr>
          <w:rFonts w:eastAsia="Calibri" w:cs="Arial"/>
          <w:i/>
          <w:iCs/>
          <w:noProof/>
          <w:szCs w:val="24"/>
          <w:lang w:eastAsia="en-US"/>
        </w:rPr>
        <w:t>Behavior Therapist</w:t>
      </w:r>
      <w:r w:rsidRPr="00EA0DC7">
        <w:rPr>
          <w:rFonts w:eastAsia="Calibri" w:cs="Arial"/>
          <w:noProof/>
          <w:szCs w:val="24"/>
          <w:lang w:eastAsia="en-US"/>
        </w:rPr>
        <w:t xml:space="preserve">, </w:t>
      </w:r>
      <w:r w:rsidRPr="00EA0DC7">
        <w:rPr>
          <w:rFonts w:eastAsia="Calibri" w:cs="Arial"/>
          <w:i/>
          <w:iCs/>
          <w:noProof/>
          <w:szCs w:val="24"/>
          <w:lang w:eastAsia="en-US"/>
        </w:rPr>
        <w:t>32</w:t>
      </w:r>
      <w:r w:rsidRPr="00EA0DC7">
        <w:rPr>
          <w:rFonts w:eastAsia="Calibri" w:cs="Arial"/>
          <w:noProof/>
          <w:szCs w:val="24"/>
          <w:lang w:eastAsia="en-US"/>
        </w:rPr>
        <w:t>, 97–101.</w:t>
      </w:r>
    </w:p>
    <w:p w14:paraId="6CA0F8EA"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Beidas, R. S., Edmunds, J. M., Marcus, S. C., &amp; Kendall, P. C. (2012). Training </w:t>
      </w:r>
      <w:r w:rsidRPr="00EA0DC7">
        <w:rPr>
          <w:rFonts w:eastAsia="Calibri" w:cs="Arial"/>
          <w:noProof/>
          <w:szCs w:val="24"/>
          <w:lang w:eastAsia="en-US"/>
        </w:rPr>
        <w:lastRenderedPageBreak/>
        <w:t xml:space="preserve">an consultation to promote implementation of an empirically supported treatment: A randomized trial. </w:t>
      </w:r>
      <w:r w:rsidRPr="00EA0DC7">
        <w:rPr>
          <w:rFonts w:eastAsia="Calibri" w:cs="Arial"/>
          <w:i/>
          <w:iCs/>
          <w:noProof/>
          <w:szCs w:val="24"/>
          <w:lang w:eastAsia="en-US"/>
        </w:rPr>
        <w:t>Psychiatric Services</w:t>
      </w:r>
      <w:r w:rsidRPr="00EA0DC7">
        <w:rPr>
          <w:rFonts w:eastAsia="Calibri" w:cs="Arial"/>
          <w:noProof/>
          <w:szCs w:val="24"/>
          <w:lang w:eastAsia="en-US"/>
        </w:rPr>
        <w:t xml:space="preserve">, </w:t>
      </w:r>
      <w:r w:rsidRPr="00EA0DC7">
        <w:rPr>
          <w:rFonts w:eastAsia="Calibri" w:cs="Arial"/>
          <w:i/>
          <w:iCs/>
          <w:noProof/>
          <w:szCs w:val="24"/>
          <w:lang w:eastAsia="en-US"/>
        </w:rPr>
        <w:t>63</w:t>
      </w:r>
      <w:r w:rsidRPr="00EA0DC7">
        <w:rPr>
          <w:rFonts w:eastAsia="Calibri" w:cs="Arial"/>
          <w:noProof/>
          <w:szCs w:val="24"/>
          <w:lang w:eastAsia="en-US"/>
        </w:rPr>
        <w:t xml:space="preserve">, 660–665. </w:t>
      </w:r>
    </w:p>
    <w:p w14:paraId="767A2922"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Times New Roman" w:cs="Arial"/>
          <w:noProof/>
          <w:szCs w:val="24"/>
        </w:rPr>
        <w:t xml:space="preserve">Beier, E. G., &amp; Young, D. M. (1980). Supervision in communications analytic therapy. In A. K. Hess (Ed.), </w:t>
      </w:r>
      <w:r w:rsidRPr="00EA0DC7">
        <w:rPr>
          <w:rFonts w:eastAsia="Times New Roman" w:cs="Arial"/>
          <w:i/>
          <w:iCs/>
          <w:noProof/>
          <w:szCs w:val="24"/>
        </w:rPr>
        <w:t>Psychotherapy supervision: Theory, research and practice</w:t>
      </w:r>
      <w:r w:rsidRPr="00EA0DC7">
        <w:rPr>
          <w:rFonts w:eastAsia="Times New Roman" w:cs="Arial"/>
          <w:noProof/>
          <w:szCs w:val="24"/>
        </w:rPr>
        <w:t xml:space="preserve"> (pp. 192–205). New York, NY: Wiley.</w:t>
      </w:r>
    </w:p>
    <w:p w14:paraId="4788EE91"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Berg, K. S., &amp; Stone, G. L. (1980). Effects of conceptual level and supervision structure on counselor skill development.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27</w:t>
      </w:r>
      <w:r w:rsidRPr="00EA0DC7">
        <w:rPr>
          <w:rFonts w:eastAsia="Calibri" w:cs="Arial"/>
          <w:noProof/>
          <w:szCs w:val="24"/>
          <w:lang w:eastAsia="en-US"/>
        </w:rPr>
        <w:t>, 500–509.</w:t>
      </w:r>
    </w:p>
    <w:p w14:paraId="6B351C32"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Times New Roman" w:cs="Arial"/>
          <w:noProof/>
          <w:szCs w:val="24"/>
        </w:rPr>
        <w:t xml:space="preserve">Bernard, J. M. (1979). Supervisor training: A discrimination model.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19</w:t>
      </w:r>
      <w:r w:rsidRPr="00EA0DC7">
        <w:rPr>
          <w:rFonts w:eastAsia="Times New Roman" w:cs="Arial"/>
          <w:noProof/>
          <w:szCs w:val="24"/>
        </w:rPr>
        <w:t>, 60–68.</w:t>
      </w:r>
    </w:p>
    <w:p w14:paraId="6F879D1A" w14:textId="77777777" w:rsidR="0065163F" w:rsidRPr="00EA0DC7" w:rsidRDefault="0065163F">
      <w:pPr>
        <w:widowControl w:val="0"/>
        <w:spacing w:after="160"/>
        <w:ind w:left="720" w:hanging="709"/>
        <w:rPr>
          <w:rFonts w:cs="Arial"/>
          <w:bCs/>
          <w:noProof/>
        </w:rPr>
      </w:pPr>
      <w:r w:rsidRPr="00EA0DC7">
        <w:rPr>
          <w:rFonts w:cs="Arial"/>
          <w:bCs/>
          <w:noProof/>
        </w:rPr>
        <w:t xml:space="preserve">Bernard, J. M., &amp; Goodyear, R. K. (2004). </w:t>
      </w:r>
      <w:r w:rsidRPr="00EA0DC7">
        <w:rPr>
          <w:rFonts w:cs="Arial"/>
          <w:bCs/>
          <w:i/>
          <w:noProof/>
        </w:rPr>
        <w:t xml:space="preserve">Fundamentals of clinical supervision </w:t>
      </w:r>
      <w:r w:rsidRPr="00EA0DC7">
        <w:rPr>
          <w:rFonts w:cs="Arial"/>
          <w:bCs/>
          <w:noProof/>
        </w:rPr>
        <w:t>(3</w:t>
      </w:r>
      <w:r w:rsidRPr="00EA0DC7">
        <w:rPr>
          <w:rFonts w:cs="Arial"/>
          <w:bCs/>
          <w:noProof/>
          <w:vertAlign w:val="superscript"/>
        </w:rPr>
        <w:t>rd</w:t>
      </w:r>
      <w:r w:rsidRPr="00EA0DC7">
        <w:rPr>
          <w:rFonts w:cs="Arial"/>
          <w:bCs/>
          <w:noProof/>
        </w:rPr>
        <w:t xml:space="preserve"> ed.). Boston, MA.: Pearson Education.</w:t>
      </w:r>
    </w:p>
    <w:p w14:paraId="05D69BD0" w14:textId="596AD067" w:rsidR="00FC7270" w:rsidRPr="00EA0DC7" w:rsidRDefault="00FC7270">
      <w:pPr>
        <w:widowControl w:val="0"/>
        <w:spacing w:after="160"/>
        <w:ind w:left="720" w:hanging="709"/>
        <w:rPr>
          <w:rFonts w:eastAsia="Calibri" w:cs="Arial"/>
          <w:i/>
          <w:iCs/>
          <w:noProof/>
          <w:szCs w:val="24"/>
          <w:lang w:eastAsia="en-US"/>
        </w:rPr>
      </w:pPr>
      <w:r w:rsidRPr="00EA0DC7">
        <w:rPr>
          <w:rFonts w:cs="Arial"/>
          <w:bCs/>
          <w:szCs w:val="24"/>
          <w:lang w:val="sv-SE"/>
        </w:rPr>
        <w:t>Bjaastad, J. F., Henningsen Wergeland, G. J., Mowatt Haugland, B. S., Gjestad, R., Havik, O. E., Heiervang, E. R., &amp; Ost, L. G. (2018). Do clinical experience, formal cognitive behavioural therapy training, adherence, and competence predict outcome in cognitive behavioural therapy for anxiety disorders in youth?</w:t>
      </w:r>
      <w:r w:rsidR="00CB3918" w:rsidRPr="00EA0DC7">
        <w:rPr>
          <w:rFonts w:cs="Arial"/>
          <w:bCs/>
          <w:szCs w:val="24"/>
          <w:lang w:val="sv-SE"/>
        </w:rPr>
        <w:t xml:space="preserve"> </w:t>
      </w:r>
      <w:r w:rsidR="00CB3918" w:rsidRPr="00EA0DC7">
        <w:rPr>
          <w:rFonts w:cs="Arial"/>
          <w:bCs/>
          <w:i/>
          <w:szCs w:val="24"/>
          <w:lang w:val="sv-SE"/>
        </w:rPr>
        <w:t xml:space="preserve">Clinical Psychology and </w:t>
      </w:r>
      <w:r w:rsidR="00CB3918" w:rsidRPr="00EA0DC7">
        <w:rPr>
          <w:rFonts w:eastAsia="Calibri" w:cs="Arial"/>
          <w:i/>
          <w:iCs/>
          <w:noProof/>
          <w:szCs w:val="24"/>
          <w:lang w:eastAsia="en-US"/>
        </w:rPr>
        <w:t>Psychotherapy</w:t>
      </w:r>
      <w:r w:rsidR="007735A9" w:rsidRPr="00EA0DC7">
        <w:rPr>
          <w:rFonts w:eastAsia="Calibri" w:cs="Arial"/>
          <w:i/>
          <w:iCs/>
          <w:noProof/>
          <w:szCs w:val="24"/>
          <w:lang w:eastAsia="en-US"/>
        </w:rPr>
        <w:t xml:space="preserve">, 25, </w:t>
      </w:r>
      <w:r w:rsidR="007735A9" w:rsidRPr="00EA0DC7">
        <w:rPr>
          <w:rFonts w:eastAsia="Calibri" w:cs="Arial"/>
          <w:iCs/>
          <w:noProof/>
          <w:szCs w:val="24"/>
          <w:lang w:eastAsia="en-US"/>
        </w:rPr>
        <w:t>865-877</w:t>
      </w:r>
      <w:r w:rsidR="007735A9" w:rsidRPr="00EA0DC7">
        <w:rPr>
          <w:rFonts w:eastAsia="Calibri" w:cs="Arial"/>
          <w:i/>
          <w:iCs/>
          <w:noProof/>
          <w:szCs w:val="24"/>
          <w:lang w:eastAsia="en-US"/>
        </w:rPr>
        <w:t>.</w:t>
      </w:r>
    </w:p>
    <w:p w14:paraId="40A2E0DC" w14:textId="3E2AAA5E" w:rsidR="0065163F" w:rsidRPr="00EA0DC7" w:rsidRDefault="0065163F">
      <w:pPr>
        <w:widowControl w:val="0"/>
        <w:spacing w:after="160"/>
        <w:ind w:left="720" w:hanging="709"/>
        <w:rPr>
          <w:rFonts w:cs="Arial"/>
          <w:bCs/>
          <w:szCs w:val="24"/>
        </w:rPr>
      </w:pPr>
      <w:r w:rsidRPr="00EA0DC7">
        <w:rPr>
          <w:rFonts w:cs="Arial"/>
          <w:bCs/>
          <w:szCs w:val="24"/>
          <w:lang w:val="sv-SE"/>
        </w:rPr>
        <w:t xml:space="preserve">Bland, R. C., Newman, S. C., &amp; Orn, H. (1997). </w:t>
      </w:r>
      <w:r w:rsidRPr="00EA0DC7">
        <w:rPr>
          <w:rFonts w:cs="Arial"/>
          <w:bCs/>
          <w:szCs w:val="24"/>
        </w:rPr>
        <w:t xml:space="preserve">Help-seeking for psychiatric disorders. </w:t>
      </w:r>
      <w:r w:rsidRPr="00EA0DC7">
        <w:rPr>
          <w:rFonts w:cs="Arial"/>
          <w:bCs/>
          <w:i/>
          <w:szCs w:val="24"/>
        </w:rPr>
        <w:t>Canadian Journal of Psychiatry, 42,</w:t>
      </w:r>
      <w:r w:rsidRPr="00EA0DC7">
        <w:rPr>
          <w:rFonts w:cs="Arial"/>
          <w:bCs/>
          <w:szCs w:val="24"/>
        </w:rPr>
        <w:t xml:space="preserve"> 935-942.</w:t>
      </w:r>
    </w:p>
    <w:p w14:paraId="43993FD9" w14:textId="601C5616" w:rsidR="0065163F" w:rsidRPr="00EA0DC7" w:rsidRDefault="0065163F">
      <w:pPr>
        <w:widowControl w:val="0"/>
        <w:spacing w:after="160"/>
        <w:ind w:left="720" w:hanging="709"/>
        <w:rPr>
          <w:rFonts w:cs="Arial"/>
          <w:bCs/>
          <w:noProof/>
        </w:rPr>
      </w:pPr>
      <w:r w:rsidRPr="00EA0DC7">
        <w:rPr>
          <w:rFonts w:cs="Arial"/>
          <w:bCs/>
          <w:noProof/>
        </w:rPr>
        <w:t xml:space="preserve">Blascovich, J., &amp; Tomaka, J. (1991). Measures of self-esteem. </w:t>
      </w:r>
      <w:r w:rsidRPr="00EA0DC7">
        <w:rPr>
          <w:rFonts w:cs="Arial"/>
          <w:bCs/>
          <w:i/>
          <w:noProof/>
        </w:rPr>
        <w:t xml:space="preserve">Measures of </w:t>
      </w:r>
      <w:r w:rsidR="00781C89" w:rsidRPr="00EA0DC7">
        <w:rPr>
          <w:rFonts w:cs="Arial"/>
          <w:bCs/>
          <w:i/>
          <w:noProof/>
        </w:rPr>
        <w:t>P</w:t>
      </w:r>
      <w:r w:rsidRPr="00EA0DC7">
        <w:rPr>
          <w:rFonts w:cs="Arial"/>
          <w:bCs/>
          <w:i/>
          <w:noProof/>
        </w:rPr>
        <w:t xml:space="preserve">ersonality and </w:t>
      </w:r>
      <w:r w:rsidR="00781C89" w:rsidRPr="00EA0DC7">
        <w:rPr>
          <w:rFonts w:cs="Arial"/>
          <w:bCs/>
          <w:i/>
          <w:noProof/>
        </w:rPr>
        <w:t>S</w:t>
      </w:r>
      <w:r w:rsidRPr="00EA0DC7">
        <w:rPr>
          <w:rFonts w:cs="Arial"/>
          <w:bCs/>
          <w:i/>
          <w:noProof/>
        </w:rPr>
        <w:t xml:space="preserve">ocial </w:t>
      </w:r>
      <w:r w:rsidR="00781C89" w:rsidRPr="00EA0DC7">
        <w:rPr>
          <w:rFonts w:cs="Arial"/>
          <w:bCs/>
          <w:i/>
          <w:noProof/>
        </w:rPr>
        <w:t>P</w:t>
      </w:r>
      <w:r w:rsidRPr="00EA0DC7">
        <w:rPr>
          <w:rFonts w:cs="Arial"/>
          <w:bCs/>
          <w:i/>
          <w:noProof/>
        </w:rPr>
        <w:t xml:space="preserve">sychological </w:t>
      </w:r>
      <w:r w:rsidR="00781C89" w:rsidRPr="00EA0DC7">
        <w:rPr>
          <w:rFonts w:cs="Arial"/>
          <w:bCs/>
          <w:i/>
          <w:noProof/>
        </w:rPr>
        <w:t>A</w:t>
      </w:r>
      <w:r w:rsidRPr="00EA0DC7">
        <w:rPr>
          <w:rFonts w:cs="Arial"/>
          <w:bCs/>
          <w:i/>
          <w:noProof/>
        </w:rPr>
        <w:t>ttitudes, 1</w:t>
      </w:r>
      <w:r w:rsidRPr="00EA0DC7">
        <w:rPr>
          <w:rFonts w:cs="Arial"/>
          <w:bCs/>
          <w:noProof/>
        </w:rPr>
        <w:t>, 115-160.</w:t>
      </w:r>
    </w:p>
    <w:p w14:paraId="69333F32" w14:textId="77777777" w:rsidR="0065163F" w:rsidRPr="00EA0DC7" w:rsidRDefault="0065163F">
      <w:pPr>
        <w:widowControl w:val="0"/>
        <w:spacing w:after="160"/>
        <w:ind w:left="720" w:hanging="709"/>
        <w:rPr>
          <w:rFonts w:cs="Arial"/>
          <w:bCs/>
          <w:szCs w:val="24"/>
        </w:rPr>
      </w:pPr>
      <w:r w:rsidRPr="00EA0DC7">
        <w:rPr>
          <w:rFonts w:cs="Arial"/>
          <w:bCs/>
          <w:szCs w:val="24"/>
        </w:rPr>
        <w:t xml:space="preserve">Blazer, D. G., Kessler, R. C., McGonagle, K.A., &amp; Swartz, M. S. (1994). The </w:t>
      </w:r>
      <w:r w:rsidRPr="00EA0DC7">
        <w:rPr>
          <w:rFonts w:cs="Arial"/>
          <w:bCs/>
          <w:szCs w:val="24"/>
        </w:rPr>
        <w:lastRenderedPageBreak/>
        <w:t xml:space="preserve">prevalence and distribution of major depression in a national community sample: the National Comorbidity Survey. </w:t>
      </w:r>
      <w:r w:rsidRPr="00EA0DC7">
        <w:rPr>
          <w:rFonts w:cs="Arial"/>
          <w:bCs/>
          <w:i/>
          <w:szCs w:val="24"/>
        </w:rPr>
        <w:t>American Journal of Psychiatry, 151,</w:t>
      </w:r>
      <w:r w:rsidRPr="00EA0DC7">
        <w:rPr>
          <w:rFonts w:cs="Arial"/>
          <w:bCs/>
          <w:szCs w:val="24"/>
        </w:rPr>
        <w:t xml:space="preserve"> 979-986.</w:t>
      </w:r>
    </w:p>
    <w:p w14:paraId="6E0C596C"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Blocher, D. H. (1983). Toward a cognitive developmental approach to counseling supervision. </w:t>
      </w:r>
      <w:r w:rsidRPr="00EA0DC7">
        <w:rPr>
          <w:rFonts w:eastAsia="Calibri" w:cs="Arial"/>
          <w:i/>
          <w:iCs/>
          <w:noProof/>
          <w:szCs w:val="24"/>
          <w:lang w:eastAsia="en-US"/>
        </w:rPr>
        <w:t>The Counseling Psychologist</w:t>
      </w:r>
      <w:r w:rsidRPr="00EA0DC7">
        <w:rPr>
          <w:rFonts w:eastAsia="Calibri" w:cs="Arial"/>
          <w:noProof/>
          <w:szCs w:val="24"/>
          <w:lang w:eastAsia="en-US"/>
        </w:rPr>
        <w:t xml:space="preserve">, </w:t>
      </w:r>
      <w:r w:rsidRPr="00EA0DC7">
        <w:rPr>
          <w:rFonts w:eastAsia="Calibri" w:cs="Arial"/>
          <w:i/>
          <w:iCs/>
          <w:noProof/>
          <w:szCs w:val="24"/>
          <w:lang w:eastAsia="en-US"/>
        </w:rPr>
        <w:t>11</w:t>
      </w:r>
      <w:r w:rsidRPr="00EA0DC7">
        <w:rPr>
          <w:rFonts w:eastAsia="Calibri" w:cs="Arial"/>
          <w:noProof/>
          <w:szCs w:val="24"/>
          <w:lang w:eastAsia="en-US"/>
        </w:rPr>
        <w:t>, 27–34.</w:t>
      </w:r>
    </w:p>
    <w:p w14:paraId="6ACF7287"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Bloom, B. S., Engelhard, M. D., Furst, F. J., Hill, W. H., &amp; Krathwohl, D. R. (1956). </w:t>
      </w:r>
      <w:r w:rsidRPr="00EA0DC7">
        <w:rPr>
          <w:rFonts w:eastAsia="Times New Roman" w:cs="Arial"/>
          <w:i/>
          <w:iCs/>
          <w:noProof/>
          <w:szCs w:val="24"/>
        </w:rPr>
        <w:t>Taxonomy of educational objectives</w:t>
      </w:r>
      <w:r w:rsidRPr="00EA0DC7">
        <w:rPr>
          <w:rFonts w:eastAsia="Times New Roman" w:cs="Arial"/>
          <w:noProof/>
          <w:szCs w:val="24"/>
        </w:rPr>
        <w:t>. New York, NY: McKay.</w:t>
      </w:r>
    </w:p>
    <w:p w14:paraId="33698D45"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Bob, S. R. (1999). Narrative approaches to supervision and case formulation. </w:t>
      </w:r>
      <w:r w:rsidRPr="00EA0DC7">
        <w:rPr>
          <w:rFonts w:eastAsia="Times New Roman" w:cs="Arial"/>
          <w:i/>
          <w:iCs/>
          <w:noProof/>
          <w:szCs w:val="24"/>
        </w:rPr>
        <w:t>Psychotherapy</w:t>
      </w:r>
      <w:r w:rsidRPr="00EA0DC7">
        <w:rPr>
          <w:rFonts w:eastAsia="Times New Roman" w:cs="Arial"/>
          <w:noProof/>
          <w:szCs w:val="24"/>
        </w:rPr>
        <w:t xml:space="preserve">, </w:t>
      </w:r>
      <w:r w:rsidRPr="00EA0DC7">
        <w:rPr>
          <w:rFonts w:eastAsia="Times New Roman" w:cs="Arial"/>
          <w:i/>
          <w:iCs/>
          <w:noProof/>
          <w:szCs w:val="24"/>
        </w:rPr>
        <w:t>36</w:t>
      </w:r>
      <w:r w:rsidRPr="00EA0DC7">
        <w:rPr>
          <w:rFonts w:eastAsia="Times New Roman" w:cs="Arial"/>
          <w:noProof/>
          <w:szCs w:val="24"/>
        </w:rPr>
        <w:t>, 146–153.</w:t>
      </w:r>
    </w:p>
    <w:p w14:paraId="735D5D04"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Borders, L. D. (1991). Developmental changes during their supervisees’ first practicum</w:t>
      </w:r>
      <w:r w:rsidRPr="00EA0DC7">
        <w:rPr>
          <w:rFonts w:eastAsia="Calibri" w:cs="Arial"/>
          <w:i/>
          <w:noProof/>
          <w:szCs w:val="24"/>
          <w:lang w:eastAsia="en-US"/>
        </w:rPr>
        <w:t>. The</w:t>
      </w:r>
      <w:r w:rsidRPr="00EA0DC7">
        <w:rPr>
          <w:rFonts w:eastAsia="Calibri" w:cs="Arial"/>
          <w:noProof/>
          <w:szCs w:val="24"/>
          <w:lang w:eastAsia="en-US"/>
        </w:rPr>
        <w:t xml:space="preserve"> </w:t>
      </w:r>
      <w:r w:rsidRPr="00EA0DC7">
        <w:rPr>
          <w:rFonts w:eastAsia="Calibri" w:cs="Arial"/>
          <w:i/>
          <w:iCs/>
          <w:noProof/>
          <w:szCs w:val="24"/>
          <w:lang w:eastAsia="en-US"/>
        </w:rPr>
        <w:t>Clinical Supervisor</w:t>
      </w:r>
      <w:r w:rsidRPr="00EA0DC7">
        <w:rPr>
          <w:rFonts w:eastAsia="Calibri" w:cs="Arial"/>
          <w:noProof/>
          <w:szCs w:val="24"/>
          <w:lang w:eastAsia="en-US"/>
        </w:rPr>
        <w:t xml:space="preserve">, </w:t>
      </w:r>
      <w:r w:rsidRPr="00EA0DC7">
        <w:rPr>
          <w:rFonts w:eastAsia="Calibri" w:cs="Arial"/>
          <w:i/>
          <w:iCs/>
          <w:noProof/>
          <w:szCs w:val="24"/>
          <w:lang w:eastAsia="en-US"/>
        </w:rPr>
        <w:t>8</w:t>
      </w:r>
      <w:r w:rsidRPr="00EA0DC7">
        <w:rPr>
          <w:rFonts w:eastAsia="Calibri" w:cs="Arial"/>
          <w:noProof/>
          <w:szCs w:val="24"/>
          <w:lang w:eastAsia="en-US"/>
        </w:rPr>
        <w:t>, 157–167.</w:t>
      </w:r>
    </w:p>
    <w:p w14:paraId="5FC65132"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Borders, L. D. (2014). Best practices in clinical supervision: Another step in delineating effective supervision practice. </w:t>
      </w:r>
      <w:r w:rsidRPr="00EA0DC7">
        <w:rPr>
          <w:rFonts w:eastAsia="Times New Roman" w:cs="Arial"/>
          <w:i/>
          <w:iCs/>
          <w:noProof/>
          <w:szCs w:val="24"/>
        </w:rPr>
        <w:t>American Journal of Psychotherapy</w:t>
      </w:r>
      <w:r w:rsidRPr="00EA0DC7">
        <w:rPr>
          <w:rFonts w:eastAsia="Times New Roman" w:cs="Arial"/>
          <w:noProof/>
          <w:szCs w:val="24"/>
        </w:rPr>
        <w:t xml:space="preserve">, </w:t>
      </w:r>
      <w:r w:rsidRPr="00EA0DC7">
        <w:rPr>
          <w:rFonts w:eastAsia="Times New Roman" w:cs="Arial"/>
          <w:i/>
          <w:iCs/>
          <w:noProof/>
          <w:szCs w:val="24"/>
        </w:rPr>
        <w:t>68</w:t>
      </w:r>
      <w:r w:rsidRPr="00EA0DC7">
        <w:rPr>
          <w:rFonts w:eastAsia="Times New Roman" w:cs="Arial"/>
          <w:noProof/>
          <w:szCs w:val="24"/>
        </w:rPr>
        <w:t>, 151–162.</w:t>
      </w:r>
    </w:p>
    <w:p w14:paraId="5625D6FC" w14:textId="77777777" w:rsidR="0065163F" w:rsidRPr="00EA0DC7" w:rsidRDefault="0065163F">
      <w:pPr>
        <w:widowControl w:val="0"/>
        <w:spacing w:after="160"/>
        <w:ind w:left="720" w:hanging="709"/>
        <w:rPr>
          <w:rFonts w:cs="Arial"/>
          <w:bCs/>
          <w:szCs w:val="24"/>
        </w:rPr>
      </w:pPr>
      <w:r w:rsidRPr="00EA0DC7">
        <w:rPr>
          <w:rFonts w:cs="Arial"/>
          <w:bCs/>
          <w:szCs w:val="24"/>
        </w:rPr>
        <w:t xml:space="preserve">Bordin, E. S. (1979). The generalizability of the psychoanalytic concept of the working alliance. </w:t>
      </w:r>
      <w:r w:rsidRPr="00EA0DC7">
        <w:rPr>
          <w:rFonts w:cs="Arial"/>
          <w:bCs/>
          <w:i/>
          <w:szCs w:val="24"/>
        </w:rPr>
        <w:t>Psychotherapy: Theory, Research, and Practice, 16,</w:t>
      </w:r>
      <w:r w:rsidRPr="00EA0DC7">
        <w:rPr>
          <w:rFonts w:cs="Arial"/>
          <w:bCs/>
          <w:szCs w:val="24"/>
        </w:rPr>
        <w:t xml:space="preserve"> 252-260.</w:t>
      </w:r>
    </w:p>
    <w:p w14:paraId="04B56A00" w14:textId="709A02E2" w:rsidR="0065163F" w:rsidRDefault="0065163F">
      <w:pPr>
        <w:widowControl w:val="0"/>
        <w:spacing w:after="160"/>
        <w:ind w:left="720" w:hanging="709"/>
        <w:rPr>
          <w:rFonts w:eastAsia="Times New Roman" w:cs="Arial"/>
          <w:noProof/>
          <w:szCs w:val="24"/>
        </w:rPr>
      </w:pPr>
      <w:r w:rsidRPr="00EA0DC7">
        <w:rPr>
          <w:rFonts w:eastAsia="Times New Roman" w:cs="Arial"/>
          <w:noProof/>
          <w:szCs w:val="24"/>
        </w:rPr>
        <w:t xml:space="preserve">Bordin, E. S. (1983). A working alliance based model of supervision. </w:t>
      </w:r>
      <w:r w:rsidRPr="00EA0DC7">
        <w:rPr>
          <w:rFonts w:eastAsia="Times New Roman" w:cs="Arial"/>
          <w:i/>
          <w:iCs/>
          <w:noProof/>
          <w:szCs w:val="24"/>
        </w:rPr>
        <w:t>The Counseling Psychologist</w:t>
      </w:r>
      <w:r w:rsidRPr="00EA0DC7">
        <w:rPr>
          <w:rFonts w:eastAsia="Times New Roman" w:cs="Arial"/>
          <w:noProof/>
          <w:szCs w:val="24"/>
        </w:rPr>
        <w:t xml:space="preserve">, </w:t>
      </w:r>
      <w:r w:rsidRPr="00EA0DC7">
        <w:rPr>
          <w:rFonts w:eastAsia="Times New Roman" w:cs="Arial"/>
          <w:i/>
          <w:iCs/>
          <w:noProof/>
          <w:szCs w:val="24"/>
        </w:rPr>
        <w:t>11</w:t>
      </w:r>
      <w:r w:rsidRPr="00EA0DC7">
        <w:rPr>
          <w:rFonts w:eastAsia="Times New Roman" w:cs="Arial"/>
          <w:noProof/>
          <w:szCs w:val="24"/>
        </w:rPr>
        <w:t>, 35–41.</w:t>
      </w:r>
    </w:p>
    <w:p w14:paraId="5F6D7948" w14:textId="206435FE" w:rsidR="00C7532A" w:rsidRPr="00EA0DC7" w:rsidRDefault="00C7532A">
      <w:pPr>
        <w:widowControl w:val="0"/>
        <w:spacing w:after="160"/>
        <w:ind w:left="720" w:hanging="709"/>
        <w:rPr>
          <w:rFonts w:cs="Arial"/>
          <w:bCs/>
          <w:szCs w:val="24"/>
        </w:rPr>
      </w:pPr>
      <w:r>
        <w:rPr>
          <w:rFonts w:eastAsia="Times New Roman" w:cs="Arial"/>
          <w:noProof/>
          <w:szCs w:val="24"/>
        </w:rPr>
        <w:t xml:space="preserve">Borenstein, M., Hedges, L., V., Higgins, J. P. T., &amp; Rothstein, H. R. (2009). </w:t>
      </w:r>
      <w:r w:rsidRPr="00C7532A">
        <w:rPr>
          <w:rFonts w:eastAsia="Times New Roman" w:cs="Arial"/>
          <w:i/>
          <w:noProof/>
          <w:szCs w:val="24"/>
        </w:rPr>
        <w:t>Introduction to meta-analysis.</w:t>
      </w:r>
      <w:r>
        <w:rPr>
          <w:rFonts w:eastAsia="Times New Roman" w:cs="Arial"/>
          <w:noProof/>
          <w:szCs w:val="24"/>
        </w:rPr>
        <w:t xml:space="preserve"> Chichester, UK: John EWiley &amp; Sons.</w:t>
      </w:r>
    </w:p>
    <w:p w14:paraId="3EB03D6B" w14:textId="77777777" w:rsidR="0065163F" w:rsidRPr="00EA0DC7" w:rsidRDefault="0065163F">
      <w:pPr>
        <w:widowControl w:val="0"/>
        <w:spacing w:after="160"/>
        <w:ind w:left="720" w:hanging="709"/>
        <w:rPr>
          <w:rFonts w:cs="Arial"/>
          <w:bCs/>
          <w:szCs w:val="24"/>
        </w:rPr>
      </w:pPr>
      <w:r w:rsidRPr="00EA0DC7">
        <w:rPr>
          <w:rFonts w:cs="Arial"/>
          <w:bCs/>
          <w:szCs w:val="24"/>
        </w:rPr>
        <w:t xml:space="preserve">Boswell, J. F., Gallagher, M. W., Sauer-Zavala, S. E., Bullis, J., Gorman, J. M., Shear, M. K., … Barlow, D. H. (2013). Patient characteristics and </w:t>
      </w:r>
      <w:r w:rsidRPr="00EA0DC7">
        <w:rPr>
          <w:rFonts w:cs="Arial"/>
          <w:bCs/>
          <w:szCs w:val="24"/>
        </w:rPr>
        <w:lastRenderedPageBreak/>
        <w:t xml:space="preserve">variability in adherence and competence in cognitive-behavioural therapy for panic disorder. </w:t>
      </w:r>
      <w:r w:rsidRPr="00EA0DC7">
        <w:rPr>
          <w:rFonts w:cs="Arial"/>
          <w:bCs/>
          <w:i/>
          <w:szCs w:val="24"/>
        </w:rPr>
        <w:t>Journal of Consulting and Clinical Psychology, 81,</w:t>
      </w:r>
      <w:r w:rsidRPr="00EA0DC7">
        <w:rPr>
          <w:rFonts w:cs="Arial"/>
          <w:bCs/>
          <w:szCs w:val="24"/>
        </w:rPr>
        <w:t xml:space="preserve"> 443-454.</w:t>
      </w:r>
    </w:p>
    <w:p w14:paraId="16D77413"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Bradshaw, T., Butterworth, A., &amp; Mairs, H. (2007). Does structured clinical supervision during psychosocial intervention education enhance outcome for mental health nurses and the service users they work with? </w:t>
      </w:r>
      <w:r w:rsidRPr="00EA0DC7">
        <w:rPr>
          <w:rFonts w:eastAsia="Calibri" w:cs="Arial"/>
          <w:i/>
          <w:iCs/>
          <w:noProof/>
          <w:szCs w:val="24"/>
          <w:lang w:eastAsia="en-US"/>
        </w:rPr>
        <w:t>Journal of Psychiatric and Mental Health Nursing</w:t>
      </w:r>
      <w:r w:rsidRPr="00EA0DC7">
        <w:rPr>
          <w:rFonts w:eastAsia="Calibri" w:cs="Arial"/>
          <w:noProof/>
          <w:szCs w:val="24"/>
          <w:lang w:eastAsia="en-US"/>
        </w:rPr>
        <w:t xml:space="preserve">, </w:t>
      </w:r>
      <w:r w:rsidRPr="00EA0DC7">
        <w:rPr>
          <w:rFonts w:eastAsia="Calibri" w:cs="Arial"/>
          <w:i/>
          <w:iCs/>
          <w:noProof/>
          <w:szCs w:val="24"/>
          <w:lang w:eastAsia="en-US"/>
        </w:rPr>
        <w:t>14</w:t>
      </w:r>
      <w:r w:rsidRPr="00EA0DC7">
        <w:rPr>
          <w:rFonts w:eastAsia="Calibri" w:cs="Arial"/>
          <w:noProof/>
          <w:szCs w:val="24"/>
          <w:lang w:eastAsia="en-US"/>
        </w:rPr>
        <w:t xml:space="preserve">, 4–12. </w:t>
      </w:r>
    </w:p>
    <w:p w14:paraId="628CCC79" w14:textId="77777777" w:rsidR="0065163F" w:rsidRPr="00EA0DC7" w:rsidRDefault="0065163F">
      <w:pPr>
        <w:widowControl w:val="0"/>
        <w:spacing w:after="160"/>
        <w:ind w:left="720" w:hanging="709"/>
        <w:rPr>
          <w:rFonts w:cs="Arial"/>
          <w:bCs/>
          <w:noProof/>
        </w:rPr>
      </w:pPr>
      <w:r w:rsidRPr="00EA0DC7">
        <w:rPr>
          <w:rFonts w:cs="Arial"/>
          <w:bCs/>
          <w:noProof/>
        </w:rPr>
        <w:t xml:space="preserve">Branson, A., &amp; Shafran, R. (2015). Therapist characteristics and their effect on training outcomes: What counts? </w:t>
      </w:r>
      <w:r w:rsidRPr="00EA0DC7">
        <w:rPr>
          <w:rFonts w:cs="Arial"/>
          <w:bCs/>
          <w:i/>
          <w:noProof/>
        </w:rPr>
        <w:t xml:space="preserve">Behavioural and Cognitive Psychotherapy, 43, </w:t>
      </w:r>
      <w:r w:rsidRPr="00EA0DC7">
        <w:rPr>
          <w:rFonts w:cs="Arial"/>
          <w:bCs/>
          <w:noProof/>
        </w:rPr>
        <w:t>374-380.</w:t>
      </w:r>
    </w:p>
    <w:p w14:paraId="4E8D3A6A" w14:textId="77777777" w:rsidR="0065163F" w:rsidRPr="00EA0DC7" w:rsidRDefault="0065163F">
      <w:pPr>
        <w:widowControl w:val="0"/>
        <w:spacing w:after="160"/>
        <w:ind w:left="720" w:hanging="709"/>
        <w:rPr>
          <w:rFonts w:cs="Arial"/>
          <w:bCs/>
          <w:szCs w:val="24"/>
        </w:rPr>
      </w:pPr>
      <w:r w:rsidRPr="00EA0DC7">
        <w:rPr>
          <w:rFonts w:cs="Arial"/>
          <w:bCs/>
          <w:szCs w:val="24"/>
        </w:rPr>
        <w:t xml:space="preserve">Brauhardt, A., de Zwaan, M., Herpertz, S., Zipfel, S., Svaldi, J., Friederich, H-C., &amp; Hilbert, A. (2014). Therapist adherence in individual cognitive-behavioral therapy for binge-eating disorder: Assessment, course, and predictors. </w:t>
      </w:r>
      <w:r w:rsidRPr="00EA0DC7">
        <w:rPr>
          <w:rFonts w:cs="Arial"/>
          <w:bCs/>
          <w:i/>
          <w:szCs w:val="24"/>
        </w:rPr>
        <w:t>Behaviour Research and Therapy, 61,</w:t>
      </w:r>
      <w:r w:rsidRPr="00EA0DC7">
        <w:rPr>
          <w:rFonts w:cs="Arial"/>
          <w:bCs/>
          <w:szCs w:val="24"/>
        </w:rPr>
        <w:t xml:space="preserve"> 55-60.</w:t>
      </w:r>
    </w:p>
    <w:p w14:paraId="1B06C309" w14:textId="77777777" w:rsidR="0065163F" w:rsidRPr="00EA0DC7" w:rsidRDefault="0065163F">
      <w:pPr>
        <w:widowControl w:val="0"/>
        <w:spacing w:after="160"/>
        <w:ind w:left="720" w:hanging="709"/>
        <w:rPr>
          <w:rFonts w:cs="Arial"/>
          <w:bCs/>
          <w:szCs w:val="24"/>
        </w:rPr>
      </w:pPr>
      <w:r w:rsidRPr="00EA0DC7">
        <w:rPr>
          <w:rFonts w:cs="Arial"/>
          <w:bCs/>
          <w:szCs w:val="24"/>
          <w:lang w:val="de-DE"/>
        </w:rPr>
        <w:t xml:space="preserve">Breuer, J., &amp; Freud, S. (1895). </w:t>
      </w:r>
      <w:r w:rsidRPr="00EA0DC7">
        <w:rPr>
          <w:rFonts w:cs="Arial"/>
          <w:bCs/>
          <w:i/>
          <w:szCs w:val="24"/>
          <w:lang w:val="de-DE"/>
        </w:rPr>
        <w:t>Studies in hysteria</w:t>
      </w:r>
      <w:r w:rsidRPr="00EA0DC7">
        <w:rPr>
          <w:rFonts w:cs="Arial"/>
          <w:bCs/>
          <w:szCs w:val="24"/>
          <w:lang w:val="de-DE"/>
        </w:rPr>
        <w:t xml:space="preserve">. </w:t>
      </w:r>
      <w:r w:rsidRPr="00EA0DC7">
        <w:rPr>
          <w:rFonts w:cs="Arial"/>
          <w:bCs/>
          <w:szCs w:val="24"/>
        </w:rPr>
        <w:t>(J. Strachey, &amp; A. Strachey, Trans.). New York, NY: Hogarth Press.</w:t>
      </w:r>
    </w:p>
    <w:p w14:paraId="6D74F188" w14:textId="77777777" w:rsidR="0065163F" w:rsidRPr="00EA0DC7" w:rsidRDefault="0065163F">
      <w:pPr>
        <w:widowControl w:val="0"/>
        <w:autoSpaceDE w:val="0"/>
        <w:autoSpaceDN w:val="0"/>
        <w:adjustRightInd w:val="0"/>
        <w:spacing w:after="160"/>
        <w:ind w:left="480" w:hanging="480"/>
        <w:rPr>
          <w:rFonts w:cs="Arial"/>
          <w:noProof/>
          <w:szCs w:val="24"/>
        </w:rPr>
      </w:pPr>
      <w:r w:rsidRPr="00EA0DC7">
        <w:rPr>
          <w:rFonts w:cs="Arial"/>
          <w:noProof/>
          <w:szCs w:val="24"/>
        </w:rPr>
        <w:t xml:space="preserve">British Association for Behavioural and Cognitive Psychotherapies. (2012). </w:t>
      </w:r>
      <w:r w:rsidRPr="00EA0DC7">
        <w:rPr>
          <w:rFonts w:cs="Arial"/>
          <w:i/>
          <w:noProof/>
          <w:szCs w:val="24"/>
        </w:rPr>
        <w:t>British Association for Behavioural and Cognitive Psychotherapies minimum training standards for the practice of cognitive behavioural therapy (CBT).</w:t>
      </w:r>
      <w:r w:rsidRPr="00EA0DC7">
        <w:rPr>
          <w:rFonts w:cs="Arial"/>
          <w:noProof/>
          <w:szCs w:val="24"/>
        </w:rPr>
        <w:t xml:space="preserve"> Retrieved January 31, 2018, from http://www.babcp.com/Accreditation/Minimum-Training-Standards.aspx</w:t>
      </w:r>
    </w:p>
    <w:p w14:paraId="3A62D043" w14:textId="3E4F3B09" w:rsidR="0065163F" w:rsidRPr="00EA0DC7" w:rsidRDefault="0065163F">
      <w:pPr>
        <w:widowControl w:val="0"/>
        <w:spacing w:after="160"/>
        <w:ind w:left="720" w:hanging="709"/>
        <w:rPr>
          <w:rFonts w:cs="Arial"/>
          <w:noProof/>
          <w:szCs w:val="24"/>
        </w:rPr>
      </w:pPr>
      <w:r w:rsidRPr="00EA0DC7">
        <w:rPr>
          <w:rFonts w:cs="Arial"/>
          <w:noProof/>
          <w:szCs w:val="24"/>
        </w:rPr>
        <w:t xml:space="preserve">British Association for Counselling and Psychotherapy. (2016). </w:t>
      </w:r>
      <w:r w:rsidRPr="00EA0DC7">
        <w:rPr>
          <w:rFonts w:cs="Arial"/>
          <w:i/>
          <w:iCs/>
          <w:noProof/>
          <w:szCs w:val="24"/>
        </w:rPr>
        <w:t>Ethical framework for the counselling professions</w:t>
      </w:r>
      <w:r w:rsidRPr="00EA0DC7">
        <w:rPr>
          <w:rFonts w:cs="Arial"/>
          <w:noProof/>
          <w:szCs w:val="24"/>
        </w:rPr>
        <w:t>. Leicestershire, UK: British Association for Counselling and Psychotherapy.</w:t>
      </w:r>
    </w:p>
    <w:p w14:paraId="0098A15D" w14:textId="46DF0165" w:rsidR="00D50016" w:rsidRPr="00EA0DC7" w:rsidRDefault="00D50016" w:rsidP="00F821B4">
      <w:pPr>
        <w:widowControl w:val="0"/>
        <w:ind w:left="709" w:hanging="709"/>
      </w:pPr>
      <w:r w:rsidRPr="00EA0DC7">
        <w:lastRenderedPageBreak/>
        <w:t xml:space="preserve">British Association </w:t>
      </w:r>
      <w:r w:rsidRPr="00EA0DC7">
        <w:rPr>
          <w:rFonts w:cs="Arial"/>
          <w:noProof/>
          <w:szCs w:val="24"/>
        </w:rPr>
        <w:t xml:space="preserve">for Behavioural and Cognitive Psychotherapies. (2019). </w:t>
      </w:r>
      <w:r w:rsidRPr="00EA0DC7">
        <w:rPr>
          <w:rFonts w:cs="Arial"/>
          <w:i/>
          <w:noProof/>
          <w:szCs w:val="24"/>
        </w:rPr>
        <w:t>Supervision guidance</w:t>
      </w:r>
      <w:r w:rsidRPr="00EA0DC7">
        <w:rPr>
          <w:rFonts w:cs="Arial"/>
          <w:noProof/>
          <w:szCs w:val="24"/>
        </w:rPr>
        <w:t xml:space="preserve">. Retrieved September, 2019, from </w:t>
      </w:r>
      <w:hyperlink r:id="rId28" w:history="1">
        <w:r w:rsidRPr="00EA0DC7">
          <w:rPr>
            <w:rStyle w:val="Hyperlink"/>
            <w:color w:val="auto"/>
          </w:rPr>
          <w:t>https://www.babcp.com/Accreditation/Supervision.aspx</w:t>
        </w:r>
      </w:hyperlink>
    </w:p>
    <w:p w14:paraId="54AF4B61" w14:textId="77777777" w:rsidR="0065163F" w:rsidRPr="00EA0DC7" w:rsidRDefault="0065163F">
      <w:pPr>
        <w:widowControl w:val="0"/>
        <w:spacing w:after="160"/>
        <w:ind w:left="720" w:hanging="709"/>
        <w:rPr>
          <w:rFonts w:cs="Arial"/>
          <w:bCs/>
          <w:szCs w:val="24"/>
        </w:rPr>
      </w:pPr>
      <w:r w:rsidRPr="00EA0DC7">
        <w:rPr>
          <w:rFonts w:cs="Arial"/>
          <w:bCs/>
          <w:szCs w:val="24"/>
          <w:lang w:val="nl-NL"/>
        </w:rPr>
        <w:t xml:space="preserve">Burke, K.C., Burke, J. D., Regier, D. A., &amp; Rae, D. S. (1990). </w:t>
      </w:r>
      <w:r w:rsidRPr="00EA0DC7">
        <w:rPr>
          <w:rFonts w:cs="Arial"/>
          <w:bCs/>
          <w:szCs w:val="24"/>
        </w:rPr>
        <w:t xml:space="preserve">Age at onset of selected mental disorders in five community populations. </w:t>
      </w:r>
      <w:r w:rsidRPr="00EA0DC7">
        <w:rPr>
          <w:rFonts w:cs="Arial"/>
          <w:bCs/>
          <w:i/>
          <w:szCs w:val="24"/>
        </w:rPr>
        <w:t>Archives of General Psychiatry, 47,</w:t>
      </w:r>
      <w:r w:rsidRPr="00EA0DC7">
        <w:rPr>
          <w:rFonts w:cs="Arial"/>
          <w:bCs/>
          <w:szCs w:val="24"/>
        </w:rPr>
        <w:t xml:space="preserve"> 511-518.</w:t>
      </w:r>
    </w:p>
    <w:p w14:paraId="63EBB675"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Burlingame, G. M., Earnshaw, D., Ridge, N. W., Matsumo, J., Bulkley, C., Lee, J., &amp; Hwang, A. D. (2007). Psycho-educational group treatment for the severely and persistently mentally ill: How much leader training is necessary? </w:t>
      </w:r>
      <w:r w:rsidRPr="00EA0DC7">
        <w:rPr>
          <w:rFonts w:eastAsia="Calibri" w:cs="Arial"/>
          <w:i/>
          <w:iCs/>
          <w:noProof/>
          <w:szCs w:val="24"/>
          <w:lang w:eastAsia="en-US"/>
        </w:rPr>
        <w:t>International Journal of Group Psychotherapy</w:t>
      </w:r>
      <w:r w:rsidRPr="00EA0DC7">
        <w:rPr>
          <w:rFonts w:eastAsia="Calibri" w:cs="Arial"/>
          <w:noProof/>
          <w:szCs w:val="24"/>
          <w:lang w:eastAsia="en-US"/>
        </w:rPr>
        <w:t xml:space="preserve">, </w:t>
      </w:r>
      <w:r w:rsidRPr="00EA0DC7">
        <w:rPr>
          <w:rFonts w:eastAsia="Calibri" w:cs="Arial"/>
          <w:i/>
          <w:iCs/>
          <w:noProof/>
          <w:szCs w:val="24"/>
          <w:lang w:eastAsia="en-US"/>
        </w:rPr>
        <w:t>57</w:t>
      </w:r>
      <w:r w:rsidRPr="00EA0DC7">
        <w:rPr>
          <w:rFonts w:eastAsia="Calibri" w:cs="Arial"/>
          <w:noProof/>
          <w:szCs w:val="24"/>
          <w:lang w:eastAsia="en-US"/>
        </w:rPr>
        <w:t>, 187–218.</w:t>
      </w:r>
    </w:p>
    <w:p w14:paraId="64C387C2" w14:textId="77777777" w:rsidR="0065163F" w:rsidRPr="00EA0DC7" w:rsidRDefault="0065163F">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Callahan, J. L., Almstrom, C. M., Swift, J. K., Borja, S. E., &amp; Heath, C. J. (2009). Exploring the contribution of supervisors to intervention outcomes. </w:t>
      </w:r>
      <w:r w:rsidRPr="00EA0DC7">
        <w:rPr>
          <w:rFonts w:eastAsia="Calibri" w:cs="Arial"/>
          <w:i/>
          <w:iCs/>
          <w:noProof/>
          <w:szCs w:val="24"/>
          <w:lang w:eastAsia="en-US"/>
        </w:rPr>
        <w:t>Training and Education in Professional Psychology</w:t>
      </w:r>
      <w:r w:rsidRPr="00EA0DC7">
        <w:rPr>
          <w:rFonts w:eastAsia="Calibri" w:cs="Arial"/>
          <w:noProof/>
          <w:szCs w:val="24"/>
          <w:lang w:eastAsia="en-US"/>
        </w:rPr>
        <w:t xml:space="preserve">, </w:t>
      </w:r>
      <w:r w:rsidRPr="00EA0DC7">
        <w:rPr>
          <w:rFonts w:eastAsia="Calibri" w:cs="Arial"/>
          <w:i/>
          <w:iCs/>
          <w:noProof/>
          <w:szCs w:val="24"/>
          <w:lang w:eastAsia="en-US"/>
        </w:rPr>
        <w:t>3</w:t>
      </w:r>
      <w:r w:rsidRPr="00EA0DC7">
        <w:rPr>
          <w:rFonts w:eastAsia="Calibri" w:cs="Arial"/>
          <w:noProof/>
          <w:szCs w:val="24"/>
          <w:lang w:eastAsia="en-US"/>
        </w:rPr>
        <w:t>, 72–77.</w:t>
      </w:r>
    </w:p>
    <w:p w14:paraId="3C3C14D6" w14:textId="77777777" w:rsidR="0065163F" w:rsidRPr="00EA0DC7" w:rsidRDefault="0065163F">
      <w:pPr>
        <w:widowControl w:val="0"/>
        <w:spacing w:after="160"/>
        <w:ind w:left="709" w:hanging="709"/>
        <w:rPr>
          <w:rFonts w:cs="Arial"/>
          <w:noProof/>
        </w:rPr>
      </w:pPr>
      <w:r w:rsidRPr="00EA0DC7">
        <w:rPr>
          <w:rFonts w:cs="Arial"/>
          <w:noProof/>
        </w:rPr>
        <w:t xml:space="preserve">Care Quality Commission. (2013). </w:t>
      </w:r>
      <w:r w:rsidRPr="00EA0DC7">
        <w:rPr>
          <w:rFonts w:cs="Arial"/>
          <w:i/>
          <w:noProof/>
        </w:rPr>
        <w:t>Supporting information and guidance: Supporting effective clinical supervision.</w:t>
      </w:r>
      <w:r w:rsidRPr="00EA0DC7">
        <w:rPr>
          <w:rFonts w:cs="Arial"/>
          <w:noProof/>
        </w:rPr>
        <w:t xml:space="preserve">   Retrieved 22/10/14, from http://www.cqc.org.uk/sites/default/files/documents/20130625_800734_v1_00_supporting_information-effective_clinical_supervision_for_publication.pdf</w:t>
      </w:r>
    </w:p>
    <w:p w14:paraId="67F83D24" w14:textId="2DC5A6A5" w:rsidR="0065163F" w:rsidRPr="00EA0DC7" w:rsidRDefault="0065163F">
      <w:pPr>
        <w:widowControl w:val="0"/>
        <w:spacing w:after="160"/>
        <w:ind w:left="709" w:hanging="709"/>
        <w:rPr>
          <w:rFonts w:cs="Arial"/>
          <w:noProof/>
        </w:rPr>
      </w:pPr>
      <w:bookmarkStart w:id="203" w:name="_ENREF_4"/>
      <w:r w:rsidRPr="00EA0DC7">
        <w:rPr>
          <w:rFonts w:cs="Arial"/>
          <w:noProof/>
        </w:rPr>
        <w:t xml:space="preserve">Carleton, R. N., Norton, M. A., </w:t>
      </w:r>
      <w:r w:rsidR="00CD1244">
        <w:rPr>
          <w:rFonts w:cs="Arial"/>
          <w:noProof/>
        </w:rPr>
        <w:t>&amp;</w:t>
      </w:r>
      <w:r w:rsidR="00CD1244" w:rsidRPr="00EA0DC7">
        <w:rPr>
          <w:rFonts w:cs="Arial"/>
          <w:noProof/>
        </w:rPr>
        <w:t xml:space="preserve"> </w:t>
      </w:r>
      <w:r w:rsidRPr="00EA0DC7">
        <w:rPr>
          <w:rFonts w:cs="Arial"/>
          <w:noProof/>
        </w:rPr>
        <w:t xml:space="preserve">Asmundson, G. J. G. (2007). Fearing the unknown: A short version of the Intolerance of Uncertainty Scale. </w:t>
      </w:r>
      <w:r w:rsidRPr="00EA0DC7">
        <w:rPr>
          <w:rFonts w:cs="Arial"/>
          <w:i/>
          <w:noProof/>
        </w:rPr>
        <w:t>Journal of Anxiety Disorders, 21</w:t>
      </w:r>
      <w:r w:rsidRPr="00EA0DC7">
        <w:rPr>
          <w:rFonts w:cs="Arial"/>
          <w:noProof/>
        </w:rPr>
        <w:t xml:space="preserve">, 105-117. </w:t>
      </w:r>
      <w:bookmarkEnd w:id="203"/>
    </w:p>
    <w:p w14:paraId="4D307851" w14:textId="77777777" w:rsidR="00CD1244"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Carroll, K. M., Nich, C., Sifry, R. L., Nuro, K. F., Frankforter, T. L., Ball, S. A., </w:t>
      </w:r>
      <w:r w:rsidRPr="00EA0DC7">
        <w:rPr>
          <w:rFonts w:eastAsia="Calibri" w:cs="Arial"/>
          <w:noProof/>
          <w:szCs w:val="24"/>
          <w:lang w:eastAsia="en-US"/>
        </w:rPr>
        <w:lastRenderedPageBreak/>
        <w:t xml:space="preserve">… Rounsaville, B. J. (2000). A general system for evaluating therapist adherence and competence in psychotherapy research in the addictions. </w:t>
      </w:r>
      <w:r w:rsidRPr="00EA0DC7">
        <w:rPr>
          <w:rFonts w:eastAsia="Calibri" w:cs="Arial"/>
          <w:i/>
          <w:iCs/>
          <w:noProof/>
          <w:szCs w:val="24"/>
          <w:lang w:eastAsia="en-US"/>
        </w:rPr>
        <w:t>Drug and Alcohol Dependence</w:t>
      </w:r>
      <w:r w:rsidRPr="00EA0DC7">
        <w:rPr>
          <w:rFonts w:eastAsia="Calibri" w:cs="Arial"/>
          <w:noProof/>
          <w:szCs w:val="24"/>
          <w:lang w:eastAsia="en-US"/>
        </w:rPr>
        <w:t xml:space="preserve">, </w:t>
      </w:r>
      <w:r w:rsidRPr="00EA0DC7">
        <w:rPr>
          <w:rFonts w:eastAsia="Calibri" w:cs="Arial"/>
          <w:i/>
          <w:iCs/>
          <w:noProof/>
          <w:szCs w:val="24"/>
          <w:lang w:eastAsia="en-US"/>
        </w:rPr>
        <w:t>57</w:t>
      </w:r>
      <w:r w:rsidRPr="00EA0DC7">
        <w:rPr>
          <w:rFonts w:eastAsia="Calibri" w:cs="Arial"/>
          <w:noProof/>
          <w:szCs w:val="24"/>
          <w:lang w:eastAsia="en-US"/>
        </w:rPr>
        <w:t xml:space="preserve">, 225–238. </w:t>
      </w:r>
    </w:p>
    <w:p w14:paraId="2BA625AF" w14:textId="77777777" w:rsidR="00CD1244" w:rsidRPr="00EA0DC7" w:rsidRDefault="00CD1244" w:rsidP="00CD1244">
      <w:pPr>
        <w:widowControl w:val="0"/>
        <w:spacing w:after="160"/>
        <w:ind w:left="709" w:hanging="709"/>
        <w:rPr>
          <w:rFonts w:cs="Arial"/>
          <w:noProof/>
        </w:rPr>
      </w:pPr>
      <w:r w:rsidRPr="00EA0DC7">
        <w:rPr>
          <w:rFonts w:eastAsia="Times New Roman" w:cs="Arial"/>
          <w:noProof/>
          <w:szCs w:val="24"/>
        </w:rPr>
        <w:t xml:space="preserve">Carroll, M. (1996). </w:t>
      </w:r>
      <w:r w:rsidRPr="00EA0DC7">
        <w:rPr>
          <w:rFonts w:eastAsia="Times New Roman" w:cs="Arial"/>
          <w:i/>
          <w:iCs/>
          <w:noProof/>
          <w:szCs w:val="24"/>
        </w:rPr>
        <w:t>Counselling supervision: Theory skills and practice</w:t>
      </w:r>
      <w:r w:rsidRPr="00EA0DC7">
        <w:rPr>
          <w:rFonts w:eastAsia="Times New Roman" w:cs="Arial"/>
          <w:noProof/>
          <w:szCs w:val="24"/>
        </w:rPr>
        <w:t>. London, UK: Cassell.</w:t>
      </w:r>
    </w:p>
    <w:p w14:paraId="394E8165" w14:textId="1023EC64" w:rsidR="0065163F" w:rsidRPr="00EA0DC7" w:rsidRDefault="0065163F">
      <w:pPr>
        <w:widowControl w:val="0"/>
        <w:spacing w:after="160"/>
        <w:ind w:left="709" w:hanging="709"/>
        <w:rPr>
          <w:rFonts w:cs="Arial"/>
          <w:bCs/>
          <w:szCs w:val="24"/>
        </w:rPr>
      </w:pPr>
      <w:r w:rsidRPr="00EA0DC7">
        <w:rPr>
          <w:rFonts w:cs="Arial"/>
          <w:bCs/>
          <w:szCs w:val="24"/>
        </w:rPr>
        <w:t xml:space="preserve">Carroll, M. (2007). One more time: What is supervision? </w:t>
      </w:r>
      <w:r w:rsidRPr="00EA0DC7">
        <w:rPr>
          <w:rFonts w:cs="Arial"/>
          <w:bCs/>
          <w:i/>
          <w:szCs w:val="24"/>
        </w:rPr>
        <w:t xml:space="preserve">Psychotherapy in Australia, 13, </w:t>
      </w:r>
      <w:r w:rsidRPr="00EA0DC7">
        <w:rPr>
          <w:rFonts w:cs="Arial"/>
          <w:bCs/>
          <w:szCs w:val="24"/>
        </w:rPr>
        <w:t>34-40.</w:t>
      </w:r>
    </w:p>
    <w:p w14:paraId="4BF64636" w14:textId="77777777" w:rsidR="0065163F" w:rsidRPr="00EA0DC7" w:rsidRDefault="0065163F">
      <w:pPr>
        <w:widowControl w:val="0"/>
        <w:spacing w:after="160"/>
        <w:ind w:left="709" w:hanging="709"/>
        <w:rPr>
          <w:rFonts w:cs="Arial"/>
          <w:bCs/>
          <w:szCs w:val="24"/>
        </w:rPr>
      </w:pPr>
      <w:r w:rsidRPr="00EA0DC7">
        <w:rPr>
          <w:rFonts w:cs="Arial"/>
          <w:bCs/>
          <w:szCs w:val="24"/>
        </w:rPr>
        <w:t xml:space="preserve">Carter, J. D., Luty, S. E., McKenzie, J. M., Mulder, R. T. Frampton, C. M., &amp; Joyce, P. R. (2011). Patient predictors of response to cognitive behaviour therapy and interpersonal psychotherapy in a randomised clinical trial for depression. </w:t>
      </w:r>
      <w:r w:rsidRPr="00EA0DC7">
        <w:rPr>
          <w:rFonts w:cs="Arial"/>
          <w:bCs/>
          <w:i/>
          <w:szCs w:val="24"/>
        </w:rPr>
        <w:t>Journal of Affective Disorders, 128,</w:t>
      </w:r>
      <w:r w:rsidRPr="00EA0DC7">
        <w:rPr>
          <w:rFonts w:cs="Arial"/>
          <w:bCs/>
          <w:szCs w:val="24"/>
        </w:rPr>
        <w:t xml:space="preserve"> 252-261.</w:t>
      </w:r>
    </w:p>
    <w:p w14:paraId="41F06021"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Cashwell, T. H., &amp; Dooley, K. (2001). The impact of supervision on counselor self-efficacy. </w:t>
      </w:r>
      <w:r w:rsidRPr="00EA0DC7">
        <w:rPr>
          <w:rFonts w:eastAsia="Calibri" w:cs="Arial"/>
          <w:i/>
          <w:iCs/>
          <w:noProof/>
          <w:szCs w:val="24"/>
          <w:lang w:eastAsia="en-US"/>
        </w:rPr>
        <w:t>The Clinical Supervisor</w:t>
      </w:r>
      <w:r w:rsidRPr="00EA0DC7">
        <w:rPr>
          <w:rFonts w:eastAsia="Calibri" w:cs="Arial"/>
          <w:noProof/>
          <w:szCs w:val="24"/>
          <w:lang w:eastAsia="en-US"/>
        </w:rPr>
        <w:t xml:space="preserve">, </w:t>
      </w:r>
      <w:r w:rsidRPr="00EA0DC7">
        <w:rPr>
          <w:rFonts w:eastAsia="Calibri" w:cs="Arial"/>
          <w:i/>
          <w:iCs/>
          <w:noProof/>
          <w:szCs w:val="24"/>
          <w:lang w:eastAsia="en-US"/>
        </w:rPr>
        <w:t>20</w:t>
      </w:r>
      <w:r w:rsidRPr="00EA0DC7">
        <w:rPr>
          <w:rFonts w:eastAsia="Calibri" w:cs="Arial"/>
          <w:noProof/>
          <w:szCs w:val="24"/>
          <w:lang w:eastAsia="en-US"/>
        </w:rPr>
        <w:t>, 39–47.</w:t>
      </w:r>
    </w:p>
    <w:p w14:paraId="59415B29" w14:textId="77777777" w:rsidR="000D3166" w:rsidRPr="00EA0DC7" w:rsidRDefault="000D3166" w:rsidP="00F821B4">
      <w:pPr>
        <w:widowControl w:val="0"/>
        <w:ind w:left="709" w:hanging="709"/>
      </w:pPr>
      <w:r w:rsidRPr="00EA0DC7">
        <w:t xml:space="preserve">Castonguay, L. G., Goldfried, M. R., Wiser, S., Raue, P. J., &amp; Hayes, A. M. (1996). Predicting the effect of cognitive therapy for depression: A study of unique and common factors. </w:t>
      </w:r>
      <w:r w:rsidRPr="00EA0DC7">
        <w:rPr>
          <w:i/>
        </w:rPr>
        <w:t>Journal of Consulting and Clinical Psychology, 64</w:t>
      </w:r>
      <w:r w:rsidRPr="00EA0DC7">
        <w:t>, 497-504.</w:t>
      </w:r>
    </w:p>
    <w:p w14:paraId="3DA4BC03" w14:textId="2B0FAD10" w:rsidR="0065163F"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Chagnon, J., &amp; Russell, R. K. (1995). Assessment of supervisee developmental level and supervision environment across supervisor experience. </w:t>
      </w:r>
      <w:r w:rsidRPr="00EA0DC7">
        <w:rPr>
          <w:rFonts w:eastAsia="Times New Roman" w:cs="Arial"/>
          <w:i/>
          <w:iCs/>
          <w:noProof/>
          <w:szCs w:val="24"/>
        </w:rPr>
        <w:t>Journal of Counseling &amp; Development</w:t>
      </w:r>
      <w:r w:rsidRPr="00EA0DC7">
        <w:rPr>
          <w:rFonts w:eastAsia="Times New Roman" w:cs="Arial"/>
          <w:noProof/>
          <w:szCs w:val="24"/>
        </w:rPr>
        <w:t xml:space="preserve">, </w:t>
      </w:r>
      <w:r w:rsidRPr="00EA0DC7">
        <w:rPr>
          <w:rFonts w:eastAsia="Times New Roman" w:cs="Arial"/>
          <w:i/>
          <w:iCs/>
          <w:noProof/>
          <w:szCs w:val="24"/>
        </w:rPr>
        <w:t>73</w:t>
      </w:r>
      <w:r w:rsidRPr="00EA0DC7">
        <w:rPr>
          <w:rFonts w:eastAsia="Times New Roman" w:cs="Arial"/>
          <w:noProof/>
          <w:szCs w:val="24"/>
        </w:rPr>
        <w:t>, 553-558.</w:t>
      </w:r>
    </w:p>
    <w:p w14:paraId="136EFB95" w14:textId="2D180614" w:rsidR="004C5976" w:rsidRPr="00EA0DC7" w:rsidRDefault="004C5976">
      <w:pPr>
        <w:widowControl w:val="0"/>
        <w:autoSpaceDE w:val="0"/>
        <w:autoSpaceDN w:val="0"/>
        <w:adjustRightInd w:val="0"/>
        <w:spacing w:after="160"/>
        <w:ind w:left="709" w:hanging="709"/>
        <w:rPr>
          <w:rFonts w:eastAsia="Times New Roman" w:cs="Arial"/>
          <w:noProof/>
          <w:szCs w:val="24"/>
        </w:rPr>
      </w:pPr>
      <w:r>
        <w:rPr>
          <w:rFonts w:eastAsia="Times New Roman" w:cs="Arial"/>
          <w:noProof/>
          <w:szCs w:val="24"/>
        </w:rPr>
        <w:t xml:space="preserve">Chen, P., Furukawa, T. A., Shinohara, K., Honyashiki, M., Imai, H., Ichikawa, K., … Churchill, R. (2014). </w:t>
      </w:r>
      <w:r w:rsidRPr="004C5976">
        <w:rPr>
          <w:rFonts w:eastAsia="Times New Roman" w:cs="Arial"/>
          <w:noProof/>
          <w:szCs w:val="24"/>
        </w:rPr>
        <w:t xml:space="preserve">Quantity and quality of psychotherapy trials </w:t>
      </w:r>
      <w:r w:rsidRPr="004C5976">
        <w:rPr>
          <w:rFonts w:eastAsia="Times New Roman" w:cs="Arial"/>
          <w:noProof/>
          <w:szCs w:val="24"/>
        </w:rPr>
        <w:lastRenderedPageBreak/>
        <w:t>for depression in the past five decades</w:t>
      </w:r>
      <w:r>
        <w:rPr>
          <w:rFonts w:eastAsia="Times New Roman" w:cs="Arial"/>
          <w:noProof/>
          <w:szCs w:val="24"/>
        </w:rPr>
        <w:t xml:space="preserve">. </w:t>
      </w:r>
      <w:r w:rsidRPr="0055551C">
        <w:rPr>
          <w:rFonts w:eastAsia="Times New Roman" w:cs="Arial"/>
          <w:i/>
          <w:noProof/>
          <w:szCs w:val="24"/>
        </w:rPr>
        <w:t>Journal of Affective Disorders, 165,</w:t>
      </w:r>
      <w:r>
        <w:rPr>
          <w:rFonts w:eastAsia="Times New Roman" w:cs="Arial"/>
          <w:noProof/>
          <w:szCs w:val="24"/>
        </w:rPr>
        <w:t xml:space="preserve"> 190-195.</w:t>
      </w:r>
    </w:p>
    <w:p w14:paraId="73CD99C0" w14:textId="77777777" w:rsidR="0065163F" w:rsidRPr="00EA0DC7" w:rsidRDefault="0065163F">
      <w:pPr>
        <w:widowControl w:val="0"/>
        <w:spacing w:after="160"/>
        <w:ind w:left="709" w:hanging="709"/>
        <w:rPr>
          <w:rFonts w:cs="Arial"/>
          <w:bCs/>
          <w:szCs w:val="24"/>
        </w:rPr>
      </w:pPr>
      <w:r w:rsidRPr="00EA0DC7">
        <w:rPr>
          <w:rFonts w:cs="Arial"/>
          <w:bCs/>
          <w:szCs w:val="24"/>
        </w:rPr>
        <w:t xml:space="preserve">Churchill, R., Hunot, V., Corney, R., Knapp, M., McGuire, P., Tylee, A., &amp; Wessely, S. (2001). A systematic review of controlled trials of the effectiveness and cost-effectiveness of brief psychological treatments for depression. </w:t>
      </w:r>
      <w:r w:rsidRPr="00EA0DC7">
        <w:rPr>
          <w:rFonts w:cs="Arial"/>
          <w:bCs/>
          <w:i/>
          <w:szCs w:val="24"/>
        </w:rPr>
        <w:t>Health Technology Assessment, 5</w:t>
      </w:r>
      <w:r w:rsidRPr="00EA0DC7">
        <w:rPr>
          <w:rFonts w:cs="Arial"/>
          <w:bCs/>
          <w:szCs w:val="24"/>
        </w:rPr>
        <w:t>, 1-173.</w:t>
      </w:r>
    </w:p>
    <w:p w14:paraId="319052B6" w14:textId="77777777" w:rsidR="0065163F" w:rsidRPr="00EA0DC7" w:rsidRDefault="0065163F">
      <w:pPr>
        <w:widowControl w:val="0"/>
        <w:spacing w:after="160"/>
        <w:ind w:left="709" w:hanging="709"/>
      </w:pPr>
      <w:r w:rsidRPr="00EA0DC7">
        <w:rPr>
          <w:rFonts w:cs="Arial"/>
          <w:bCs/>
          <w:szCs w:val="24"/>
        </w:rPr>
        <w:t xml:space="preserve">Cipriani, A., Furukawa, T. A., Salanti, G., Chaimani, A., Atkinson, L. Z., Ogawa, Y., … Geddes, J. R. (2018). </w:t>
      </w:r>
      <w:r w:rsidRPr="00EA0DC7">
        <w:t xml:space="preserve">Comparative efficacy and acceptability of 21 antidepressant drugs for the acute treatment of adults with major depressive disorder: a systematic review and network meta-analysis. </w:t>
      </w:r>
      <w:r w:rsidRPr="00EA0DC7">
        <w:rPr>
          <w:i/>
        </w:rPr>
        <w:t xml:space="preserve">The Lancet, 391, </w:t>
      </w:r>
      <w:r w:rsidRPr="00EA0DC7">
        <w:t>1357-1366.</w:t>
      </w:r>
    </w:p>
    <w:p w14:paraId="08C1E29E" w14:textId="5CCA0C77" w:rsidR="0065163F" w:rsidRPr="00EA0DC7" w:rsidRDefault="0065163F">
      <w:pPr>
        <w:widowControl w:val="0"/>
        <w:spacing w:after="160"/>
        <w:ind w:left="709" w:hanging="709"/>
        <w:rPr>
          <w:rFonts w:cs="Arial"/>
          <w:bCs/>
          <w:szCs w:val="24"/>
        </w:rPr>
      </w:pPr>
      <w:r w:rsidRPr="00EA0DC7">
        <w:rPr>
          <w:rFonts w:cs="Arial"/>
          <w:bCs/>
          <w:szCs w:val="24"/>
        </w:rPr>
        <w:t xml:space="preserve">Clark, D. M. (2011). Implementing NICE guidelines for the psychological treatment of depression and anxiety disorders: The IAPT experience. </w:t>
      </w:r>
      <w:r w:rsidRPr="00EA0DC7">
        <w:rPr>
          <w:rFonts w:cs="Arial"/>
          <w:bCs/>
          <w:i/>
          <w:szCs w:val="24"/>
        </w:rPr>
        <w:t xml:space="preserve">International Review of Psychiatry, 23, </w:t>
      </w:r>
      <w:r w:rsidRPr="00EA0DC7">
        <w:rPr>
          <w:rFonts w:cs="Arial"/>
          <w:bCs/>
          <w:szCs w:val="24"/>
        </w:rPr>
        <w:t>318-327.</w:t>
      </w:r>
    </w:p>
    <w:p w14:paraId="4E4D267E" w14:textId="094706BA" w:rsidR="00D50016" w:rsidRPr="00EA0DC7" w:rsidRDefault="00D50016" w:rsidP="00F821B4">
      <w:pPr>
        <w:widowControl w:val="0"/>
        <w:ind w:left="709" w:hanging="709"/>
      </w:pPr>
      <w:r w:rsidRPr="00EA0DC7">
        <w:t xml:space="preserve">Clark, D. M., Canvin, L., Green, J., Layard, R., Piling, S., &amp; Janecka, M. (2018). Transparency about the outcomes of mental health services (IAPT approach): an analysis of public data. </w:t>
      </w:r>
      <w:r w:rsidRPr="00EA0DC7">
        <w:rPr>
          <w:i/>
        </w:rPr>
        <w:t>Lancet, 391,</w:t>
      </w:r>
      <w:r w:rsidRPr="00EA0DC7">
        <w:t xml:space="preserve"> 679-686.</w:t>
      </w:r>
    </w:p>
    <w:p w14:paraId="40F96F8E" w14:textId="4F99077B" w:rsidR="00781C89" w:rsidRPr="00EA0DC7" w:rsidRDefault="00BF5DA1">
      <w:pPr>
        <w:widowControl w:val="0"/>
        <w:autoSpaceDE w:val="0"/>
        <w:autoSpaceDN w:val="0"/>
        <w:adjustRightInd w:val="0"/>
        <w:spacing w:after="160"/>
        <w:ind w:left="709" w:hanging="709"/>
        <w:jc w:val="left"/>
        <w:rPr>
          <w:rFonts w:cs="Arial"/>
          <w:szCs w:val="24"/>
          <w:shd w:val="clear" w:color="auto" w:fill="FFFFFF"/>
        </w:rPr>
      </w:pPr>
      <w:r w:rsidRPr="00EA0DC7">
        <w:rPr>
          <w:rFonts w:cs="Arial"/>
          <w:szCs w:val="24"/>
          <w:shd w:val="clear" w:color="auto" w:fill="FFFFFF"/>
        </w:rPr>
        <w:t xml:space="preserve">The Cochrane Collaboration (2011). </w:t>
      </w:r>
      <w:r w:rsidRPr="00EA0DC7">
        <w:rPr>
          <w:rFonts w:cs="Arial"/>
          <w:i/>
          <w:iCs/>
          <w:szCs w:val="24"/>
          <w:shd w:val="clear" w:color="auto" w:fill="FFFFFF"/>
        </w:rPr>
        <w:t>Cochrane Handbook for Systematic Reviews of Interventions</w:t>
      </w:r>
      <w:r w:rsidRPr="00EA0DC7">
        <w:rPr>
          <w:rFonts w:cs="Arial"/>
          <w:szCs w:val="24"/>
          <w:shd w:val="clear" w:color="auto" w:fill="FFFFFF"/>
        </w:rPr>
        <w:t> </w:t>
      </w:r>
      <w:r w:rsidRPr="00EA0DC7">
        <w:rPr>
          <w:rFonts w:cs="Arial"/>
          <w:i/>
          <w:szCs w:val="24"/>
          <w:shd w:val="clear" w:color="auto" w:fill="FFFFFF"/>
        </w:rPr>
        <w:t>Version 5.1.0.</w:t>
      </w:r>
      <w:r w:rsidRPr="00EA0DC7">
        <w:rPr>
          <w:rFonts w:cs="Arial"/>
          <w:szCs w:val="24"/>
          <w:shd w:val="clear" w:color="auto" w:fill="FFFFFF"/>
        </w:rPr>
        <w:t xml:space="preserve"> Retrieved from </w:t>
      </w:r>
      <w:hyperlink r:id="rId29" w:history="1">
        <w:r w:rsidR="00781C89" w:rsidRPr="00EA0DC7">
          <w:rPr>
            <w:rStyle w:val="Hyperlink"/>
            <w:rFonts w:cs="Arial"/>
            <w:color w:val="auto"/>
            <w:szCs w:val="24"/>
            <w:shd w:val="clear" w:color="auto" w:fill="FFFFFF"/>
          </w:rPr>
          <w:t>www.handbook.cochrane.org</w:t>
        </w:r>
      </w:hyperlink>
      <w:r w:rsidRPr="00EA0DC7">
        <w:rPr>
          <w:rFonts w:cs="Arial"/>
          <w:szCs w:val="24"/>
          <w:shd w:val="clear" w:color="auto" w:fill="FFFFFF"/>
        </w:rPr>
        <w:t>.</w:t>
      </w:r>
    </w:p>
    <w:p w14:paraId="111F7A5A" w14:textId="1F447BAE"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Cohen, J. (1969). </w:t>
      </w:r>
      <w:r w:rsidRPr="00EA0DC7">
        <w:rPr>
          <w:rFonts w:eastAsia="Calibri" w:cs="Arial"/>
          <w:i/>
          <w:noProof/>
          <w:szCs w:val="24"/>
          <w:lang w:eastAsia="en-US"/>
        </w:rPr>
        <w:t>Statist</w:t>
      </w:r>
      <w:r w:rsidR="00CD1244">
        <w:rPr>
          <w:rFonts w:eastAsia="Calibri" w:cs="Arial"/>
          <w:i/>
          <w:noProof/>
          <w:szCs w:val="24"/>
          <w:lang w:eastAsia="en-US"/>
        </w:rPr>
        <w:t>i</w:t>
      </w:r>
      <w:r w:rsidRPr="00EA0DC7">
        <w:rPr>
          <w:rFonts w:eastAsia="Calibri" w:cs="Arial"/>
          <w:i/>
          <w:noProof/>
          <w:szCs w:val="24"/>
          <w:lang w:eastAsia="en-US"/>
        </w:rPr>
        <w:t>cal power analysis for the behavioural sciences</w:t>
      </w:r>
      <w:r w:rsidRPr="00EA0DC7">
        <w:rPr>
          <w:rFonts w:eastAsia="Calibri" w:cs="Arial"/>
          <w:noProof/>
          <w:szCs w:val="24"/>
          <w:lang w:eastAsia="en-US"/>
        </w:rPr>
        <w:t>. Academic Press: New York, NY.</w:t>
      </w:r>
    </w:p>
    <w:p w14:paraId="7FA595F3" w14:textId="7778DB98" w:rsidR="0065163F" w:rsidRPr="00EA0DC7" w:rsidRDefault="0065163F">
      <w:pPr>
        <w:widowControl w:val="0"/>
        <w:autoSpaceDE w:val="0"/>
        <w:autoSpaceDN w:val="0"/>
        <w:adjustRightInd w:val="0"/>
        <w:spacing w:after="160"/>
        <w:ind w:left="709" w:hanging="709"/>
        <w:jc w:val="left"/>
        <w:rPr>
          <w:rFonts w:eastAsia="Times New Roman" w:cs="Arial"/>
          <w:noProof/>
          <w:szCs w:val="24"/>
        </w:rPr>
      </w:pPr>
      <w:r w:rsidRPr="00EA0DC7">
        <w:rPr>
          <w:rFonts w:eastAsia="Times New Roman" w:cs="Arial"/>
          <w:noProof/>
          <w:szCs w:val="24"/>
        </w:rPr>
        <w:t xml:space="preserve">Connell, G. M. (1984). An approach to supervision of symbolic experimental </w:t>
      </w:r>
      <w:r w:rsidRPr="00EA0DC7">
        <w:rPr>
          <w:rFonts w:eastAsia="Times New Roman" w:cs="Arial"/>
          <w:noProof/>
          <w:szCs w:val="24"/>
        </w:rPr>
        <w:lastRenderedPageBreak/>
        <w:t xml:space="preserve">psychotherapy. </w:t>
      </w:r>
      <w:r w:rsidRPr="00EA0DC7">
        <w:rPr>
          <w:rFonts w:eastAsia="Times New Roman" w:cs="Arial"/>
          <w:i/>
          <w:iCs/>
          <w:noProof/>
          <w:szCs w:val="24"/>
        </w:rPr>
        <w:t>Journal of Marital and Family Therapy</w:t>
      </w:r>
      <w:r w:rsidRPr="00EA0DC7">
        <w:rPr>
          <w:rFonts w:eastAsia="Times New Roman" w:cs="Arial"/>
          <w:noProof/>
          <w:szCs w:val="24"/>
        </w:rPr>
        <w:t xml:space="preserve">, </w:t>
      </w:r>
      <w:r w:rsidRPr="00EA0DC7">
        <w:rPr>
          <w:rFonts w:eastAsia="Times New Roman" w:cs="Arial"/>
          <w:i/>
          <w:iCs/>
          <w:noProof/>
          <w:szCs w:val="24"/>
        </w:rPr>
        <w:t>10</w:t>
      </w:r>
      <w:r w:rsidRPr="00EA0DC7">
        <w:rPr>
          <w:rFonts w:eastAsia="Times New Roman" w:cs="Arial"/>
          <w:noProof/>
          <w:szCs w:val="24"/>
        </w:rPr>
        <w:t>, 273–280.</w:t>
      </w:r>
    </w:p>
    <w:p w14:paraId="728D5D76" w14:textId="0B286CBB" w:rsidR="00233DE8" w:rsidRDefault="00233DE8">
      <w:pPr>
        <w:widowControl w:val="0"/>
        <w:autoSpaceDE w:val="0"/>
        <w:autoSpaceDN w:val="0"/>
        <w:adjustRightInd w:val="0"/>
        <w:spacing w:after="160"/>
        <w:ind w:left="709" w:hanging="709"/>
        <w:jc w:val="left"/>
      </w:pPr>
      <w:r w:rsidRPr="00EA0DC7">
        <w:t xml:space="preserve">Coyne, J. C. (1976). Toward an interactional description of depression. </w:t>
      </w:r>
      <w:r w:rsidRPr="00EA0DC7">
        <w:rPr>
          <w:i/>
        </w:rPr>
        <w:t>Psychiatry, 39</w:t>
      </w:r>
      <w:r w:rsidRPr="00EA0DC7">
        <w:t>, 28-40</w:t>
      </w:r>
    </w:p>
    <w:p w14:paraId="02D7DF95" w14:textId="3E6AD18C" w:rsidR="005D2853" w:rsidRPr="00EA0DC7" w:rsidRDefault="005D2853">
      <w:pPr>
        <w:widowControl w:val="0"/>
        <w:autoSpaceDE w:val="0"/>
        <w:autoSpaceDN w:val="0"/>
        <w:adjustRightInd w:val="0"/>
        <w:spacing w:after="160"/>
        <w:ind w:left="709" w:hanging="709"/>
        <w:jc w:val="left"/>
        <w:rPr>
          <w:rFonts w:eastAsia="Calibri" w:cs="Arial"/>
          <w:noProof/>
          <w:szCs w:val="24"/>
          <w:lang w:eastAsia="en-US"/>
        </w:rPr>
      </w:pPr>
      <w:r>
        <w:t xml:space="preserve">Cristea, I. A., Stefan, S., Karyotaki, E., David, D., Hollon, S. D., &amp; Cuijpers, P. (2017). The effects of cognitive behavioural therapy are not systematically falling: A revision of Johnsen &amp; Friborg (2015). </w:t>
      </w:r>
      <w:r w:rsidRPr="0055551C">
        <w:rPr>
          <w:i/>
        </w:rPr>
        <w:t xml:space="preserve">Psychological Bulletin, 143, </w:t>
      </w:r>
      <w:r>
        <w:t>326-340.</w:t>
      </w:r>
    </w:p>
    <w:p w14:paraId="0E768184" w14:textId="77777777" w:rsidR="0065163F" w:rsidRPr="00EA0DC7" w:rsidRDefault="0065163F">
      <w:pPr>
        <w:widowControl w:val="0"/>
        <w:spacing w:after="160"/>
        <w:ind w:left="709" w:hanging="709"/>
        <w:rPr>
          <w:rFonts w:cs="Arial"/>
          <w:bCs/>
          <w:szCs w:val="24"/>
        </w:rPr>
      </w:pPr>
      <w:r w:rsidRPr="00EA0DC7">
        <w:rPr>
          <w:rFonts w:cs="Arial"/>
          <w:bCs/>
          <w:szCs w:val="24"/>
        </w:rPr>
        <w:t xml:space="preserve">Crits-Christoph, P., &amp; Mintz, J. (1991). Implications of therapist effects for the design and analysis of comparative studies of psychotherapies. </w:t>
      </w:r>
      <w:r w:rsidRPr="00EA0DC7">
        <w:rPr>
          <w:rFonts w:cs="Arial"/>
          <w:bCs/>
          <w:i/>
          <w:szCs w:val="24"/>
        </w:rPr>
        <w:t>Journal of Consulting and Clinical Psychology, 59,</w:t>
      </w:r>
      <w:r w:rsidRPr="00EA0DC7">
        <w:rPr>
          <w:rFonts w:cs="Arial"/>
          <w:bCs/>
          <w:szCs w:val="24"/>
        </w:rPr>
        <w:t xml:space="preserve"> 20-26.</w:t>
      </w:r>
    </w:p>
    <w:p w14:paraId="735370B4" w14:textId="77777777"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t xml:space="preserve">Crutchfield, L. B., &amp; Borders, L. D. (1997). Impact of two clinical peer supervision models on practicing school counselors. </w:t>
      </w:r>
      <w:r w:rsidRPr="00EA0DC7">
        <w:rPr>
          <w:rFonts w:eastAsia="Calibri" w:cs="Arial"/>
          <w:i/>
          <w:iCs/>
          <w:noProof/>
          <w:szCs w:val="24"/>
          <w:lang w:eastAsia="en-US"/>
        </w:rPr>
        <w:t>Journal of Counseling &amp; Development</w:t>
      </w:r>
      <w:r w:rsidRPr="00EA0DC7">
        <w:rPr>
          <w:rFonts w:eastAsia="Calibri" w:cs="Arial"/>
          <w:noProof/>
          <w:szCs w:val="24"/>
          <w:lang w:eastAsia="en-US"/>
        </w:rPr>
        <w:t xml:space="preserve">, </w:t>
      </w:r>
      <w:r w:rsidRPr="00EA0DC7">
        <w:rPr>
          <w:rFonts w:eastAsia="Calibri" w:cs="Arial"/>
          <w:i/>
          <w:iCs/>
          <w:noProof/>
          <w:szCs w:val="24"/>
          <w:lang w:eastAsia="en-US"/>
        </w:rPr>
        <w:t>75</w:t>
      </w:r>
      <w:r w:rsidRPr="00EA0DC7">
        <w:rPr>
          <w:rFonts w:eastAsia="Calibri" w:cs="Arial"/>
          <w:noProof/>
          <w:szCs w:val="24"/>
          <w:lang w:eastAsia="en-US"/>
        </w:rPr>
        <w:t>, 219–230.</w:t>
      </w:r>
    </w:p>
    <w:p w14:paraId="63179BBB" w14:textId="77777777" w:rsidR="0065163F" w:rsidRPr="00EA0DC7" w:rsidRDefault="0065163F">
      <w:pPr>
        <w:widowControl w:val="0"/>
        <w:spacing w:after="160"/>
        <w:ind w:left="709" w:hanging="709"/>
        <w:rPr>
          <w:rFonts w:cs="Arial"/>
          <w:bCs/>
          <w:szCs w:val="24"/>
        </w:rPr>
      </w:pPr>
      <w:r w:rsidRPr="00EA0DC7">
        <w:rPr>
          <w:rFonts w:cs="Arial"/>
          <w:bCs/>
          <w:szCs w:val="24"/>
          <w:lang w:val="nl-NL"/>
        </w:rPr>
        <w:t xml:space="preserve">Cuijpers, P., van Straten, A., Andersson, G., &amp; van Oppen, P. (2008). </w:t>
      </w:r>
      <w:r w:rsidRPr="00EA0DC7">
        <w:rPr>
          <w:rFonts w:cs="Arial"/>
          <w:bCs/>
          <w:szCs w:val="24"/>
        </w:rPr>
        <w:t xml:space="preserve">Psychotherapy for depression in adults: A meta-analysis of comparative outcome studies. </w:t>
      </w:r>
      <w:r w:rsidRPr="00EA0DC7">
        <w:rPr>
          <w:rFonts w:cs="Arial"/>
          <w:bCs/>
          <w:i/>
          <w:szCs w:val="24"/>
        </w:rPr>
        <w:t>Journal of Consulting and Clinical Psychology, 76</w:t>
      </w:r>
      <w:r w:rsidRPr="00EA0DC7">
        <w:rPr>
          <w:rFonts w:cs="Arial"/>
          <w:bCs/>
          <w:szCs w:val="24"/>
        </w:rPr>
        <w:t>, 909-922.</w:t>
      </w:r>
    </w:p>
    <w:p w14:paraId="1BBE35F8" w14:textId="77777777" w:rsidR="0065163F" w:rsidRPr="00EA0DC7" w:rsidRDefault="0065163F">
      <w:pPr>
        <w:widowControl w:val="0"/>
        <w:spacing w:after="160"/>
        <w:ind w:left="709" w:hanging="709"/>
        <w:rPr>
          <w:rFonts w:cs="Arial"/>
          <w:bCs/>
          <w:szCs w:val="24"/>
        </w:rPr>
      </w:pPr>
      <w:r w:rsidRPr="00EA0DC7">
        <w:rPr>
          <w:rFonts w:cs="Arial"/>
          <w:bCs/>
          <w:szCs w:val="24"/>
        </w:rPr>
        <w:t xml:space="preserve">Cuijpers, P., van Straten, A., Bohlmeijer, E., Hollon, S. D., &amp; Andersson, G. (2010). The effects of psychotherapy for adult depression are overestimated: a meta-analysis of study quality and effect size. </w:t>
      </w:r>
      <w:r w:rsidRPr="00EA0DC7">
        <w:rPr>
          <w:rFonts w:cs="Arial"/>
          <w:bCs/>
          <w:i/>
          <w:szCs w:val="24"/>
        </w:rPr>
        <w:t>Psychological Medicine, 40,</w:t>
      </w:r>
      <w:r w:rsidRPr="00EA0DC7">
        <w:rPr>
          <w:rFonts w:cs="Arial"/>
          <w:bCs/>
          <w:szCs w:val="24"/>
        </w:rPr>
        <w:t xml:space="preserve"> 211-223.</w:t>
      </w:r>
    </w:p>
    <w:p w14:paraId="6B29272F" w14:textId="2055A382" w:rsidR="0065163F" w:rsidRPr="00EA0DC7" w:rsidRDefault="0065163F">
      <w:pPr>
        <w:widowControl w:val="0"/>
        <w:spacing w:after="160"/>
        <w:ind w:left="709" w:hanging="709"/>
        <w:rPr>
          <w:rFonts w:cs="Arial"/>
          <w:bCs/>
          <w:szCs w:val="24"/>
        </w:rPr>
      </w:pPr>
      <w:r w:rsidRPr="00EA0DC7">
        <w:rPr>
          <w:rFonts w:cs="Arial"/>
          <w:bCs/>
          <w:szCs w:val="24"/>
        </w:rPr>
        <w:t xml:space="preserve">Cuijpers, P., van Straten, A., Smit, F., &amp; Andersson, G. (2009). Is psychotherapy for depression equally effective in younger and older </w:t>
      </w:r>
      <w:r w:rsidRPr="00EA0DC7">
        <w:rPr>
          <w:rFonts w:cs="Arial"/>
          <w:bCs/>
          <w:szCs w:val="24"/>
        </w:rPr>
        <w:lastRenderedPageBreak/>
        <w:t xml:space="preserve">adults? A meta-regression analysis. </w:t>
      </w:r>
      <w:r w:rsidRPr="00EA0DC7">
        <w:rPr>
          <w:rFonts w:cs="Arial"/>
          <w:bCs/>
          <w:i/>
          <w:szCs w:val="24"/>
        </w:rPr>
        <w:t>International Psychogeriatrics, 21,</w:t>
      </w:r>
      <w:r w:rsidRPr="00EA0DC7">
        <w:rPr>
          <w:rFonts w:cs="Arial"/>
          <w:bCs/>
          <w:szCs w:val="24"/>
        </w:rPr>
        <w:t xml:space="preserve"> 16-24.</w:t>
      </w:r>
    </w:p>
    <w:p w14:paraId="106E797D" w14:textId="09AC33F4" w:rsidR="00CF62D1" w:rsidRPr="00EA0DC7" w:rsidRDefault="00CF62D1" w:rsidP="00F821B4">
      <w:pPr>
        <w:widowControl w:val="0"/>
        <w:tabs>
          <w:tab w:val="left" w:pos="6195"/>
        </w:tabs>
        <w:spacing w:after="160"/>
        <w:ind w:left="709" w:hanging="709"/>
        <w:rPr>
          <w:rFonts w:cs="Arial"/>
          <w:szCs w:val="24"/>
          <w:shd w:val="clear" w:color="auto" w:fill="FFFFFF"/>
        </w:rPr>
      </w:pPr>
      <w:r w:rsidRPr="00EA0DC7">
        <w:rPr>
          <w:rFonts w:cs="Arial"/>
          <w:szCs w:val="24"/>
          <w:shd w:val="clear" w:color="auto" w:fill="FFFFFF"/>
        </w:rPr>
        <w:t xml:space="preserve">Cuijpers, P., Weitz, E., Cristea, I. A., &amp; Twisk, J. (2017). Pre-post effect sizes should be avoided in meta-analyses. </w:t>
      </w:r>
      <w:r w:rsidRPr="00EA0DC7">
        <w:rPr>
          <w:rFonts w:cs="Arial"/>
          <w:i/>
          <w:szCs w:val="24"/>
          <w:shd w:val="clear" w:color="auto" w:fill="FFFFFF"/>
        </w:rPr>
        <w:t>Epidemiology and Psychiatric Sciences, 26</w:t>
      </w:r>
      <w:r w:rsidRPr="00EA0DC7">
        <w:rPr>
          <w:rFonts w:cs="Arial"/>
          <w:szCs w:val="24"/>
          <w:shd w:val="clear" w:color="auto" w:fill="FFFFFF"/>
        </w:rPr>
        <w:t>, 364-368.</w:t>
      </w:r>
    </w:p>
    <w:p w14:paraId="24D129D7" w14:textId="77777777" w:rsidR="0065163F" w:rsidRPr="00EA0DC7" w:rsidRDefault="0065163F">
      <w:pPr>
        <w:widowControl w:val="0"/>
        <w:spacing w:after="160"/>
        <w:ind w:left="709" w:hanging="709"/>
        <w:rPr>
          <w:rFonts w:cs="Arial"/>
          <w:bCs/>
          <w:szCs w:val="24"/>
        </w:rPr>
      </w:pPr>
      <w:r w:rsidRPr="00EA0DC7">
        <w:rPr>
          <w:rFonts w:cs="Arial"/>
          <w:bCs/>
          <w:szCs w:val="24"/>
        </w:rPr>
        <w:t xml:space="preserve">Cuijpers, P., Weitz, E., Twisk, J., Kuehner, C., Cristea, I., David, D., … Hollon, S. D. (2014). Gender as predictor and moderator of outcome in cognitive behavior therapy and pharmacotherapy for adult depression: An “Individual patient data” meta-analysis. </w:t>
      </w:r>
      <w:r w:rsidRPr="00EA0DC7">
        <w:rPr>
          <w:rFonts w:cs="Arial"/>
          <w:bCs/>
          <w:i/>
          <w:szCs w:val="24"/>
        </w:rPr>
        <w:t>Depression and Anxiety, 31,</w:t>
      </w:r>
      <w:r w:rsidRPr="00EA0DC7">
        <w:rPr>
          <w:rFonts w:cs="Arial"/>
          <w:bCs/>
          <w:szCs w:val="24"/>
        </w:rPr>
        <w:t xml:space="preserve"> 941-951.</w:t>
      </w:r>
    </w:p>
    <w:p w14:paraId="073EE903" w14:textId="77777777" w:rsidR="0065163F" w:rsidRPr="00EA0DC7" w:rsidRDefault="0065163F">
      <w:pPr>
        <w:widowControl w:val="0"/>
        <w:spacing w:after="160"/>
        <w:ind w:left="709" w:hanging="709"/>
        <w:rPr>
          <w:rFonts w:cs="Arial"/>
          <w:bCs/>
          <w:szCs w:val="24"/>
        </w:rPr>
      </w:pPr>
      <w:r w:rsidRPr="00EA0DC7">
        <w:rPr>
          <w:rFonts w:cs="Arial"/>
          <w:bCs/>
          <w:szCs w:val="24"/>
          <w:lang w:val="sv-SE"/>
        </w:rPr>
        <w:t xml:space="preserve">Davidson, R. T., Miller, R. D., Turnbull, C. D., &amp; Sullivan, J. L. (1982). </w:t>
      </w:r>
      <w:r w:rsidRPr="00EA0DC7">
        <w:rPr>
          <w:rFonts w:cs="Arial"/>
          <w:bCs/>
          <w:szCs w:val="24"/>
        </w:rPr>
        <w:t xml:space="preserve">Atypical depression. </w:t>
      </w:r>
      <w:r w:rsidRPr="00EA0DC7">
        <w:rPr>
          <w:rFonts w:cs="Arial"/>
          <w:bCs/>
          <w:i/>
          <w:szCs w:val="24"/>
        </w:rPr>
        <w:t>Archives of General Psychiatry, 39,</w:t>
      </w:r>
      <w:r w:rsidRPr="00EA0DC7">
        <w:rPr>
          <w:rFonts w:cs="Arial"/>
          <w:bCs/>
          <w:szCs w:val="24"/>
        </w:rPr>
        <w:t xml:space="preserve"> 527-534.</w:t>
      </w:r>
    </w:p>
    <w:p w14:paraId="137DCBA5" w14:textId="3E3C2624" w:rsidR="0065163F" w:rsidRPr="00EA0DC7" w:rsidRDefault="0065163F">
      <w:pPr>
        <w:widowControl w:val="0"/>
        <w:spacing w:after="160"/>
        <w:ind w:left="709" w:hanging="709"/>
        <w:rPr>
          <w:rFonts w:cs="Arial"/>
          <w:noProof/>
        </w:rPr>
      </w:pPr>
      <w:r w:rsidRPr="00EA0DC7">
        <w:rPr>
          <w:rFonts w:cs="Arial"/>
          <w:noProof/>
        </w:rPr>
        <w:t>Deacon, B. J., Farrell, N. R., Kemp, J. J., Dixon, L. J., Sy, J. T., Zhang, A. R., &amp; McGrath, P. B. (2013). Assessing therapist reservations about exposure therapy for anxiety disorders: The Therapist Beliefs a</w:t>
      </w:r>
      <w:r w:rsidR="00F821B4" w:rsidRPr="00EA0DC7">
        <w:rPr>
          <w:rFonts w:cs="Arial"/>
          <w:noProof/>
        </w:rPr>
        <w:t>bout</w:t>
      </w:r>
      <w:r w:rsidRPr="00EA0DC7">
        <w:rPr>
          <w:rFonts w:cs="Arial"/>
          <w:noProof/>
        </w:rPr>
        <w:t xml:space="preserve"> Exposure Scale. </w:t>
      </w:r>
      <w:r w:rsidRPr="00EA0DC7">
        <w:rPr>
          <w:rFonts w:cs="Arial"/>
          <w:i/>
          <w:noProof/>
        </w:rPr>
        <w:t>Journal of Anxiety Disorders, 27</w:t>
      </w:r>
      <w:r w:rsidRPr="00EA0DC7">
        <w:rPr>
          <w:rFonts w:cs="Arial"/>
          <w:noProof/>
        </w:rPr>
        <w:t>, 772-780.</w:t>
      </w:r>
    </w:p>
    <w:p w14:paraId="5BFA2B38" w14:textId="0BB3E888"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Delaney, D. J. (1972). A behavioral model for the practicum supervision of counselor candidates.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12</w:t>
      </w:r>
      <w:r w:rsidRPr="00EA0DC7">
        <w:rPr>
          <w:rFonts w:eastAsia="Times New Roman" w:cs="Arial"/>
          <w:noProof/>
          <w:szCs w:val="24"/>
        </w:rPr>
        <w:t>, 46–50.</w:t>
      </w:r>
    </w:p>
    <w:p w14:paraId="0FEC6640" w14:textId="364D3EB6" w:rsidR="00CF62D1" w:rsidRPr="00EA0DC7" w:rsidRDefault="00CF62D1" w:rsidP="00F821B4">
      <w:pPr>
        <w:widowControl w:val="0"/>
        <w:tabs>
          <w:tab w:val="left" w:pos="6195"/>
        </w:tabs>
        <w:spacing w:after="160"/>
        <w:ind w:left="709" w:hanging="709"/>
        <w:rPr>
          <w:rFonts w:cs="Arial"/>
          <w:szCs w:val="24"/>
          <w:shd w:val="clear" w:color="auto" w:fill="FFFFFF"/>
        </w:rPr>
      </w:pPr>
      <w:r w:rsidRPr="00EA0DC7">
        <w:rPr>
          <w:rFonts w:cs="Arial"/>
          <w:szCs w:val="24"/>
          <w:shd w:val="clear" w:color="auto" w:fill="FFFFFF"/>
        </w:rPr>
        <w:t xml:space="preserve">Delgadillo, J., Saxon, D., &amp; Barkham, M. (2018). Associations between therapists' occupational burnout and their patients' depression and anxiety treatment outcomes. </w:t>
      </w:r>
      <w:r w:rsidRPr="00EA0DC7">
        <w:rPr>
          <w:rFonts w:cs="Arial"/>
          <w:i/>
          <w:szCs w:val="24"/>
          <w:shd w:val="clear" w:color="auto" w:fill="FFFFFF"/>
        </w:rPr>
        <w:t>Depression and Anxiety, 35</w:t>
      </w:r>
      <w:r w:rsidRPr="00EA0DC7">
        <w:rPr>
          <w:rFonts w:cs="Arial"/>
          <w:szCs w:val="24"/>
          <w:shd w:val="clear" w:color="auto" w:fill="FFFFFF"/>
        </w:rPr>
        <w:t>, 844-850.</w:t>
      </w:r>
    </w:p>
    <w:p w14:paraId="2758D89D" w14:textId="77777777" w:rsidR="0065163F" w:rsidRPr="00EA0DC7" w:rsidRDefault="0065163F">
      <w:pPr>
        <w:widowControl w:val="0"/>
        <w:spacing w:after="160"/>
        <w:ind w:left="709" w:hanging="709"/>
        <w:rPr>
          <w:rFonts w:cs="Arial"/>
          <w:bCs/>
          <w:noProof/>
        </w:rPr>
      </w:pPr>
      <w:r w:rsidRPr="00EA0DC7">
        <w:rPr>
          <w:rFonts w:cs="Arial"/>
          <w:bCs/>
          <w:noProof/>
        </w:rPr>
        <w:t xml:space="preserve">Dennhag, I., Gibbons, M. B. C., Barber, J. P., Gallop, R., &amp; Crits-Christoph, P. </w:t>
      </w:r>
      <w:r w:rsidRPr="00EA0DC7">
        <w:rPr>
          <w:rFonts w:cs="Arial"/>
          <w:bCs/>
          <w:noProof/>
        </w:rPr>
        <w:lastRenderedPageBreak/>
        <w:t xml:space="preserve">(2012). Do supervisors and independent judges agree on evaluations of therapist adherence and competence in the treatment of cocaine dependence? </w:t>
      </w:r>
      <w:r w:rsidRPr="00EA0DC7">
        <w:rPr>
          <w:rFonts w:cs="Arial"/>
          <w:bCs/>
          <w:i/>
          <w:noProof/>
        </w:rPr>
        <w:t>Psychotherapy Research, 22</w:t>
      </w:r>
      <w:r w:rsidRPr="00EA0DC7">
        <w:rPr>
          <w:rFonts w:cs="Arial"/>
          <w:bCs/>
          <w:noProof/>
        </w:rPr>
        <w:t xml:space="preserve">, 720-730. </w:t>
      </w:r>
    </w:p>
    <w:p w14:paraId="167ACDA3" w14:textId="16908084" w:rsidR="0065163F" w:rsidRPr="00EA0DC7" w:rsidRDefault="0065163F">
      <w:pPr>
        <w:widowControl w:val="0"/>
        <w:spacing w:after="160"/>
        <w:ind w:left="709" w:hanging="709"/>
        <w:rPr>
          <w:rFonts w:cs="Arial"/>
          <w:bCs/>
          <w:szCs w:val="24"/>
        </w:rPr>
      </w:pPr>
      <w:r w:rsidRPr="00EA0DC7">
        <w:rPr>
          <w:rFonts w:cs="Arial"/>
          <w:bCs/>
          <w:szCs w:val="24"/>
          <w:lang w:val="de-DE"/>
        </w:rPr>
        <w:t xml:space="preserve">DeRubeis, R. J., </w:t>
      </w:r>
      <w:r w:rsidR="00CD1244">
        <w:rPr>
          <w:rFonts w:cs="Arial"/>
          <w:bCs/>
          <w:szCs w:val="24"/>
          <w:lang w:val="de-DE"/>
        </w:rPr>
        <w:t xml:space="preserve">&amp; </w:t>
      </w:r>
      <w:r w:rsidRPr="00EA0DC7">
        <w:rPr>
          <w:rFonts w:cs="Arial"/>
          <w:bCs/>
          <w:szCs w:val="24"/>
          <w:lang w:val="de-DE"/>
        </w:rPr>
        <w:t xml:space="preserve">Feeley, M. (1990). </w:t>
      </w:r>
      <w:r w:rsidRPr="00EA0DC7">
        <w:rPr>
          <w:rFonts w:cs="Arial"/>
          <w:bCs/>
          <w:szCs w:val="24"/>
        </w:rPr>
        <w:t xml:space="preserve">Determinants of change in cognitive therapy for depression. </w:t>
      </w:r>
      <w:r w:rsidRPr="00EA0DC7">
        <w:rPr>
          <w:rFonts w:cs="Arial"/>
          <w:bCs/>
          <w:i/>
          <w:szCs w:val="24"/>
        </w:rPr>
        <w:t>Cognitive Therapy and Research, 14,</w:t>
      </w:r>
      <w:r w:rsidRPr="00EA0DC7">
        <w:rPr>
          <w:rFonts w:cs="Arial"/>
          <w:bCs/>
          <w:szCs w:val="24"/>
        </w:rPr>
        <w:t xml:space="preserve"> 469-482.</w:t>
      </w:r>
    </w:p>
    <w:p w14:paraId="06C6BFC6" w14:textId="4AB773FE" w:rsidR="000D3166" w:rsidRPr="00EA0DC7" w:rsidRDefault="000D3166" w:rsidP="00F821B4">
      <w:pPr>
        <w:widowControl w:val="0"/>
        <w:ind w:left="709" w:hanging="709"/>
      </w:pPr>
      <w:r w:rsidRPr="00EA0DC7">
        <w:t xml:space="preserve">Detweiler, J. B., &amp; Whisman, M. A. (2006). The role of homework assignments in cognitive therapy for depression: Potential methods for enhancing adherence. </w:t>
      </w:r>
      <w:r w:rsidRPr="00EA0DC7">
        <w:rPr>
          <w:i/>
        </w:rPr>
        <w:t xml:space="preserve">Clinical Psychology: Science and Practice, 6, </w:t>
      </w:r>
      <w:r w:rsidRPr="00EA0DC7">
        <w:t>267-282.</w:t>
      </w:r>
    </w:p>
    <w:p w14:paraId="002FAE73" w14:textId="2B419AF4" w:rsidR="0065163F" w:rsidRPr="00EA0DC7" w:rsidRDefault="0065163F">
      <w:pPr>
        <w:widowControl w:val="0"/>
        <w:spacing w:after="160"/>
        <w:ind w:left="709" w:hanging="709"/>
        <w:rPr>
          <w:rFonts w:cs="Arial"/>
          <w:bCs/>
          <w:szCs w:val="24"/>
        </w:rPr>
      </w:pPr>
      <w:r w:rsidRPr="00EA0DC7">
        <w:rPr>
          <w:rFonts w:cs="Arial"/>
          <w:bCs/>
          <w:szCs w:val="24"/>
          <w:lang w:val="sv-SE"/>
        </w:rPr>
        <w:t xml:space="preserve">Diguer, L., Barber, J., &amp; Luborsky, L. (1993). </w:t>
      </w:r>
      <w:r w:rsidRPr="00EA0DC7">
        <w:rPr>
          <w:rFonts w:cs="Arial"/>
          <w:bCs/>
          <w:szCs w:val="24"/>
        </w:rPr>
        <w:t xml:space="preserve">Three concomitants: personality disorders, psychiatric severity, and outcome of dynamic psychotherapy of major depression. </w:t>
      </w:r>
      <w:r w:rsidRPr="00EA0DC7">
        <w:rPr>
          <w:rFonts w:cs="Arial"/>
          <w:bCs/>
          <w:i/>
          <w:szCs w:val="24"/>
        </w:rPr>
        <w:t>American Journal of Psychiatry, 150,</w:t>
      </w:r>
      <w:r w:rsidRPr="00EA0DC7">
        <w:rPr>
          <w:rFonts w:cs="Arial"/>
          <w:bCs/>
          <w:szCs w:val="24"/>
        </w:rPr>
        <w:t xml:space="preserve"> 1246-1248.</w:t>
      </w:r>
    </w:p>
    <w:p w14:paraId="0EE25D88" w14:textId="1F0976FF" w:rsidR="000D3166" w:rsidRPr="00EA0DC7" w:rsidRDefault="000D3166" w:rsidP="00F821B4">
      <w:pPr>
        <w:widowControl w:val="0"/>
        <w:ind w:left="709" w:hanging="709"/>
        <w:rPr>
          <w:rFonts w:cs="Arial"/>
        </w:rPr>
      </w:pPr>
      <w:r w:rsidRPr="00EA0DC7">
        <w:rPr>
          <w:rFonts w:eastAsia="Times New Roman" w:cs="Arial"/>
          <w:szCs w:val="24"/>
        </w:rPr>
        <w:t xml:space="preserve">Dimidjian, S., Hollon, S. D., Dobson, K. S., Schmaling, K. B., Kohlenberg, R. J., Addis, M. E., … Jacobson, N. S. (2006). </w:t>
      </w:r>
      <w:r w:rsidRPr="00EA0DC7">
        <w:rPr>
          <w:rFonts w:cs="Arial"/>
        </w:rPr>
        <w:t xml:space="preserve">Randomized trial of behavioral activation, cognitive therapy, and antidepressant medication in the acute treatment of adults with major depression. </w:t>
      </w:r>
      <w:r w:rsidRPr="00EA0DC7">
        <w:rPr>
          <w:rFonts w:cs="Arial"/>
          <w:i/>
        </w:rPr>
        <w:t xml:space="preserve">Journal of Consulting and Clinical Psychology, 74, </w:t>
      </w:r>
      <w:r w:rsidRPr="00EA0DC7">
        <w:rPr>
          <w:rFonts w:cs="Arial"/>
        </w:rPr>
        <w:t>658-670.</w:t>
      </w:r>
    </w:p>
    <w:p w14:paraId="40442926"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Dodenhoff, J. T. (1981). Interpersonal attraction and direct-indirect supervisor influence as predictors of counselor trainee effectiveness.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28</w:t>
      </w:r>
      <w:r w:rsidRPr="00EA0DC7">
        <w:rPr>
          <w:rFonts w:eastAsia="Calibri" w:cs="Arial"/>
          <w:noProof/>
          <w:szCs w:val="24"/>
          <w:lang w:eastAsia="en-US"/>
        </w:rPr>
        <w:t>, 47–52.</w:t>
      </w:r>
    </w:p>
    <w:p w14:paraId="11EB7991" w14:textId="43CE5241"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Downs, S. H., &amp; Black, N. (1998). The feasibility of creating a checklist for the assessment of the methodological quality both of randomised and non-randomised studies of health care interventions. </w:t>
      </w:r>
      <w:r w:rsidRPr="00EA0DC7">
        <w:rPr>
          <w:rFonts w:eastAsia="Calibri" w:cs="Arial"/>
          <w:i/>
          <w:iCs/>
          <w:noProof/>
          <w:szCs w:val="24"/>
          <w:lang w:eastAsia="en-US"/>
        </w:rPr>
        <w:t>Journal of Epidemiology &amp; Community Health</w:t>
      </w:r>
      <w:r w:rsidRPr="00EA0DC7">
        <w:rPr>
          <w:rFonts w:eastAsia="Calibri" w:cs="Arial"/>
          <w:noProof/>
          <w:szCs w:val="24"/>
          <w:lang w:eastAsia="en-US"/>
        </w:rPr>
        <w:t xml:space="preserve">, </w:t>
      </w:r>
      <w:r w:rsidRPr="00EA0DC7">
        <w:rPr>
          <w:rFonts w:eastAsia="Calibri" w:cs="Arial"/>
          <w:i/>
          <w:iCs/>
          <w:noProof/>
          <w:szCs w:val="24"/>
          <w:lang w:eastAsia="en-US"/>
        </w:rPr>
        <w:t>52</w:t>
      </w:r>
      <w:r w:rsidRPr="00EA0DC7">
        <w:rPr>
          <w:rFonts w:eastAsia="Calibri" w:cs="Arial"/>
          <w:noProof/>
          <w:szCs w:val="24"/>
          <w:lang w:eastAsia="en-US"/>
        </w:rPr>
        <w:t>, 377–384.</w:t>
      </w:r>
    </w:p>
    <w:p w14:paraId="5D366A71" w14:textId="187FD7C6" w:rsidR="00CF62D1" w:rsidRPr="00EA0DC7" w:rsidRDefault="00CF62D1">
      <w:pPr>
        <w:widowControl w:val="0"/>
        <w:spacing w:after="160"/>
        <w:ind w:left="709" w:hanging="709"/>
        <w:rPr>
          <w:rFonts w:cs="Arial"/>
          <w:szCs w:val="24"/>
          <w:shd w:val="clear" w:color="auto" w:fill="FFFFFF"/>
        </w:rPr>
      </w:pPr>
      <w:r w:rsidRPr="00EA0DC7">
        <w:rPr>
          <w:rFonts w:cs="Arial"/>
          <w:szCs w:val="24"/>
          <w:shd w:val="clear" w:color="auto" w:fill="FFFFFF"/>
        </w:rPr>
        <w:lastRenderedPageBreak/>
        <w:t xml:space="preserve">Duval, S., &amp; Tweedie, R. (2000). Trim and fill: A simple funnel-plot-based method of testing and adjusting for publication bias in meta-analysis. </w:t>
      </w:r>
      <w:r w:rsidRPr="00EA0DC7">
        <w:rPr>
          <w:rFonts w:cs="Arial"/>
          <w:i/>
          <w:szCs w:val="24"/>
          <w:shd w:val="clear" w:color="auto" w:fill="FFFFFF"/>
        </w:rPr>
        <w:t>Biometrics, 56</w:t>
      </w:r>
      <w:r w:rsidRPr="00EA0DC7">
        <w:rPr>
          <w:rFonts w:cs="Arial"/>
          <w:szCs w:val="24"/>
          <w:shd w:val="clear" w:color="auto" w:fill="FFFFFF"/>
        </w:rPr>
        <w:t>, 455-463.</w:t>
      </w:r>
    </w:p>
    <w:p w14:paraId="11A35A9D" w14:textId="2562206C"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Edwards, J. K., &amp; Chen, M. (1999). Strength-based supervision: Frameworks, current practice, and future directions. </w:t>
      </w:r>
      <w:r w:rsidRPr="00EA0DC7">
        <w:rPr>
          <w:rFonts w:eastAsia="Times New Roman" w:cs="Arial"/>
          <w:i/>
          <w:iCs/>
          <w:noProof/>
          <w:szCs w:val="24"/>
        </w:rPr>
        <w:t>The Family Journal: Counseling and Therapy for Couples and Families</w:t>
      </w:r>
      <w:r w:rsidRPr="00EA0DC7">
        <w:rPr>
          <w:rFonts w:eastAsia="Times New Roman" w:cs="Arial"/>
          <w:noProof/>
          <w:szCs w:val="24"/>
        </w:rPr>
        <w:t xml:space="preserve">, </w:t>
      </w:r>
      <w:r w:rsidRPr="00EA0DC7">
        <w:rPr>
          <w:rFonts w:eastAsia="Times New Roman" w:cs="Arial"/>
          <w:i/>
          <w:iCs/>
          <w:noProof/>
          <w:szCs w:val="24"/>
        </w:rPr>
        <w:t>7</w:t>
      </w:r>
      <w:r w:rsidRPr="00EA0DC7">
        <w:rPr>
          <w:rFonts w:eastAsia="Times New Roman" w:cs="Arial"/>
          <w:noProof/>
          <w:szCs w:val="24"/>
        </w:rPr>
        <w:t>, 349–357.</w:t>
      </w:r>
    </w:p>
    <w:p w14:paraId="40829AB0" w14:textId="108967EF" w:rsidR="001D7E1D" w:rsidRPr="00EA0DC7" w:rsidRDefault="001D7E1D">
      <w:pPr>
        <w:widowControl w:val="0"/>
        <w:spacing w:after="160"/>
        <w:ind w:left="709" w:hanging="709"/>
        <w:rPr>
          <w:rFonts w:eastAsia="Times New Roman" w:cs="Arial"/>
          <w:noProof/>
          <w:szCs w:val="24"/>
        </w:rPr>
      </w:pPr>
      <w:r w:rsidRPr="00EA0DC7">
        <w:rPr>
          <w:rFonts w:eastAsia="Times New Roman" w:cs="Arial"/>
          <w:noProof/>
          <w:szCs w:val="24"/>
        </w:rPr>
        <w:t>Eells, T.D., Lombart, K.G., Kendjelic, E. M., Turner, L. C., &amp; Lucas, C. P. (2005). The quality of psychotherapy case formulations: A comparison of expert, experienced, and novice cognitive-behavioral and psychodynamic therapists</w:t>
      </w:r>
      <w:r w:rsidR="00B33F1A" w:rsidRPr="00EA0DC7">
        <w:rPr>
          <w:rFonts w:eastAsia="Times New Roman" w:cs="Arial"/>
          <w:noProof/>
          <w:szCs w:val="24"/>
        </w:rPr>
        <w:t>.</w:t>
      </w:r>
      <w:r w:rsidR="00424FB6" w:rsidRPr="00EA0DC7">
        <w:rPr>
          <w:rFonts w:eastAsia="Times New Roman" w:cs="Arial"/>
          <w:noProof/>
          <w:szCs w:val="24"/>
        </w:rPr>
        <w:t xml:space="preserve"> </w:t>
      </w:r>
      <w:r w:rsidRPr="00EA0DC7">
        <w:rPr>
          <w:rFonts w:eastAsia="Times New Roman" w:cs="Arial"/>
          <w:i/>
          <w:noProof/>
          <w:szCs w:val="24"/>
        </w:rPr>
        <w:t>Journal of Consulting and Clinical Psychology, 73</w:t>
      </w:r>
      <w:r w:rsidRPr="00EA0DC7">
        <w:rPr>
          <w:rFonts w:eastAsia="Times New Roman" w:cs="Arial"/>
          <w:noProof/>
          <w:szCs w:val="24"/>
        </w:rPr>
        <w:t>, 579-789.</w:t>
      </w:r>
    </w:p>
    <w:p w14:paraId="42D7EF95"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Eisler, R. (1987). </w:t>
      </w:r>
      <w:r w:rsidRPr="00EA0DC7">
        <w:rPr>
          <w:rFonts w:eastAsia="Times New Roman" w:cs="Arial"/>
          <w:i/>
          <w:iCs/>
          <w:noProof/>
          <w:szCs w:val="24"/>
        </w:rPr>
        <w:t>The chalice and the blade</w:t>
      </w:r>
      <w:r w:rsidRPr="00EA0DC7">
        <w:rPr>
          <w:rFonts w:eastAsia="Times New Roman" w:cs="Arial"/>
          <w:noProof/>
          <w:szCs w:val="24"/>
        </w:rPr>
        <w:t>. New York, NY: Harper and Row.</w:t>
      </w:r>
    </w:p>
    <w:p w14:paraId="710F09F5"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Ekstein, R., &amp; Wallerstein, R. S. (1972). </w:t>
      </w:r>
      <w:r w:rsidRPr="00EA0DC7">
        <w:rPr>
          <w:rFonts w:eastAsia="Times New Roman" w:cs="Arial"/>
          <w:i/>
          <w:iCs/>
          <w:noProof/>
          <w:szCs w:val="24"/>
        </w:rPr>
        <w:t>The teaching and learning of psychotherapy</w:t>
      </w:r>
      <w:r w:rsidRPr="00EA0DC7">
        <w:rPr>
          <w:rFonts w:eastAsia="Times New Roman" w:cs="Arial"/>
          <w:noProof/>
          <w:szCs w:val="24"/>
        </w:rPr>
        <w:t xml:space="preserve"> (2nd ed.). New York, NY: International Universities Press.</w:t>
      </w:r>
    </w:p>
    <w:p w14:paraId="68FDEC3F"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Ellington, D. (n.d.). Basic skills observation. </w:t>
      </w:r>
      <w:r w:rsidRPr="00EA0DC7">
        <w:rPr>
          <w:rFonts w:eastAsia="Calibri" w:cs="Arial"/>
          <w:i/>
          <w:iCs/>
          <w:noProof/>
          <w:szCs w:val="24"/>
          <w:lang w:eastAsia="en-US"/>
        </w:rPr>
        <w:t>Unpublished Instrument</w:t>
      </w:r>
      <w:r w:rsidRPr="00EA0DC7">
        <w:rPr>
          <w:rFonts w:eastAsia="Calibri" w:cs="Arial"/>
          <w:noProof/>
          <w:szCs w:val="24"/>
          <w:lang w:eastAsia="en-US"/>
        </w:rPr>
        <w:t>.</w:t>
      </w:r>
    </w:p>
    <w:p w14:paraId="705D0A9F"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Ellis, M. (1991). Critical incidents in clinical supervision and in supervisor supervision: Assessing supervisory issues. </w:t>
      </w:r>
      <w:r w:rsidRPr="00EA0DC7">
        <w:rPr>
          <w:rFonts w:eastAsia="Times New Roman" w:cs="Arial"/>
          <w:i/>
          <w:iCs/>
          <w:noProof/>
          <w:szCs w:val="24"/>
        </w:rPr>
        <w:t>Training and Education in Professional Psychology</w:t>
      </w:r>
      <w:r w:rsidRPr="00EA0DC7">
        <w:rPr>
          <w:rFonts w:eastAsia="Times New Roman" w:cs="Arial"/>
          <w:noProof/>
          <w:szCs w:val="24"/>
        </w:rPr>
        <w:t xml:space="preserve">, </w:t>
      </w:r>
      <w:r w:rsidRPr="00EA0DC7">
        <w:rPr>
          <w:rFonts w:eastAsia="Times New Roman" w:cs="Arial"/>
          <w:i/>
          <w:iCs/>
          <w:noProof/>
          <w:szCs w:val="24"/>
        </w:rPr>
        <w:t>38</w:t>
      </w:r>
      <w:r w:rsidRPr="00EA0DC7">
        <w:rPr>
          <w:rFonts w:eastAsia="Times New Roman" w:cs="Arial"/>
          <w:noProof/>
          <w:szCs w:val="24"/>
        </w:rPr>
        <w:t xml:space="preserve">, 342–349. </w:t>
      </w:r>
    </w:p>
    <w:p w14:paraId="3C6D5885"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Ellis, M., &amp; Dell, D. M. (1986). Dimensionality of supervisor roles: Supervisors’ perceptions of supervision.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33</w:t>
      </w:r>
      <w:r w:rsidRPr="00EA0DC7">
        <w:rPr>
          <w:rFonts w:eastAsia="Times New Roman" w:cs="Arial"/>
          <w:noProof/>
          <w:szCs w:val="24"/>
        </w:rPr>
        <w:t xml:space="preserve">, 282–291. </w:t>
      </w:r>
    </w:p>
    <w:p w14:paraId="49E9A960"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Ellis, M., Dell, D. M., &amp; Good, G. E. (1988). Counselor trainees’ perceptions of </w:t>
      </w:r>
      <w:r w:rsidRPr="00EA0DC7">
        <w:rPr>
          <w:rFonts w:eastAsia="Times New Roman" w:cs="Arial"/>
          <w:noProof/>
          <w:szCs w:val="24"/>
        </w:rPr>
        <w:lastRenderedPageBreak/>
        <w:t xml:space="preserve">supervisor roles: Two studies testing the dimensionality of supervision.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35</w:t>
      </w:r>
      <w:r w:rsidRPr="00EA0DC7">
        <w:rPr>
          <w:rFonts w:eastAsia="Times New Roman" w:cs="Arial"/>
          <w:noProof/>
          <w:szCs w:val="24"/>
        </w:rPr>
        <w:t xml:space="preserve">, 315–324. </w:t>
      </w:r>
    </w:p>
    <w:p w14:paraId="2413B785" w14:textId="77777777" w:rsidR="0065163F" w:rsidRPr="00EA0DC7" w:rsidRDefault="0065163F">
      <w:pPr>
        <w:widowControl w:val="0"/>
        <w:spacing w:after="160"/>
        <w:ind w:left="709" w:hanging="709"/>
        <w:rPr>
          <w:rFonts w:cs="Arial"/>
          <w:bCs/>
          <w:noProof/>
        </w:rPr>
      </w:pPr>
      <w:r w:rsidRPr="00EA0DC7">
        <w:rPr>
          <w:rFonts w:cs="Arial"/>
          <w:bCs/>
          <w:noProof/>
        </w:rPr>
        <w:t xml:space="preserve">Ellis, M. V., &amp; Ladany, N. (1997). Interferences concerning supervisees and clients in clinical supervision: An integrative review. In C. E. Watkins (Ed.), </w:t>
      </w:r>
      <w:r w:rsidRPr="00EA0DC7">
        <w:rPr>
          <w:rFonts w:cs="Arial"/>
          <w:bCs/>
          <w:i/>
          <w:noProof/>
        </w:rPr>
        <w:t>Handbook of psychotherapy supervision</w:t>
      </w:r>
      <w:r w:rsidRPr="00EA0DC7">
        <w:rPr>
          <w:rFonts w:cs="Arial"/>
          <w:bCs/>
          <w:noProof/>
        </w:rPr>
        <w:t xml:space="preserve"> (pp. 447-507). New York, NY: Wiley.</w:t>
      </w:r>
    </w:p>
    <w:p w14:paraId="23743585" w14:textId="77777777" w:rsidR="0065163F" w:rsidRPr="00EA0DC7" w:rsidRDefault="0065163F">
      <w:pPr>
        <w:widowControl w:val="0"/>
        <w:spacing w:after="160"/>
        <w:ind w:left="709" w:hanging="709"/>
        <w:rPr>
          <w:rFonts w:cs="Arial"/>
          <w:bCs/>
          <w:noProof/>
        </w:rPr>
      </w:pPr>
      <w:r w:rsidRPr="00EA0DC7">
        <w:rPr>
          <w:rFonts w:eastAsia="Calibri" w:cs="Arial"/>
          <w:noProof/>
          <w:szCs w:val="24"/>
          <w:lang w:eastAsia="en-US"/>
        </w:rPr>
        <w:t xml:space="preserve">Ellis, M. V, Ladany, N., Schult, D., &amp; Krengel, M. (1996). Clinical supervision research from 1981 to 1993 : A methodological critique.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43</w:t>
      </w:r>
      <w:r w:rsidRPr="00EA0DC7">
        <w:rPr>
          <w:rFonts w:eastAsia="Calibri" w:cs="Arial"/>
          <w:noProof/>
          <w:szCs w:val="24"/>
          <w:lang w:eastAsia="en-US"/>
        </w:rPr>
        <w:t>, 35–50.</w:t>
      </w:r>
    </w:p>
    <w:p w14:paraId="3C35FEBE" w14:textId="77777777" w:rsidR="0065163F" w:rsidRPr="00EA0DC7" w:rsidRDefault="0065163F">
      <w:pPr>
        <w:widowControl w:val="0"/>
        <w:spacing w:after="160"/>
        <w:ind w:left="709" w:hanging="709"/>
        <w:rPr>
          <w:rFonts w:cs="Arial"/>
          <w:bCs/>
          <w:szCs w:val="24"/>
        </w:rPr>
      </w:pPr>
      <w:r w:rsidRPr="00EA0DC7">
        <w:rPr>
          <w:rFonts w:cs="Arial"/>
          <w:bCs/>
          <w:szCs w:val="24"/>
        </w:rPr>
        <w:t xml:space="preserve">Evans, M. D., Hollon, S. D., DeRubeis, R. J., Piasecki, J. M., Grove, W. M., Garvey, M. J., &amp; Tuason, V. B. (1992). Differential relapse following cognitive therapy and pharmacotherapy for depression. </w:t>
      </w:r>
      <w:r w:rsidRPr="00EA0DC7">
        <w:rPr>
          <w:rFonts w:cs="Arial"/>
          <w:bCs/>
          <w:i/>
          <w:szCs w:val="24"/>
        </w:rPr>
        <w:t>Archives of General Psychiatry, 49</w:t>
      </w:r>
      <w:r w:rsidRPr="00EA0DC7">
        <w:rPr>
          <w:rFonts w:cs="Arial"/>
          <w:bCs/>
          <w:szCs w:val="24"/>
        </w:rPr>
        <w:t>, 802-808.</w:t>
      </w:r>
    </w:p>
    <w:p w14:paraId="7E7A872D" w14:textId="77777777" w:rsidR="0065163F" w:rsidRPr="00EA0DC7" w:rsidRDefault="0065163F">
      <w:pPr>
        <w:widowControl w:val="0"/>
        <w:spacing w:after="160"/>
        <w:ind w:left="709" w:hanging="709"/>
        <w:rPr>
          <w:rFonts w:cs="Arial"/>
          <w:bCs/>
          <w:szCs w:val="24"/>
        </w:rPr>
      </w:pPr>
      <w:r w:rsidRPr="00EA0DC7">
        <w:rPr>
          <w:rFonts w:cs="Arial"/>
          <w:bCs/>
          <w:szCs w:val="24"/>
        </w:rPr>
        <w:t xml:space="preserve">Falkenström, F., Markowitz, J. C., Jonker, H., Philips, B., &amp; Holmqvist, R. (2013). Can psychotherapists function as their own controls? Meta-analysis of the “crossed therapist” design in comparative psychotherapy trials. </w:t>
      </w:r>
      <w:r w:rsidRPr="00EA0DC7">
        <w:rPr>
          <w:rFonts w:cs="Arial"/>
          <w:bCs/>
          <w:i/>
          <w:szCs w:val="24"/>
        </w:rPr>
        <w:t>Journal of Clinical Psychology, 74,</w:t>
      </w:r>
      <w:r w:rsidRPr="00EA0DC7">
        <w:rPr>
          <w:rFonts w:cs="Arial"/>
          <w:bCs/>
          <w:szCs w:val="24"/>
        </w:rPr>
        <w:t xml:space="preserve"> 482-491.</w:t>
      </w:r>
    </w:p>
    <w:p w14:paraId="290041AF" w14:textId="77777777" w:rsidR="000D3166" w:rsidRPr="00EA0DC7" w:rsidRDefault="0065163F" w:rsidP="00F821B4">
      <w:pPr>
        <w:widowControl w:val="0"/>
        <w:ind w:left="709" w:hanging="709"/>
        <w:rPr>
          <w:rFonts w:cs="Arial"/>
          <w:noProof/>
        </w:rPr>
      </w:pPr>
      <w:bookmarkStart w:id="204" w:name="_ENREF_8"/>
      <w:r w:rsidRPr="00EA0DC7">
        <w:rPr>
          <w:rFonts w:cs="Arial"/>
          <w:noProof/>
        </w:rPr>
        <w:t xml:space="preserve">Farrell, N. R., Deacon, B. J., Dixon, L. J., and Lickel, J. J. (2013). Theory-based training strategies for modifying practitioner concerns about exposure therapy. </w:t>
      </w:r>
      <w:r w:rsidRPr="00EA0DC7">
        <w:rPr>
          <w:rFonts w:cs="Arial"/>
          <w:i/>
          <w:noProof/>
        </w:rPr>
        <w:t>Journal of Anxiety Disorders, 27</w:t>
      </w:r>
      <w:r w:rsidRPr="00EA0DC7">
        <w:rPr>
          <w:rFonts w:cs="Arial"/>
          <w:noProof/>
        </w:rPr>
        <w:t xml:space="preserve">, 781-787. </w:t>
      </w:r>
      <w:bookmarkEnd w:id="204"/>
    </w:p>
    <w:p w14:paraId="6D348C00" w14:textId="0DF271B1" w:rsidR="000D3166" w:rsidRPr="00EA0DC7" w:rsidRDefault="000D3166" w:rsidP="00F821B4">
      <w:pPr>
        <w:widowControl w:val="0"/>
        <w:ind w:left="709" w:hanging="709"/>
        <w:rPr>
          <w:rFonts w:cs="Arial"/>
        </w:rPr>
      </w:pPr>
      <w:r w:rsidRPr="00EA0DC7">
        <w:rPr>
          <w:rFonts w:cs="Arial"/>
        </w:rPr>
        <w:t>Faul, F., Erdfelder, E., Lang, A.-G., &amp; Buchner, A. (2007). G*Power 3: A flexible statistical power analysis program for the social, behavioral, and biomedical sciences</w:t>
      </w:r>
      <w:r w:rsidRPr="00EA0DC7">
        <w:rPr>
          <w:rFonts w:cs="Arial"/>
          <w:i/>
        </w:rPr>
        <w:t>. Behavior Research Methods, 39,</w:t>
      </w:r>
      <w:r w:rsidRPr="00EA0DC7">
        <w:rPr>
          <w:rFonts w:cs="Arial"/>
        </w:rPr>
        <w:t xml:space="preserve"> 175-191.</w:t>
      </w:r>
    </w:p>
    <w:p w14:paraId="5BEB1D58" w14:textId="77777777"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lastRenderedPageBreak/>
        <w:t xml:space="preserve">Fenell, D. L., Hovestadt, A. J., &amp; Harvey, S. J. (1986). A comparison of delayed feedback and live supervision models of marriage and family therapist clinical training. </w:t>
      </w:r>
      <w:r w:rsidRPr="00EA0DC7">
        <w:rPr>
          <w:rFonts w:eastAsia="Calibri" w:cs="Arial"/>
          <w:i/>
          <w:iCs/>
          <w:noProof/>
          <w:szCs w:val="24"/>
          <w:lang w:eastAsia="en-US"/>
        </w:rPr>
        <w:t>Journal of Marital and Family Therapy</w:t>
      </w:r>
      <w:r w:rsidRPr="00EA0DC7">
        <w:rPr>
          <w:rFonts w:eastAsia="Calibri" w:cs="Arial"/>
          <w:noProof/>
          <w:szCs w:val="24"/>
          <w:lang w:eastAsia="en-US"/>
        </w:rPr>
        <w:t xml:space="preserve">, </w:t>
      </w:r>
      <w:r w:rsidRPr="00EA0DC7">
        <w:rPr>
          <w:rFonts w:eastAsia="Calibri" w:cs="Arial"/>
          <w:i/>
          <w:iCs/>
          <w:noProof/>
          <w:szCs w:val="24"/>
          <w:lang w:eastAsia="en-US"/>
        </w:rPr>
        <w:t>12</w:t>
      </w:r>
      <w:r w:rsidRPr="00EA0DC7">
        <w:rPr>
          <w:rFonts w:eastAsia="Calibri" w:cs="Arial"/>
          <w:noProof/>
          <w:szCs w:val="24"/>
          <w:lang w:eastAsia="en-US"/>
        </w:rPr>
        <w:t>, 181–186.</w:t>
      </w:r>
    </w:p>
    <w:p w14:paraId="65D1AFCE" w14:textId="19A167AE" w:rsidR="0065163F" w:rsidRPr="00EA0DC7" w:rsidRDefault="0065163F">
      <w:pPr>
        <w:widowControl w:val="0"/>
        <w:spacing w:after="160"/>
        <w:ind w:left="709" w:hanging="709"/>
        <w:rPr>
          <w:rFonts w:cs="Arial"/>
          <w:bCs/>
          <w:szCs w:val="24"/>
        </w:rPr>
      </w:pPr>
      <w:r w:rsidRPr="00EA0DC7">
        <w:rPr>
          <w:rFonts w:cs="Arial"/>
          <w:bCs/>
          <w:szCs w:val="24"/>
        </w:rPr>
        <w:t>Fennell, M. V. J. (1989). Depression. In K. Hawton, P. M. Salkovskis, J. Kirk., &amp; D. M. Clark (Ed</w:t>
      </w:r>
      <w:r w:rsidR="00781C89" w:rsidRPr="00EA0DC7">
        <w:rPr>
          <w:rFonts w:cs="Arial"/>
          <w:bCs/>
          <w:szCs w:val="24"/>
        </w:rPr>
        <w:t>s</w:t>
      </w:r>
      <w:r w:rsidRPr="00EA0DC7">
        <w:rPr>
          <w:rFonts w:cs="Arial"/>
          <w:bCs/>
          <w:szCs w:val="24"/>
        </w:rPr>
        <w:t xml:space="preserve">.), </w:t>
      </w:r>
      <w:r w:rsidRPr="00EA0DC7">
        <w:rPr>
          <w:rFonts w:cs="Arial"/>
          <w:bCs/>
          <w:i/>
          <w:szCs w:val="24"/>
        </w:rPr>
        <w:t>Cognitive behaviour therapy for psychiatric problems: a practical guide.</w:t>
      </w:r>
      <w:r w:rsidRPr="00EA0DC7">
        <w:rPr>
          <w:rFonts w:cs="Arial"/>
          <w:bCs/>
          <w:szCs w:val="24"/>
        </w:rPr>
        <w:t xml:space="preserve"> (pp. 169-234). New York, NY: Oxford University Press. </w:t>
      </w:r>
    </w:p>
    <w:p w14:paraId="38524ED3" w14:textId="77777777" w:rsidR="0065163F" w:rsidRPr="00EA0DC7" w:rsidRDefault="0065163F">
      <w:pPr>
        <w:widowControl w:val="0"/>
        <w:spacing w:after="160"/>
        <w:ind w:left="709" w:hanging="709"/>
        <w:rPr>
          <w:rFonts w:cs="Arial"/>
          <w:bCs/>
          <w:szCs w:val="24"/>
        </w:rPr>
      </w:pPr>
      <w:r w:rsidRPr="00EA0DC7">
        <w:rPr>
          <w:rFonts w:cs="Arial"/>
          <w:bCs/>
          <w:szCs w:val="24"/>
        </w:rPr>
        <w:t xml:space="preserve">Fournier, J., DeRubeis, R. J., Hollon, S. D., Dimidjian, S., Amsterdam, J. D., Shelton, R. C., &amp; Fawcett, J. (2010). Antidepressant drug effects and depression severity: A patient-level meta-analysis. </w:t>
      </w:r>
      <w:r w:rsidRPr="00EA0DC7">
        <w:rPr>
          <w:rFonts w:cs="Arial"/>
          <w:bCs/>
          <w:i/>
          <w:szCs w:val="24"/>
        </w:rPr>
        <w:t>The Journal of the American Medical Association, 303,</w:t>
      </w:r>
      <w:r w:rsidRPr="00EA0DC7">
        <w:rPr>
          <w:rFonts w:cs="Arial"/>
          <w:bCs/>
          <w:szCs w:val="24"/>
        </w:rPr>
        <w:t xml:space="preserve"> 47-53.</w:t>
      </w:r>
    </w:p>
    <w:p w14:paraId="48A6B816" w14:textId="77777777" w:rsidR="0065163F" w:rsidRPr="00EA0DC7" w:rsidRDefault="0065163F">
      <w:pPr>
        <w:widowControl w:val="0"/>
        <w:spacing w:after="160"/>
        <w:ind w:left="709" w:hanging="709"/>
        <w:rPr>
          <w:rFonts w:cs="Arial"/>
          <w:bCs/>
          <w:szCs w:val="24"/>
          <w:lang w:val="de-DE"/>
        </w:rPr>
      </w:pPr>
      <w:r w:rsidRPr="00EA0DC7">
        <w:rPr>
          <w:rFonts w:cs="Arial"/>
          <w:bCs/>
          <w:szCs w:val="24"/>
        </w:rPr>
        <w:t xml:space="preserve">Franklin, M. E., Abramowitz, J. S., Furr, J. M., Kalsy, S., &amp; Riggs, D. S. (2003). A naturalistic examination of therapist experience and outcome of exposure and ritual prevention for OCD. </w:t>
      </w:r>
      <w:r w:rsidRPr="00EA0DC7">
        <w:rPr>
          <w:rFonts w:cs="Arial"/>
          <w:bCs/>
          <w:i/>
          <w:szCs w:val="24"/>
          <w:lang w:val="de-DE"/>
        </w:rPr>
        <w:t>Psychotherapy Research, 13,</w:t>
      </w:r>
      <w:r w:rsidRPr="00EA0DC7">
        <w:rPr>
          <w:rFonts w:cs="Arial"/>
          <w:bCs/>
          <w:szCs w:val="24"/>
          <w:lang w:val="de-DE"/>
        </w:rPr>
        <w:t xml:space="preserve"> 153-167.</w:t>
      </w:r>
    </w:p>
    <w:p w14:paraId="3EF1101D" w14:textId="77777777" w:rsidR="0065163F" w:rsidRPr="00EA0DC7" w:rsidRDefault="0065163F">
      <w:pPr>
        <w:widowControl w:val="0"/>
        <w:spacing w:after="160"/>
        <w:ind w:left="709" w:hanging="709"/>
        <w:rPr>
          <w:rFonts w:cs="Arial"/>
          <w:bCs/>
          <w:szCs w:val="24"/>
          <w:lang w:val="de-DE"/>
        </w:rPr>
      </w:pPr>
      <w:r w:rsidRPr="00EA0DC7">
        <w:rPr>
          <w:rFonts w:eastAsia="Times New Roman" w:cs="Arial"/>
          <w:noProof/>
          <w:szCs w:val="24"/>
        </w:rPr>
        <w:t xml:space="preserve">Frawley-O’Dea, M. G., &amp; Sarnat, J. E. (2001). </w:t>
      </w:r>
      <w:r w:rsidRPr="00EA0DC7">
        <w:rPr>
          <w:rFonts w:eastAsia="Times New Roman" w:cs="Arial"/>
          <w:i/>
          <w:iCs/>
          <w:noProof/>
          <w:szCs w:val="24"/>
        </w:rPr>
        <w:t>The supervisory relationship: A contemporary psychodynamic approach</w:t>
      </w:r>
      <w:r w:rsidRPr="00EA0DC7">
        <w:rPr>
          <w:rFonts w:eastAsia="Times New Roman" w:cs="Arial"/>
          <w:noProof/>
          <w:szCs w:val="24"/>
        </w:rPr>
        <w:t>. New York, NY: Guilford.</w:t>
      </w:r>
    </w:p>
    <w:p w14:paraId="4104067F" w14:textId="4746BDA3" w:rsidR="0065163F" w:rsidRPr="00EA0DC7" w:rsidRDefault="0065163F" w:rsidP="00F821B4">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Freeman, A., Pretzer, J., Fleming, B., &amp; Simon, K. M. (1990). </w:t>
      </w:r>
      <w:r w:rsidRPr="00EA0DC7">
        <w:rPr>
          <w:rFonts w:eastAsia="Calibri" w:cs="Arial"/>
          <w:i/>
          <w:iCs/>
          <w:noProof/>
          <w:szCs w:val="24"/>
          <w:lang w:eastAsia="en-US"/>
        </w:rPr>
        <w:t>Clinical applications of cognitive therapy</w:t>
      </w:r>
      <w:r w:rsidRPr="00EA0DC7">
        <w:rPr>
          <w:rFonts w:eastAsia="Calibri" w:cs="Arial"/>
          <w:noProof/>
          <w:szCs w:val="24"/>
          <w:lang w:eastAsia="en-US"/>
        </w:rPr>
        <w:t>. New York, NY: Plenum Press.</w:t>
      </w:r>
    </w:p>
    <w:p w14:paraId="7FE600D6" w14:textId="33E43A03" w:rsidR="00E275BB" w:rsidRPr="00EA0DC7" w:rsidRDefault="00E275BB" w:rsidP="00F821B4">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Freitas, G. (2002). The imapct of psychotherapy supervision: A critical examination of 2 decades of research. </w:t>
      </w:r>
      <w:r w:rsidRPr="00EA0DC7">
        <w:rPr>
          <w:rFonts w:eastAsia="Calibri" w:cs="Arial"/>
          <w:i/>
          <w:noProof/>
          <w:szCs w:val="24"/>
          <w:lang w:eastAsia="en-US"/>
        </w:rPr>
        <w:t>Psychotherapy: Theory, Research, Practice, Training, 39,</w:t>
      </w:r>
      <w:r w:rsidRPr="00EA0DC7">
        <w:rPr>
          <w:rFonts w:eastAsia="Calibri" w:cs="Arial"/>
          <w:noProof/>
          <w:szCs w:val="24"/>
          <w:lang w:eastAsia="en-US"/>
        </w:rPr>
        <w:t xml:space="preserve"> 354-367.</w:t>
      </w:r>
    </w:p>
    <w:p w14:paraId="55925CAE" w14:textId="0963C647" w:rsidR="00420D4F" w:rsidRPr="00EA0DC7" w:rsidRDefault="00420D4F" w:rsidP="00F821B4">
      <w:pPr>
        <w:widowControl w:val="0"/>
        <w:autoSpaceDE w:val="0"/>
        <w:autoSpaceDN w:val="0"/>
        <w:adjustRightInd w:val="0"/>
        <w:spacing w:after="160"/>
        <w:ind w:left="709" w:hanging="709"/>
        <w:rPr>
          <w:rFonts w:eastAsia="Calibri" w:cs="Arial"/>
          <w:noProof/>
          <w:szCs w:val="24"/>
          <w:lang w:eastAsia="en-US"/>
        </w:rPr>
      </w:pPr>
      <w:r w:rsidRPr="00EA0DC7">
        <w:t xml:space="preserve">Freud, S. (1917/2001). </w:t>
      </w:r>
      <w:r w:rsidRPr="009D2144">
        <w:rPr>
          <w:i/>
        </w:rPr>
        <w:t xml:space="preserve">Mourning and melancholia in the standard edition of </w:t>
      </w:r>
      <w:r w:rsidRPr="009D2144">
        <w:rPr>
          <w:i/>
        </w:rPr>
        <w:lastRenderedPageBreak/>
        <w:t>the complete psychological works of Sigmund Freud</w:t>
      </w:r>
      <w:r w:rsidRPr="00EA0DC7">
        <w:t xml:space="preserve"> (J. Strachey, Trans.). London, UK: The Hogarth Press.</w:t>
      </w:r>
    </w:p>
    <w:p w14:paraId="527A076F" w14:textId="77777777" w:rsidR="0065163F" w:rsidRPr="00EA0DC7" w:rsidRDefault="0065163F" w:rsidP="00F821B4">
      <w:pPr>
        <w:widowControl w:val="0"/>
        <w:autoSpaceDE w:val="0"/>
        <w:autoSpaceDN w:val="0"/>
        <w:adjustRightInd w:val="0"/>
        <w:spacing w:after="160"/>
        <w:ind w:left="709" w:hanging="709"/>
        <w:rPr>
          <w:rFonts w:eastAsia="Calibri" w:cs="Arial"/>
          <w:noProof/>
          <w:szCs w:val="24"/>
          <w:lang w:eastAsia="en-US"/>
        </w:rPr>
      </w:pPr>
      <w:r w:rsidRPr="00EA0DC7">
        <w:rPr>
          <w:rFonts w:eastAsia="Calibri" w:cs="Arial"/>
          <w:noProof/>
          <w:szCs w:val="24"/>
          <w:lang w:eastAsia="en-US"/>
        </w:rPr>
        <w:t xml:space="preserve">Friedlander, M. L., &amp; Snyder, J. (1983). Trainees’ expectations of the supervisory process: Testing a developmental model. </w:t>
      </w:r>
      <w:r w:rsidRPr="00EA0DC7">
        <w:rPr>
          <w:rFonts w:eastAsia="Calibri" w:cs="Arial"/>
          <w:i/>
          <w:iCs/>
          <w:noProof/>
          <w:szCs w:val="24"/>
          <w:lang w:eastAsia="en-US"/>
        </w:rPr>
        <w:t>Counselor Education and Supervision</w:t>
      </w:r>
      <w:r w:rsidRPr="00EA0DC7">
        <w:rPr>
          <w:rFonts w:eastAsia="Calibri" w:cs="Arial"/>
          <w:noProof/>
          <w:szCs w:val="24"/>
          <w:lang w:eastAsia="en-US"/>
        </w:rPr>
        <w:t xml:space="preserve">, </w:t>
      </w:r>
      <w:r w:rsidRPr="00EA0DC7">
        <w:rPr>
          <w:rFonts w:eastAsia="Calibri" w:cs="Arial"/>
          <w:i/>
          <w:iCs/>
          <w:noProof/>
          <w:szCs w:val="24"/>
          <w:lang w:eastAsia="en-US"/>
        </w:rPr>
        <w:t>22</w:t>
      </w:r>
      <w:r w:rsidRPr="00EA0DC7">
        <w:rPr>
          <w:rFonts w:eastAsia="Calibri" w:cs="Arial"/>
          <w:noProof/>
          <w:szCs w:val="24"/>
          <w:lang w:eastAsia="en-US"/>
        </w:rPr>
        <w:t>, 342–348.</w:t>
      </w:r>
    </w:p>
    <w:p w14:paraId="2E7C0A3D" w14:textId="77777777" w:rsidR="0065163F" w:rsidRPr="00EA0DC7" w:rsidRDefault="0065163F">
      <w:pPr>
        <w:widowControl w:val="0"/>
        <w:spacing w:after="160"/>
        <w:ind w:left="709" w:hanging="709"/>
        <w:rPr>
          <w:rFonts w:cs="Arial"/>
          <w:bCs/>
          <w:szCs w:val="24"/>
        </w:rPr>
      </w:pPr>
      <w:r w:rsidRPr="00EA0DC7">
        <w:rPr>
          <w:rFonts w:cs="Arial"/>
          <w:bCs/>
          <w:szCs w:val="24"/>
          <w:lang w:val="de-DE"/>
        </w:rPr>
        <w:t xml:space="preserve">Friedman, M. A., Detweiler-Bedell, J. B., Leventhal, H. E., Home, R., Keitner, G. I., &amp; Miller, I. W. (2004). </w:t>
      </w:r>
      <w:r w:rsidRPr="00EA0DC7">
        <w:rPr>
          <w:rFonts w:cs="Arial"/>
          <w:bCs/>
          <w:szCs w:val="24"/>
        </w:rPr>
        <w:t xml:space="preserve">Combined psychotherapy and pharmacotherapy for the treatment of major depressive disorder. </w:t>
      </w:r>
      <w:r w:rsidRPr="00EA0DC7">
        <w:rPr>
          <w:rFonts w:cs="Arial"/>
          <w:bCs/>
          <w:i/>
          <w:szCs w:val="24"/>
        </w:rPr>
        <w:t>Clinical Psychology: Science and Practice, 11,</w:t>
      </w:r>
      <w:r w:rsidRPr="00EA0DC7">
        <w:rPr>
          <w:rFonts w:cs="Arial"/>
          <w:bCs/>
          <w:szCs w:val="24"/>
        </w:rPr>
        <w:t xml:space="preserve"> 47-68.</w:t>
      </w:r>
    </w:p>
    <w:p w14:paraId="67A182A0"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Friedman, D., &amp; Kaslow, N. J. (1986). The development of professional identity in psychotherapists: Six stages in the supervision process. In F. W. Kaslow (Ed.), </w:t>
      </w:r>
      <w:r w:rsidRPr="00EA0DC7">
        <w:rPr>
          <w:rFonts w:eastAsia="Times New Roman" w:cs="Arial"/>
          <w:i/>
          <w:iCs/>
          <w:noProof/>
          <w:szCs w:val="24"/>
        </w:rPr>
        <w:t>Supervision and training: Models, dilemmas, and challenges</w:t>
      </w:r>
      <w:r w:rsidRPr="00EA0DC7">
        <w:rPr>
          <w:rFonts w:eastAsia="Times New Roman" w:cs="Arial"/>
          <w:noProof/>
          <w:szCs w:val="24"/>
        </w:rPr>
        <w:t xml:space="preserve"> (pp. 29–49). New York, NY: Haworth.</w:t>
      </w:r>
    </w:p>
    <w:p w14:paraId="3A1D245E" w14:textId="7EEB8D13" w:rsidR="0065163F" w:rsidRDefault="0065163F">
      <w:pPr>
        <w:widowControl w:val="0"/>
        <w:spacing w:after="160"/>
        <w:ind w:left="709" w:hanging="709"/>
        <w:rPr>
          <w:rStyle w:val="Hyperlink"/>
          <w:rFonts w:cs="Arial"/>
          <w:bCs/>
          <w:color w:val="auto"/>
          <w:szCs w:val="24"/>
          <w:u w:val="none"/>
        </w:rPr>
      </w:pPr>
      <w:r w:rsidRPr="00EA0DC7">
        <w:rPr>
          <w:rFonts w:cs="Arial"/>
          <w:lang w:val="de-DE"/>
        </w:rPr>
        <w:t xml:space="preserve">Fryers, T., Melzer, D., &amp; Jenkins, R. (2003). </w:t>
      </w:r>
      <w:r w:rsidRPr="00EA0DC7">
        <w:rPr>
          <w:rFonts w:cs="Arial"/>
        </w:rPr>
        <w:t xml:space="preserve">Social inequalities and the common mental disorders: A systematic review of the evidence. </w:t>
      </w:r>
      <w:r w:rsidRPr="00EA0DC7">
        <w:rPr>
          <w:rStyle w:val="Hyperlink"/>
          <w:rFonts w:cs="Arial"/>
          <w:bCs/>
          <w:i/>
          <w:color w:val="auto"/>
          <w:szCs w:val="24"/>
          <w:u w:val="none"/>
        </w:rPr>
        <w:t xml:space="preserve">Social Psychiatry and Psychiatric Epidemiology, 38, </w:t>
      </w:r>
      <w:r w:rsidRPr="00EA0DC7">
        <w:rPr>
          <w:rStyle w:val="Hyperlink"/>
          <w:rFonts w:cs="Arial"/>
          <w:bCs/>
          <w:color w:val="auto"/>
          <w:szCs w:val="24"/>
          <w:u w:val="none"/>
        </w:rPr>
        <w:t>229-237.</w:t>
      </w:r>
    </w:p>
    <w:p w14:paraId="2D90012C" w14:textId="3E0E3E37" w:rsidR="00BC6AF2" w:rsidRPr="00EA0DC7" w:rsidRDefault="00BC6AF2">
      <w:pPr>
        <w:widowControl w:val="0"/>
        <w:spacing w:after="160"/>
        <w:ind w:left="709" w:hanging="709"/>
        <w:rPr>
          <w:rStyle w:val="Hyperlink"/>
          <w:rFonts w:cs="Arial"/>
          <w:bCs/>
          <w:color w:val="auto"/>
          <w:szCs w:val="24"/>
          <w:u w:val="none"/>
        </w:rPr>
      </w:pPr>
      <w:r>
        <w:rPr>
          <w:rStyle w:val="Hyperlink"/>
          <w:rFonts w:cs="Arial"/>
          <w:bCs/>
          <w:color w:val="auto"/>
          <w:szCs w:val="24"/>
          <w:u w:val="none"/>
        </w:rPr>
        <w:t xml:space="preserve">Gamerman, V., </w:t>
      </w:r>
      <w:r>
        <w:t xml:space="preserve">Cai T., &amp; </w:t>
      </w:r>
      <w:r w:rsidRPr="00BC6AF2">
        <w:t>Elsäßer</w:t>
      </w:r>
      <w:r>
        <w:t xml:space="preserve">, A. (2018). </w:t>
      </w:r>
      <w:r w:rsidRPr="00BC6AF2">
        <w:t>Pragmatic randomized clinical trials: best practices and statistical guidance</w:t>
      </w:r>
      <w:r>
        <w:t xml:space="preserve">. </w:t>
      </w:r>
      <w:r w:rsidRPr="0055551C">
        <w:rPr>
          <w:i/>
        </w:rPr>
        <w:t>Health Services and Outcomes Research Methodology, 19</w:t>
      </w:r>
      <w:r>
        <w:t>, 23-35.</w:t>
      </w:r>
    </w:p>
    <w:p w14:paraId="0B0907BD" w14:textId="77777777"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Gibbons, C. J., Fournier, J. C., Stirman, S. W., DeRubeis, R. J., Crits-Christoph, P., &amp; Beck, A. T. (2010). The clinical effectiveness of cognitive therapy for depression in an outpatient clinic. </w:t>
      </w:r>
      <w:r w:rsidRPr="00EA0DC7">
        <w:rPr>
          <w:rStyle w:val="Hyperlink"/>
          <w:rFonts w:cs="Arial"/>
          <w:bCs/>
          <w:i/>
          <w:color w:val="auto"/>
          <w:szCs w:val="24"/>
          <w:u w:val="none"/>
        </w:rPr>
        <w:t>Journal of Affective Disorders, 125,</w:t>
      </w:r>
      <w:r w:rsidRPr="00EA0DC7">
        <w:rPr>
          <w:rStyle w:val="Hyperlink"/>
          <w:rFonts w:cs="Arial"/>
          <w:bCs/>
          <w:color w:val="auto"/>
          <w:szCs w:val="24"/>
          <w:u w:val="none"/>
        </w:rPr>
        <w:t xml:space="preserve"> 169-176.</w:t>
      </w:r>
    </w:p>
    <w:p w14:paraId="747A8C1D" w14:textId="2CA9C17D" w:rsidR="0065163F" w:rsidRPr="00EA0DC7" w:rsidRDefault="0065163F">
      <w:pPr>
        <w:widowControl w:val="0"/>
        <w:spacing w:after="160"/>
        <w:ind w:left="709" w:hanging="709"/>
        <w:rPr>
          <w:rFonts w:cs="Arial"/>
          <w:bCs/>
          <w:noProof/>
        </w:rPr>
      </w:pPr>
      <w:r w:rsidRPr="00EA0DC7">
        <w:rPr>
          <w:rFonts w:cs="Arial"/>
          <w:bCs/>
          <w:noProof/>
        </w:rPr>
        <w:lastRenderedPageBreak/>
        <w:t xml:space="preserve">Gibbons, C. R., Stirman, S. W., DeRubeis, R. J., Newman, C. F., &amp; Beck, A. T. (2013). Research setting versus clinic setting: Which produces better outcomes in cognitive therapy for depression? </w:t>
      </w:r>
      <w:r w:rsidRPr="00EA0DC7">
        <w:rPr>
          <w:rFonts w:cs="Arial"/>
          <w:bCs/>
          <w:i/>
          <w:noProof/>
        </w:rPr>
        <w:t xml:space="preserve">Cognitive Therapy </w:t>
      </w:r>
      <w:r w:rsidR="00781C89" w:rsidRPr="00EA0DC7">
        <w:rPr>
          <w:rFonts w:cs="Arial"/>
          <w:bCs/>
          <w:i/>
          <w:noProof/>
        </w:rPr>
        <w:t xml:space="preserve">and </w:t>
      </w:r>
      <w:r w:rsidRPr="00EA0DC7">
        <w:rPr>
          <w:rFonts w:cs="Arial"/>
          <w:bCs/>
          <w:i/>
          <w:noProof/>
        </w:rPr>
        <w:t>Research, 37</w:t>
      </w:r>
      <w:r w:rsidRPr="00EA0DC7">
        <w:rPr>
          <w:rFonts w:cs="Arial"/>
          <w:bCs/>
          <w:noProof/>
        </w:rPr>
        <w:t xml:space="preserve">, 605-612. </w:t>
      </w:r>
    </w:p>
    <w:p w14:paraId="1C5E260E" w14:textId="77777777" w:rsidR="0065163F" w:rsidRPr="00EA0DC7" w:rsidRDefault="0065163F">
      <w:pPr>
        <w:widowControl w:val="0"/>
        <w:spacing w:after="160"/>
        <w:ind w:left="709" w:hanging="709"/>
        <w:rPr>
          <w:rFonts w:cs="Arial"/>
          <w:bCs/>
          <w:noProof/>
        </w:rPr>
      </w:pPr>
      <w:r w:rsidRPr="00EA0DC7">
        <w:rPr>
          <w:rFonts w:eastAsia="Times New Roman" w:cs="Arial"/>
          <w:noProof/>
          <w:szCs w:val="24"/>
        </w:rPr>
        <w:t xml:space="preserve">Gilbert, M. C., &amp; Evans, K. (2000). </w:t>
      </w:r>
      <w:r w:rsidRPr="00EA0DC7">
        <w:rPr>
          <w:rFonts w:eastAsia="Times New Roman" w:cs="Arial"/>
          <w:i/>
          <w:iCs/>
          <w:noProof/>
          <w:szCs w:val="24"/>
        </w:rPr>
        <w:t>Psychotherapy supervision: An integrated relational approach to psychotherapy supervision</w:t>
      </w:r>
      <w:r w:rsidRPr="00EA0DC7">
        <w:rPr>
          <w:rFonts w:eastAsia="Times New Roman" w:cs="Arial"/>
          <w:noProof/>
          <w:szCs w:val="24"/>
        </w:rPr>
        <w:t>. Buckingham, UK: Open University.</w:t>
      </w:r>
    </w:p>
    <w:p w14:paraId="62E6A1C1" w14:textId="1A85EAA8" w:rsidR="0065163F" w:rsidRPr="00EA0DC7" w:rsidRDefault="0065163F">
      <w:pPr>
        <w:widowControl w:val="0"/>
        <w:spacing w:after="160"/>
        <w:ind w:left="709" w:hanging="709"/>
        <w:rPr>
          <w:rFonts w:cs="Arial"/>
          <w:bCs/>
          <w:noProof/>
        </w:rPr>
      </w:pPr>
      <w:r w:rsidRPr="00EA0DC7">
        <w:rPr>
          <w:rFonts w:cs="Arial"/>
          <w:bCs/>
          <w:noProof/>
        </w:rPr>
        <w:t xml:space="preserve">Gloaguen, V., Cottraux, J., Cucherat, M., &amp; Blackburn, I. (1998). A meta-analysis of the effects of cognitive therapy in depressed patients. </w:t>
      </w:r>
      <w:r w:rsidRPr="00EA0DC7">
        <w:rPr>
          <w:rFonts w:cs="Arial"/>
          <w:bCs/>
          <w:i/>
          <w:noProof/>
        </w:rPr>
        <w:t>Journal of Affective Disorders, 49</w:t>
      </w:r>
      <w:r w:rsidRPr="00EA0DC7">
        <w:rPr>
          <w:rFonts w:cs="Arial"/>
          <w:bCs/>
          <w:noProof/>
        </w:rPr>
        <w:t xml:space="preserve">, 59-72. </w:t>
      </w:r>
    </w:p>
    <w:p w14:paraId="1E87FA09" w14:textId="583803AC" w:rsidR="00AD0C2D" w:rsidRPr="00EA0DC7" w:rsidRDefault="00AD0C2D">
      <w:pPr>
        <w:widowControl w:val="0"/>
        <w:spacing w:after="160"/>
        <w:ind w:left="709" w:hanging="709"/>
        <w:rPr>
          <w:rFonts w:cs="Arial"/>
          <w:bCs/>
          <w:noProof/>
        </w:rPr>
      </w:pPr>
      <w:r w:rsidRPr="00EA0DC7">
        <w:rPr>
          <w:rFonts w:cs="Arial"/>
          <w:bCs/>
          <w:noProof/>
        </w:rPr>
        <w:t xml:space="preserve">Goldberg, S. B, Rousmniere, T., Miller, S. D., Whipple, J., Nielson, S. L., Hoyt, W. T., &amp; Wampold, B. E. (2016). Do psychotherapists improve with time and experience? A longitudinal analysis of outcomes in a clinical setting. </w:t>
      </w:r>
      <w:r w:rsidRPr="00EA0DC7">
        <w:rPr>
          <w:rFonts w:cs="Arial"/>
          <w:bCs/>
          <w:i/>
          <w:noProof/>
        </w:rPr>
        <w:t>Journal of Counseling Psychology, 63,</w:t>
      </w:r>
      <w:r w:rsidRPr="00EA0DC7">
        <w:rPr>
          <w:rFonts w:cs="Arial"/>
          <w:bCs/>
          <w:noProof/>
        </w:rPr>
        <w:t xml:space="preserve"> 1-11.</w:t>
      </w:r>
    </w:p>
    <w:p w14:paraId="77F1BD51" w14:textId="4FCFB401" w:rsidR="002650BD" w:rsidRPr="00EA0DC7" w:rsidRDefault="002650BD">
      <w:pPr>
        <w:widowControl w:val="0"/>
        <w:spacing w:after="160"/>
        <w:ind w:left="709" w:hanging="709"/>
        <w:rPr>
          <w:rFonts w:cs="Arial"/>
          <w:bCs/>
          <w:noProof/>
        </w:rPr>
      </w:pPr>
      <w:r w:rsidRPr="00EA0DC7">
        <w:rPr>
          <w:rFonts w:cs="Arial"/>
          <w:bCs/>
          <w:noProof/>
        </w:rPr>
        <w:t xml:space="preserve">Gonsalvez, C., </w:t>
      </w:r>
      <w:r w:rsidR="00187274" w:rsidRPr="00EA0DC7">
        <w:rPr>
          <w:rFonts w:cs="Arial"/>
          <w:bCs/>
          <w:noProof/>
        </w:rPr>
        <w:t xml:space="preserve">&amp; </w:t>
      </w:r>
      <w:r w:rsidRPr="00EA0DC7">
        <w:rPr>
          <w:rFonts w:cs="Arial"/>
          <w:bCs/>
          <w:noProof/>
        </w:rPr>
        <w:t xml:space="preserve">Freestone, J. (2007). </w:t>
      </w:r>
      <w:r w:rsidRPr="00EA0DC7">
        <w:t xml:space="preserve">Field supervisors’ assessments of trainee performance: Are they reliable and valid? </w:t>
      </w:r>
      <w:r w:rsidRPr="00EA0DC7">
        <w:rPr>
          <w:i/>
        </w:rPr>
        <w:t>Australian Psychologist, 42</w:t>
      </w:r>
      <w:r w:rsidRPr="00EA0DC7">
        <w:t>, 23-32.</w:t>
      </w:r>
    </w:p>
    <w:p w14:paraId="44D84B92" w14:textId="77777777" w:rsidR="0065163F" w:rsidRPr="00EA0DC7" w:rsidRDefault="0065163F">
      <w:pPr>
        <w:widowControl w:val="0"/>
        <w:spacing w:after="160"/>
        <w:ind w:left="709" w:hanging="709"/>
        <w:rPr>
          <w:rFonts w:cs="Arial"/>
        </w:rPr>
      </w:pPr>
      <w:r w:rsidRPr="00EA0DC7">
        <w:rPr>
          <w:rFonts w:cs="Arial"/>
        </w:rPr>
        <w:t xml:space="preserve">Gortner, E. T., Gollan, J. K., Dobson, K. S., &amp; Jacobson, N. S. (1998). Cognitive-behavioral treatment for depression: Relapse prevention. </w:t>
      </w:r>
      <w:r w:rsidRPr="00EA0DC7">
        <w:rPr>
          <w:rFonts w:cs="Arial"/>
          <w:i/>
        </w:rPr>
        <w:t xml:space="preserve">Journal of Consulting and Clinical Psychology, 66, </w:t>
      </w:r>
      <w:r w:rsidRPr="00EA0DC7">
        <w:rPr>
          <w:rFonts w:cs="Arial"/>
        </w:rPr>
        <w:t>377-384.</w:t>
      </w:r>
    </w:p>
    <w:p w14:paraId="38D7ED71"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Granello, D. H. (2000). Encouraging the cognitive development of supervisees: Using Bloom’s Taxonomy in supervision.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40</w:t>
      </w:r>
      <w:r w:rsidRPr="00EA0DC7">
        <w:rPr>
          <w:rFonts w:eastAsia="Times New Roman" w:cs="Arial"/>
          <w:noProof/>
          <w:szCs w:val="24"/>
        </w:rPr>
        <w:t>, 31–46.</w:t>
      </w:r>
    </w:p>
    <w:p w14:paraId="4EBCD3E1"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lastRenderedPageBreak/>
        <w:t xml:space="preserve">Grater, H. A. (1985). Stages in psychotherapy supervision: From therapy skills to skilled therapist. </w:t>
      </w:r>
      <w:r w:rsidRPr="00EA0DC7">
        <w:rPr>
          <w:rFonts w:eastAsia="Times New Roman" w:cs="Arial"/>
          <w:i/>
          <w:iCs/>
          <w:noProof/>
          <w:szCs w:val="24"/>
        </w:rPr>
        <w:t>Professional Psychology: Research and Practice</w:t>
      </w:r>
      <w:r w:rsidRPr="00EA0DC7">
        <w:rPr>
          <w:rFonts w:eastAsia="Times New Roman" w:cs="Arial"/>
          <w:noProof/>
          <w:szCs w:val="24"/>
        </w:rPr>
        <w:t xml:space="preserve">, </w:t>
      </w:r>
      <w:r w:rsidRPr="00EA0DC7">
        <w:rPr>
          <w:rFonts w:eastAsia="Times New Roman" w:cs="Arial"/>
          <w:i/>
          <w:iCs/>
          <w:noProof/>
          <w:szCs w:val="24"/>
        </w:rPr>
        <w:t>16</w:t>
      </w:r>
      <w:r w:rsidRPr="00EA0DC7">
        <w:rPr>
          <w:rFonts w:eastAsia="Times New Roman" w:cs="Arial"/>
          <w:noProof/>
          <w:szCs w:val="24"/>
        </w:rPr>
        <w:t>, 605–610.</w:t>
      </w:r>
    </w:p>
    <w:p w14:paraId="3D1931AF" w14:textId="77777777" w:rsidR="0065163F" w:rsidRPr="00EA0DC7" w:rsidRDefault="0065163F">
      <w:pPr>
        <w:widowControl w:val="0"/>
        <w:spacing w:after="160"/>
        <w:ind w:left="709" w:hanging="709"/>
        <w:rPr>
          <w:rFonts w:cs="Arial"/>
          <w:bCs/>
          <w:noProof/>
        </w:rPr>
      </w:pPr>
      <w:r w:rsidRPr="00EA0DC7">
        <w:rPr>
          <w:rFonts w:cs="Arial"/>
          <w:bCs/>
          <w:noProof/>
        </w:rPr>
        <w:t xml:space="preserve">Gray, L. A., Ladany, N., Walker, J. A., &amp; Ancis, J,. R. (2001). Psychotherapy trainees’ experience of counterproductive events in supervision. </w:t>
      </w:r>
      <w:r w:rsidRPr="00EA0DC7">
        <w:rPr>
          <w:rFonts w:cs="Arial"/>
          <w:bCs/>
          <w:i/>
          <w:noProof/>
        </w:rPr>
        <w:t>Journal of Counseling Psychology, 48,</w:t>
      </w:r>
      <w:r w:rsidRPr="00EA0DC7">
        <w:rPr>
          <w:rFonts w:cs="Arial"/>
          <w:bCs/>
          <w:noProof/>
        </w:rPr>
        <w:t xml:space="preserve"> 371-383.</w:t>
      </w:r>
    </w:p>
    <w:p w14:paraId="0A93E357" w14:textId="77777777" w:rsidR="0065163F" w:rsidRPr="00EA0DC7" w:rsidRDefault="0065163F">
      <w:pPr>
        <w:widowControl w:val="0"/>
        <w:spacing w:after="160"/>
        <w:ind w:left="709" w:hanging="709"/>
        <w:rPr>
          <w:rFonts w:cs="Arial"/>
          <w:noProof/>
        </w:rPr>
      </w:pPr>
      <w:r w:rsidRPr="00EA0DC7">
        <w:rPr>
          <w:rFonts w:cs="Arial"/>
          <w:noProof/>
        </w:rPr>
        <w:t xml:space="preserve">Gray-Little, B., Williams, V.S.L., &amp; Hancock, T. D. (1997). An item response theory analysis of the Rosenberg Self-Esteem Scale. </w:t>
      </w:r>
      <w:r w:rsidRPr="00EA0DC7">
        <w:rPr>
          <w:rFonts w:cs="Arial"/>
          <w:i/>
          <w:noProof/>
        </w:rPr>
        <w:t>Personality and Social Psychology Bulletin, 23,</w:t>
      </w:r>
      <w:r w:rsidRPr="00EA0DC7">
        <w:rPr>
          <w:rFonts w:cs="Arial"/>
          <w:noProof/>
        </w:rPr>
        <w:t xml:space="preserve"> 443-451.</w:t>
      </w:r>
    </w:p>
    <w:p w14:paraId="66852F22" w14:textId="77777777" w:rsidR="0065163F" w:rsidRPr="00EA0DC7" w:rsidRDefault="0065163F">
      <w:pPr>
        <w:widowControl w:val="0"/>
        <w:spacing w:after="160"/>
        <w:ind w:left="709" w:hanging="709"/>
        <w:rPr>
          <w:rFonts w:cs="Arial"/>
        </w:rPr>
      </w:pPr>
      <w:r w:rsidRPr="00EA0DC7">
        <w:rPr>
          <w:rFonts w:cs="Arial"/>
        </w:rPr>
        <w:t xml:space="preserve">Green, H., Barkham, M., Kellett, S., &amp; Saxon, D. (2014). Therapist effects and IAPT Psychological Wellbeing Practitioners (PWPs): A multilevel modelling and mixed methods analysis. </w:t>
      </w:r>
      <w:r w:rsidRPr="00EA0DC7">
        <w:rPr>
          <w:rFonts w:cs="Arial"/>
          <w:i/>
        </w:rPr>
        <w:t xml:space="preserve">Behaviour Research and Therapy, 63, </w:t>
      </w:r>
      <w:r w:rsidRPr="00EA0DC7">
        <w:rPr>
          <w:rFonts w:cs="Arial"/>
        </w:rPr>
        <w:t>43-54.</w:t>
      </w:r>
    </w:p>
    <w:p w14:paraId="1E6E23D7" w14:textId="77777777" w:rsidR="0065163F" w:rsidRPr="00EA0DC7" w:rsidRDefault="0065163F">
      <w:pPr>
        <w:widowControl w:val="0"/>
        <w:spacing w:after="160"/>
        <w:ind w:left="709" w:hanging="709"/>
        <w:rPr>
          <w:rFonts w:cs="Arial"/>
          <w:bCs/>
          <w:noProof/>
        </w:rPr>
      </w:pPr>
      <w:r w:rsidRPr="00EA0DC7">
        <w:rPr>
          <w:rFonts w:cs="Arial"/>
          <w:bCs/>
          <w:noProof/>
        </w:rPr>
        <w:t xml:space="preserve">Greenberg, L. S. (2009). Emotion in the therapeutic relationship in emotion-focused therapy. In P. Gilbert, &amp; R. L. Leahy (Ed.), </w:t>
      </w:r>
      <w:r w:rsidRPr="00EA0DC7">
        <w:rPr>
          <w:rFonts w:cs="Arial"/>
          <w:bCs/>
          <w:i/>
          <w:noProof/>
        </w:rPr>
        <w:t xml:space="preserve">The therapeutic relationship in the cognitive behavioral psychotherapies </w:t>
      </w:r>
      <w:r w:rsidRPr="00EA0DC7">
        <w:rPr>
          <w:rFonts w:cs="Arial"/>
          <w:bCs/>
          <w:noProof/>
        </w:rPr>
        <w:t>(pp. 24-42). Hove, UK: Routledge.</w:t>
      </w:r>
    </w:p>
    <w:p w14:paraId="0261A595" w14:textId="77777777" w:rsidR="0065163F" w:rsidRPr="00EA0DC7" w:rsidRDefault="0065163F">
      <w:pPr>
        <w:widowControl w:val="0"/>
        <w:spacing w:after="160"/>
        <w:ind w:left="709" w:hanging="709"/>
      </w:pPr>
      <w:r w:rsidRPr="00EA0DC7">
        <w:rPr>
          <w:rFonts w:cs="Arial"/>
        </w:rPr>
        <w:t xml:space="preserve">Greenberg, G. (2013). </w:t>
      </w:r>
      <w:r w:rsidRPr="00EA0DC7">
        <w:rPr>
          <w:i/>
        </w:rPr>
        <w:t>The book of woe: The DSM and the unmaking of psychiatry.</w:t>
      </w:r>
      <w:r w:rsidRPr="00EA0DC7">
        <w:t xml:space="preserve"> New York, NY: Scribe.</w:t>
      </w:r>
    </w:p>
    <w:p w14:paraId="7719FAA0" w14:textId="5E14E6CB"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Greenberg. P. E., Kessler, R. C., Birnbaum, H. G., Leong, S. A., Lowe, S. W., Berglund, P. A., &amp; Corey-Lisle, P. K. (2003). The economic burden of depression in the United States: How did it change between 1990 and 2000? </w:t>
      </w:r>
      <w:r w:rsidRPr="00EA0DC7">
        <w:rPr>
          <w:rStyle w:val="Hyperlink"/>
          <w:rFonts w:cs="Arial"/>
          <w:bCs/>
          <w:i/>
          <w:color w:val="auto"/>
          <w:szCs w:val="24"/>
          <w:u w:val="none"/>
        </w:rPr>
        <w:t>Journal of Clinical Psychiatry, 12,</w:t>
      </w:r>
      <w:r w:rsidRPr="00EA0DC7">
        <w:rPr>
          <w:rStyle w:val="Hyperlink"/>
          <w:rFonts w:cs="Arial"/>
          <w:bCs/>
          <w:color w:val="auto"/>
          <w:szCs w:val="24"/>
          <w:u w:val="none"/>
        </w:rPr>
        <w:t xml:space="preserve"> 1465-1475.</w:t>
      </w:r>
    </w:p>
    <w:p w14:paraId="62E6E976" w14:textId="74AFC26E" w:rsidR="00D50016" w:rsidRPr="00EA0DC7" w:rsidRDefault="00D50016" w:rsidP="00F821B4">
      <w:pPr>
        <w:widowControl w:val="0"/>
        <w:ind w:left="709" w:hanging="709"/>
        <w:rPr>
          <w:rStyle w:val="Hyperlink"/>
          <w:color w:val="auto"/>
          <w:u w:val="none"/>
        </w:rPr>
      </w:pPr>
      <w:r w:rsidRPr="00EA0DC7">
        <w:lastRenderedPageBreak/>
        <w:t xml:space="preserve">Greenwald, A. G., &amp; Banaji, M. R. (1995). Implicit social cognition: Attitudes, self-esteem, and stereotypes. </w:t>
      </w:r>
      <w:r w:rsidRPr="00EA0DC7">
        <w:rPr>
          <w:i/>
        </w:rPr>
        <w:t>Psychological Review, 102</w:t>
      </w:r>
      <w:r w:rsidRPr="00EA0DC7">
        <w:t>, 4-27.</w:t>
      </w:r>
    </w:p>
    <w:p w14:paraId="3AB0C07E"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Calibri" w:cs="Arial"/>
          <w:noProof/>
          <w:szCs w:val="24"/>
          <w:lang w:eastAsia="en-US"/>
        </w:rPr>
        <w:t xml:space="preserve">Grossl, A. B., Reese, R. J., Norsworthy, L. A., &amp; Hopkins, N. B. (2014). Client feedback data in supervision: Effects on supervision and outcome. </w:t>
      </w:r>
      <w:r w:rsidRPr="00EA0DC7">
        <w:rPr>
          <w:rFonts w:eastAsia="Calibri" w:cs="Arial"/>
          <w:i/>
          <w:iCs/>
          <w:noProof/>
          <w:szCs w:val="24"/>
          <w:lang w:eastAsia="en-US"/>
        </w:rPr>
        <w:t>Training and Education in Professional Psychology</w:t>
      </w:r>
      <w:r w:rsidRPr="00EA0DC7">
        <w:rPr>
          <w:rFonts w:eastAsia="Calibri" w:cs="Arial"/>
          <w:noProof/>
          <w:szCs w:val="24"/>
          <w:lang w:eastAsia="en-US"/>
        </w:rPr>
        <w:t xml:space="preserve">, </w:t>
      </w:r>
      <w:r w:rsidRPr="00EA0DC7">
        <w:rPr>
          <w:rFonts w:eastAsia="Calibri" w:cs="Arial"/>
          <w:i/>
          <w:iCs/>
          <w:noProof/>
          <w:szCs w:val="24"/>
          <w:lang w:eastAsia="en-US"/>
        </w:rPr>
        <w:t>8</w:t>
      </w:r>
      <w:r w:rsidRPr="00EA0DC7">
        <w:rPr>
          <w:rFonts w:eastAsia="Calibri" w:cs="Arial"/>
          <w:noProof/>
          <w:szCs w:val="24"/>
          <w:lang w:eastAsia="en-US"/>
        </w:rPr>
        <w:t>, 182–188.</w:t>
      </w:r>
    </w:p>
    <w:p w14:paraId="29D56FA0" w14:textId="77777777"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Gyani, A., Shafran, R., Layard, R., &amp; Clark, D. M. (2013). Enhancing recovery rates: Lessons from year one of IAPT. </w:t>
      </w:r>
      <w:r w:rsidRPr="00EA0DC7">
        <w:rPr>
          <w:rStyle w:val="Hyperlink"/>
          <w:rFonts w:cs="Arial"/>
          <w:bCs/>
          <w:i/>
          <w:color w:val="auto"/>
          <w:szCs w:val="24"/>
          <w:u w:val="none"/>
        </w:rPr>
        <w:t xml:space="preserve">Behaviour Research and Therapy, 51, </w:t>
      </w:r>
      <w:r w:rsidRPr="00EA0DC7">
        <w:rPr>
          <w:rStyle w:val="Hyperlink"/>
          <w:rFonts w:cs="Arial"/>
          <w:bCs/>
          <w:color w:val="auto"/>
          <w:szCs w:val="24"/>
          <w:u w:val="none"/>
        </w:rPr>
        <w:t>597-606.</w:t>
      </w:r>
    </w:p>
    <w:p w14:paraId="7C281C65"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Times New Roman" w:cs="Arial"/>
          <w:noProof/>
          <w:szCs w:val="24"/>
        </w:rPr>
        <w:t xml:space="preserve">Haber, R. (1996). </w:t>
      </w:r>
      <w:r w:rsidRPr="00EA0DC7">
        <w:rPr>
          <w:rFonts w:eastAsia="Times New Roman" w:cs="Arial"/>
          <w:i/>
          <w:iCs/>
          <w:noProof/>
          <w:szCs w:val="24"/>
        </w:rPr>
        <w:t>Dimensions of psychotherapy supervision: Maps and means</w:t>
      </w:r>
      <w:r w:rsidRPr="00EA0DC7">
        <w:rPr>
          <w:rFonts w:eastAsia="Times New Roman" w:cs="Arial"/>
          <w:noProof/>
          <w:szCs w:val="24"/>
        </w:rPr>
        <w:t>. New York, NY: Norton.</w:t>
      </w:r>
    </w:p>
    <w:p w14:paraId="29D655A4" w14:textId="25CBBBAD"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lang w:val="fr-FR"/>
        </w:rPr>
        <w:t xml:space="preserve">Hamilton, K. E., &amp; Dobson, K. S. (2002). </w:t>
      </w:r>
      <w:r w:rsidRPr="00EA0DC7">
        <w:rPr>
          <w:rStyle w:val="Hyperlink"/>
          <w:rFonts w:cs="Arial"/>
          <w:bCs/>
          <w:color w:val="auto"/>
          <w:szCs w:val="24"/>
          <w:u w:val="none"/>
        </w:rPr>
        <w:t xml:space="preserve">Cognitive therapy of depression: Pretreatment patient predictors of outcome. </w:t>
      </w:r>
      <w:r w:rsidRPr="00EA0DC7">
        <w:rPr>
          <w:rStyle w:val="Hyperlink"/>
          <w:rFonts w:cs="Arial"/>
          <w:bCs/>
          <w:i/>
          <w:color w:val="auto"/>
          <w:szCs w:val="24"/>
          <w:u w:val="none"/>
        </w:rPr>
        <w:t>Clinical Psychology Review, 22,</w:t>
      </w:r>
      <w:r w:rsidRPr="00EA0DC7">
        <w:rPr>
          <w:rStyle w:val="Hyperlink"/>
          <w:rFonts w:cs="Arial"/>
          <w:bCs/>
          <w:color w:val="auto"/>
          <w:szCs w:val="24"/>
          <w:u w:val="none"/>
        </w:rPr>
        <w:t xml:space="preserve"> 875-893.</w:t>
      </w:r>
    </w:p>
    <w:p w14:paraId="13EB8FB3" w14:textId="1926352E" w:rsidR="00D50016" w:rsidRPr="00EA0DC7" w:rsidRDefault="00D50016" w:rsidP="00F821B4">
      <w:pPr>
        <w:widowControl w:val="0"/>
        <w:ind w:left="709" w:hanging="709"/>
        <w:rPr>
          <w:rStyle w:val="Hyperlink"/>
          <w:color w:val="auto"/>
          <w:u w:val="none"/>
        </w:rPr>
      </w:pPr>
      <w:r w:rsidRPr="00EA0DC7">
        <w:t>Hamilton, M. C., Anderson, D., Broaddus, M., &amp; Young, K. (2006). Gender stereotyping and under-representation of female characters in 200 popular children’s picture books: A twenty-first century update</w:t>
      </w:r>
      <w:r w:rsidRPr="00EA0DC7">
        <w:rPr>
          <w:i/>
        </w:rPr>
        <w:t>. Sex Roles, 55</w:t>
      </w:r>
      <w:r w:rsidRPr="00EA0DC7">
        <w:t>, 757-765.</w:t>
      </w:r>
    </w:p>
    <w:p w14:paraId="1EA02D4D" w14:textId="77777777" w:rsidR="0065163F" w:rsidRPr="00EA0DC7" w:rsidRDefault="0065163F">
      <w:pPr>
        <w:widowControl w:val="0"/>
        <w:spacing w:after="160"/>
        <w:ind w:left="709" w:hanging="709"/>
        <w:rPr>
          <w:rFonts w:cs="Arial"/>
          <w:bCs/>
          <w:szCs w:val="24"/>
        </w:rPr>
      </w:pPr>
      <w:r w:rsidRPr="00EA0DC7">
        <w:rPr>
          <w:rFonts w:cs="Arial"/>
          <w:bCs/>
          <w:szCs w:val="24"/>
        </w:rPr>
        <w:t xml:space="preserve">Hammen, C., &amp; Watkins, E. (2008). </w:t>
      </w:r>
      <w:r w:rsidRPr="00EA0DC7">
        <w:rPr>
          <w:rFonts w:cs="Arial"/>
          <w:bCs/>
          <w:i/>
          <w:szCs w:val="24"/>
        </w:rPr>
        <w:t>Depression.</w:t>
      </w:r>
      <w:r w:rsidRPr="00EA0DC7">
        <w:rPr>
          <w:rFonts w:cs="Arial"/>
          <w:bCs/>
          <w:szCs w:val="24"/>
        </w:rPr>
        <w:t xml:space="preserve"> Hove, UK: Psychology Press.</w:t>
      </w:r>
    </w:p>
    <w:p w14:paraId="01F6A9B6" w14:textId="77777777" w:rsidR="0065163F" w:rsidRPr="00EA0DC7" w:rsidRDefault="0065163F">
      <w:pPr>
        <w:widowControl w:val="0"/>
        <w:spacing w:after="160"/>
        <w:ind w:left="709" w:hanging="709"/>
        <w:rPr>
          <w:rFonts w:cs="Arial"/>
          <w:bCs/>
          <w:szCs w:val="24"/>
        </w:rPr>
      </w:pPr>
      <w:r w:rsidRPr="00EA0DC7">
        <w:rPr>
          <w:rFonts w:cs="Arial"/>
          <w:bCs/>
          <w:szCs w:val="24"/>
          <w:lang w:val="sv-SE"/>
        </w:rPr>
        <w:t xml:space="preserve">Hansen, N. B., Lambert, M. J., &amp; Forman, E. M. (2002). </w:t>
      </w:r>
      <w:r w:rsidRPr="00EA0DC7">
        <w:rPr>
          <w:rFonts w:cs="Arial"/>
          <w:bCs/>
          <w:szCs w:val="24"/>
        </w:rPr>
        <w:t>The psychotherapy dose-response effect and its implications for treatment delivery services</w:t>
      </w:r>
      <w:r w:rsidRPr="00EA0DC7">
        <w:rPr>
          <w:rFonts w:cs="Arial"/>
          <w:bCs/>
          <w:i/>
          <w:szCs w:val="24"/>
        </w:rPr>
        <w:t>. Clinical Psychology: Science and Practice, 9,</w:t>
      </w:r>
      <w:r w:rsidRPr="00EA0DC7">
        <w:rPr>
          <w:rFonts w:cs="Arial"/>
          <w:bCs/>
          <w:szCs w:val="24"/>
        </w:rPr>
        <w:t xml:space="preserve"> 329-343.</w:t>
      </w:r>
    </w:p>
    <w:p w14:paraId="6ED94A36" w14:textId="77777777" w:rsidR="0065163F" w:rsidRPr="00EA0DC7" w:rsidRDefault="0065163F">
      <w:pPr>
        <w:widowControl w:val="0"/>
        <w:spacing w:after="160"/>
        <w:ind w:left="709" w:hanging="709"/>
        <w:rPr>
          <w:rFonts w:cs="Arial"/>
          <w:bCs/>
          <w:szCs w:val="24"/>
        </w:rPr>
      </w:pPr>
      <w:r w:rsidRPr="00EA0DC7">
        <w:rPr>
          <w:rFonts w:cs="Arial"/>
          <w:bCs/>
          <w:szCs w:val="24"/>
        </w:rPr>
        <w:t xml:space="preserve">Hansen, P. E. B., Ravnkilde, B., Videbech, P., Clemmensen, K., Sturlason, R., Reiner, M., …Vestergaard, P. (2011). Low-frequency repetitive </w:t>
      </w:r>
      <w:r w:rsidRPr="00EA0DC7">
        <w:rPr>
          <w:rFonts w:cs="Arial"/>
          <w:bCs/>
          <w:szCs w:val="24"/>
        </w:rPr>
        <w:lastRenderedPageBreak/>
        <w:t xml:space="preserve">transcranial magnetic stimulation inferior to electroconvulsive therapy in treating depression. </w:t>
      </w:r>
      <w:r w:rsidRPr="00EA0DC7">
        <w:rPr>
          <w:rFonts w:cs="Arial"/>
          <w:bCs/>
          <w:i/>
          <w:szCs w:val="24"/>
        </w:rPr>
        <w:t>The Journal of ECT, 27,</w:t>
      </w:r>
      <w:r w:rsidRPr="00EA0DC7">
        <w:rPr>
          <w:rFonts w:cs="Arial"/>
          <w:bCs/>
          <w:szCs w:val="24"/>
        </w:rPr>
        <w:t xml:space="preserve"> 26-32.</w:t>
      </w:r>
    </w:p>
    <w:p w14:paraId="2100E212" w14:textId="77777777" w:rsidR="0065163F" w:rsidRPr="00EA0DC7" w:rsidRDefault="0065163F">
      <w:pPr>
        <w:widowControl w:val="0"/>
        <w:spacing w:after="160"/>
        <w:ind w:left="709" w:hanging="709"/>
        <w:rPr>
          <w:rFonts w:cs="Arial"/>
          <w:bCs/>
          <w:noProof/>
        </w:rPr>
      </w:pPr>
      <w:r w:rsidRPr="00EA0DC7">
        <w:rPr>
          <w:rFonts w:cs="Arial"/>
          <w:bCs/>
          <w:noProof/>
        </w:rPr>
        <w:t xml:space="preserve">Hardy, G., Cahill, J., &amp; Barkham, M. (2009). Active ingedients of the therapeutic relationship that promote client change. In P. Gilbert, &amp; R. L. Leahy (Ed.), </w:t>
      </w:r>
      <w:r w:rsidRPr="00EA0DC7">
        <w:rPr>
          <w:rFonts w:cs="Arial"/>
          <w:bCs/>
          <w:i/>
          <w:noProof/>
        </w:rPr>
        <w:t xml:space="preserve">The therapeutic relationship in the cognitive behavioral psychotherapies </w:t>
      </w:r>
      <w:r w:rsidRPr="00EA0DC7">
        <w:rPr>
          <w:rFonts w:cs="Arial"/>
          <w:bCs/>
          <w:noProof/>
        </w:rPr>
        <w:t>(pp. 24-42). Hove, UK: Routledge.</w:t>
      </w:r>
    </w:p>
    <w:p w14:paraId="39ED9F09" w14:textId="77777777" w:rsidR="0065163F" w:rsidRPr="00EA0DC7" w:rsidRDefault="0065163F">
      <w:pPr>
        <w:widowControl w:val="0"/>
        <w:spacing w:after="160"/>
        <w:ind w:left="709" w:hanging="709"/>
      </w:pPr>
      <w:r w:rsidRPr="00EA0DC7">
        <w:rPr>
          <w:rFonts w:cs="Arial"/>
          <w:bCs/>
          <w:szCs w:val="24"/>
        </w:rPr>
        <w:t xml:space="preserve">Hardy, G., Stiles, W., Barkham, M. &amp; Startup, M. (1998). </w:t>
      </w:r>
      <w:r w:rsidRPr="00EA0DC7">
        <w:t xml:space="preserve">Therapist responsiveness to client interpersonal styles during time-limited treatments for depression. </w:t>
      </w:r>
      <w:r w:rsidRPr="00EA0DC7">
        <w:rPr>
          <w:i/>
        </w:rPr>
        <w:t>Journal of Consulting and Clinical Psychology, 66,</w:t>
      </w:r>
      <w:r w:rsidRPr="00EA0DC7">
        <w:t xml:space="preserve"> 304-312.</w:t>
      </w:r>
    </w:p>
    <w:p w14:paraId="6BFAF595" w14:textId="77777777" w:rsidR="0065163F" w:rsidRPr="00EA0DC7" w:rsidRDefault="0065163F">
      <w:pPr>
        <w:widowControl w:val="0"/>
        <w:spacing w:after="160"/>
        <w:ind w:left="709" w:hanging="709"/>
        <w:rPr>
          <w:rFonts w:cs="Arial"/>
          <w:bCs/>
          <w:szCs w:val="24"/>
        </w:rPr>
      </w:pPr>
      <w:r w:rsidRPr="00EA0DC7">
        <w:rPr>
          <w:rFonts w:cs="Arial"/>
          <w:bCs/>
          <w:szCs w:val="24"/>
        </w:rPr>
        <w:t xml:space="preserve">Hawkins, P., &amp; Shohet, R. (1989). </w:t>
      </w:r>
      <w:r w:rsidRPr="00EA0DC7">
        <w:rPr>
          <w:rFonts w:cs="Arial"/>
          <w:bCs/>
          <w:i/>
          <w:szCs w:val="24"/>
        </w:rPr>
        <w:t>Supervision in the helping professions</w:t>
      </w:r>
      <w:r w:rsidRPr="00EA0DC7">
        <w:rPr>
          <w:rFonts w:cs="Arial"/>
          <w:bCs/>
          <w:szCs w:val="24"/>
        </w:rPr>
        <w:t>. Milton Keynes, UK: Open University Press.</w:t>
      </w:r>
    </w:p>
    <w:p w14:paraId="15AC42C0"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Hawkins, P., &amp; Shohet, R. (1993). </w:t>
      </w:r>
      <w:r w:rsidRPr="00EA0DC7">
        <w:rPr>
          <w:rFonts w:eastAsia="Times New Roman" w:cs="Arial"/>
          <w:i/>
          <w:iCs/>
          <w:noProof/>
          <w:szCs w:val="24"/>
        </w:rPr>
        <w:t>Supervision in the helping professions</w:t>
      </w:r>
      <w:r w:rsidRPr="00EA0DC7">
        <w:rPr>
          <w:rFonts w:eastAsia="Times New Roman" w:cs="Arial"/>
          <w:noProof/>
          <w:szCs w:val="24"/>
        </w:rPr>
        <w:t>. Buckingham, UK: Open University.</w:t>
      </w:r>
    </w:p>
    <w:p w14:paraId="0C898FB4" w14:textId="77777777" w:rsidR="0065163F" w:rsidRPr="00EA0DC7" w:rsidRDefault="0065163F">
      <w:pPr>
        <w:widowControl w:val="0"/>
        <w:spacing w:after="160"/>
        <w:ind w:left="709" w:hanging="709"/>
        <w:rPr>
          <w:rFonts w:cs="Arial"/>
          <w:bCs/>
          <w:szCs w:val="24"/>
        </w:rPr>
      </w:pPr>
      <w:r w:rsidRPr="00EA0DC7">
        <w:rPr>
          <w:rFonts w:cs="Arial"/>
          <w:bCs/>
          <w:szCs w:val="24"/>
        </w:rPr>
        <w:t xml:space="preserve">Healy, D. (2009). </w:t>
      </w:r>
      <w:r w:rsidRPr="00EA0DC7">
        <w:rPr>
          <w:rFonts w:cs="Arial"/>
          <w:bCs/>
          <w:i/>
          <w:szCs w:val="24"/>
        </w:rPr>
        <w:t>Psychiatric drugs explained</w:t>
      </w:r>
      <w:r w:rsidRPr="00EA0DC7">
        <w:rPr>
          <w:rFonts w:cs="Arial"/>
          <w:bCs/>
          <w:szCs w:val="24"/>
        </w:rPr>
        <w:t xml:space="preserve"> (5</w:t>
      </w:r>
      <w:r w:rsidRPr="00EA0DC7">
        <w:rPr>
          <w:rFonts w:cs="Arial"/>
          <w:bCs/>
          <w:szCs w:val="24"/>
          <w:vertAlign w:val="superscript"/>
        </w:rPr>
        <w:t>th</w:t>
      </w:r>
      <w:r w:rsidRPr="00EA0DC7">
        <w:rPr>
          <w:rFonts w:cs="Arial"/>
          <w:bCs/>
          <w:szCs w:val="24"/>
        </w:rPr>
        <w:t xml:space="preserve"> Ed). London, UK: Livingstone Elsevier.</w:t>
      </w:r>
    </w:p>
    <w:p w14:paraId="58088A4B" w14:textId="77777777" w:rsidR="000D3166" w:rsidRPr="00EA0DC7" w:rsidRDefault="0065163F" w:rsidP="00F821B4">
      <w:pPr>
        <w:widowControl w:val="0"/>
        <w:ind w:left="709" w:hanging="709"/>
        <w:rPr>
          <w:rFonts w:cs="Arial"/>
        </w:rPr>
      </w:pPr>
      <w:r w:rsidRPr="00EA0DC7">
        <w:rPr>
          <w:rFonts w:cs="Arial"/>
          <w:bCs/>
          <w:noProof/>
        </w:rPr>
        <w:t xml:space="preserve">Heilman, M. E. (2012). Gender stereotypes and workplace bias. </w:t>
      </w:r>
      <w:r w:rsidRPr="00EA0DC7">
        <w:rPr>
          <w:rFonts w:cs="Arial"/>
          <w:bCs/>
          <w:i/>
          <w:noProof/>
        </w:rPr>
        <w:t>Research in Organizational Behaviour, 32</w:t>
      </w:r>
      <w:r w:rsidRPr="00EA0DC7">
        <w:rPr>
          <w:rFonts w:cs="Arial"/>
          <w:bCs/>
          <w:noProof/>
        </w:rPr>
        <w:t>, 113-135.</w:t>
      </w:r>
      <w:r w:rsidR="000D3166" w:rsidRPr="00EA0DC7">
        <w:rPr>
          <w:rFonts w:cs="Arial"/>
        </w:rPr>
        <w:t xml:space="preserve"> </w:t>
      </w:r>
    </w:p>
    <w:p w14:paraId="145A989A" w14:textId="3863217E" w:rsidR="0065163F" w:rsidRPr="00EA0DC7" w:rsidRDefault="000D3166" w:rsidP="00F821B4">
      <w:pPr>
        <w:widowControl w:val="0"/>
        <w:ind w:left="709" w:hanging="709"/>
        <w:rPr>
          <w:rFonts w:cs="Arial"/>
          <w:bCs/>
          <w:noProof/>
        </w:rPr>
      </w:pPr>
      <w:r w:rsidRPr="00EA0DC7">
        <w:rPr>
          <w:rFonts w:cs="Arial"/>
        </w:rPr>
        <w:t xml:space="preserve">Helbig, S., &amp; Fehm, L. (2004). Problems with homework in CBT: Rare exception or rather frequent? </w:t>
      </w:r>
      <w:r w:rsidRPr="00EA0DC7">
        <w:rPr>
          <w:rFonts w:cs="Arial"/>
          <w:i/>
        </w:rPr>
        <w:t>Behavioural and Cognitive Psychotherapy, 32,</w:t>
      </w:r>
      <w:r w:rsidRPr="00EA0DC7">
        <w:rPr>
          <w:rFonts w:cs="Arial"/>
        </w:rPr>
        <w:t xml:space="preserve"> 291-301.</w:t>
      </w:r>
    </w:p>
    <w:p w14:paraId="729D05DD" w14:textId="77777777" w:rsidR="0065163F" w:rsidRPr="00EA0DC7" w:rsidRDefault="0065163F">
      <w:pPr>
        <w:widowControl w:val="0"/>
        <w:spacing w:after="160"/>
        <w:ind w:left="709" w:hanging="709"/>
        <w:rPr>
          <w:rFonts w:cs="Arial"/>
          <w:bCs/>
          <w:noProof/>
        </w:rPr>
      </w:pPr>
      <w:r w:rsidRPr="00EA0DC7">
        <w:rPr>
          <w:rFonts w:cs="Arial"/>
          <w:bCs/>
          <w:noProof/>
        </w:rPr>
        <w:t xml:space="preserve">Henriksson, M. M., Aro, H. M., Marttunen, M. J., Heikkinen, M. E., Isometsa, E. T., Kuoppasalmi, K. I., &amp; Lonnqvist, J. K. (1993). Mental disorders </w:t>
      </w:r>
      <w:r w:rsidRPr="00EA0DC7">
        <w:rPr>
          <w:rFonts w:cs="Arial"/>
          <w:bCs/>
          <w:noProof/>
        </w:rPr>
        <w:lastRenderedPageBreak/>
        <w:t xml:space="preserve">and comorbitidy in suicide. </w:t>
      </w:r>
      <w:r w:rsidRPr="00EA0DC7">
        <w:rPr>
          <w:rFonts w:cs="Arial"/>
          <w:bCs/>
          <w:i/>
          <w:noProof/>
        </w:rPr>
        <w:t>American Journal of Psychiatry, 150</w:t>
      </w:r>
      <w:r w:rsidRPr="00EA0DC7">
        <w:rPr>
          <w:rFonts w:cs="Arial"/>
          <w:bCs/>
          <w:noProof/>
        </w:rPr>
        <w:t xml:space="preserve">, 935-940. </w:t>
      </w:r>
    </w:p>
    <w:p w14:paraId="74E76744"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Heppner, P. P., &amp; Roehlke, H. J. (1984). Differences among supervisees at different levels of training: Implications for a developmental model of supervision.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31</w:t>
      </w:r>
      <w:r w:rsidRPr="00EA0DC7">
        <w:rPr>
          <w:rFonts w:eastAsia="Times New Roman" w:cs="Arial"/>
          <w:noProof/>
          <w:szCs w:val="24"/>
        </w:rPr>
        <w:t xml:space="preserve">, 76–90. </w:t>
      </w:r>
    </w:p>
    <w:p w14:paraId="6C718A25"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Hess, A. K. (1986). Growth in supervision: Stages of supervisee and supervisor development. </w:t>
      </w:r>
      <w:r w:rsidRPr="00EA0DC7">
        <w:rPr>
          <w:rFonts w:eastAsia="Times New Roman" w:cs="Arial"/>
          <w:i/>
          <w:iCs/>
          <w:noProof/>
          <w:szCs w:val="24"/>
        </w:rPr>
        <w:t>The Clinical Supervisor</w:t>
      </w:r>
      <w:r w:rsidRPr="00EA0DC7">
        <w:rPr>
          <w:rFonts w:eastAsia="Times New Roman" w:cs="Arial"/>
          <w:noProof/>
          <w:szCs w:val="24"/>
        </w:rPr>
        <w:t xml:space="preserve">, </w:t>
      </w:r>
      <w:r w:rsidRPr="00EA0DC7">
        <w:rPr>
          <w:rFonts w:eastAsia="Times New Roman" w:cs="Arial"/>
          <w:i/>
          <w:iCs/>
          <w:noProof/>
          <w:szCs w:val="24"/>
        </w:rPr>
        <w:t>4</w:t>
      </w:r>
      <w:r w:rsidRPr="00EA0DC7">
        <w:rPr>
          <w:rFonts w:eastAsia="Times New Roman" w:cs="Arial"/>
          <w:noProof/>
          <w:szCs w:val="24"/>
        </w:rPr>
        <w:t>, 51–67.</w:t>
      </w:r>
    </w:p>
    <w:p w14:paraId="5ACDA3C0"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Hipp, J. L., &amp; Munson, C. E. (1995). The partnership model: A feminist supervision/consultation perspective. </w:t>
      </w:r>
      <w:r w:rsidRPr="00EA0DC7">
        <w:rPr>
          <w:rFonts w:eastAsia="Times New Roman" w:cs="Arial"/>
          <w:i/>
          <w:iCs/>
          <w:noProof/>
          <w:szCs w:val="24"/>
        </w:rPr>
        <w:t>The Clinical Supervisor</w:t>
      </w:r>
      <w:r w:rsidRPr="00EA0DC7">
        <w:rPr>
          <w:rFonts w:eastAsia="Times New Roman" w:cs="Arial"/>
          <w:noProof/>
          <w:szCs w:val="24"/>
        </w:rPr>
        <w:t xml:space="preserve">, </w:t>
      </w:r>
      <w:r w:rsidRPr="00EA0DC7">
        <w:rPr>
          <w:rFonts w:eastAsia="Times New Roman" w:cs="Arial"/>
          <w:i/>
          <w:iCs/>
          <w:noProof/>
          <w:szCs w:val="24"/>
        </w:rPr>
        <w:t>13</w:t>
      </w:r>
      <w:r w:rsidRPr="00EA0DC7">
        <w:rPr>
          <w:rFonts w:eastAsia="Times New Roman" w:cs="Arial"/>
          <w:noProof/>
          <w:szCs w:val="24"/>
        </w:rPr>
        <w:t>, 23–38.</w:t>
      </w:r>
    </w:p>
    <w:p w14:paraId="1E0FF5C3" w14:textId="77777777" w:rsidR="0065163F" w:rsidRPr="00EA0DC7" w:rsidRDefault="0065163F">
      <w:pPr>
        <w:widowControl w:val="0"/>
        <w:spacing w:after="160"/>
        <w:ind w:left="709" w:hanging="709"/>
        <w:rPr>
          <w:rFonts w:cs="Arial"/>
          <w:bCs/>
          <w:szCs w:val="24"/>
        </w:rPr>
      </w:pPr>
      <w:r w:rsidRPr="00EA0DC7">
        <w:rPr>
          <w:rFonts w:cs="Arial"/>
          <w:bCs/>
          <w:szCs w:val="24"/>
        </w:rPr>
        <w:t xml:space="preserve">Hoffart, A., &amp; Martinsen, E. (1993). The effect of personality disorders and anxious-depressive comorbidity on outcome in patients with unipolar depression and with panic disorder and agoraphobia. </w:t>
      </w:r>
      <w:r w:rsidRPr="00EA0DC7">
        <w:rPr>
          <w:rFonts w:cs="Arial"/>
          <w:bCs/>
          <w:i/>
          <w:szCs w:val="24"/>
        </w:rPr>
        <w:t>Journal of Personality Disorders, 7,</w:t>
      </w:r>
      <w:r w:rsidRPr="00EA0DC7">
        <w:rPr>
          <w:rFonts w:cs="Arial"/>
          <w:bCs/>
          <w:szCs w:val="24"/>
        </w:rPr>
        <w:t xml:space="preserve"> 304-311.</w:t>
      </w:r>
    </w:p>
    <w:p w14:paraId="6553FABA"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Hogan, R. A. (1964). Issues and approaches in supervision. </w:t>
      </w:r>
      <w:r w:rsidRPr="00EA0DC7">
        <w:rPr>
          <w:rFonts w:eastAsia="Times New Roman" w:cs="Arial"/>
          <w:i/>
          <w:iCs/>
          <w:noProof/>
          <w:szCs w:val="24"/>
        </w:rPr>
        <w:t>Psychotherapy: Theory, Research &amp; Practice</w:t>
      </w:r>
      <w:r w:rsidRPr="00EA0DC7">
        <w:rPr>
          <w:rFonts w:eastAsia="Times New Roman" w:cs="Arial"/>
          <w:noProof/>
          <w:szCs w:val="24"/>
        </w:rPr>
        <w:t xml:space="preserve">, </w:t>
      </w:r>
      <w:r w:rsidRPr="00EA0DC7">
        <w:rPr>
          <w:rFonts w:eastAsia="Times New Roman" w:cs="Arial"/>
          <w:i/>
          <w:iCs/>
          <w:noProof/>
          <w:szCs w:val="24"/>
        </w:rPr>
        <w:t>1</w:t>
      </w:r>
      <w:r w:rsidRPr="00EA0DC7">
        <w:rPr>
          <w:rFonts w:eastAsia="Times New Roman" w:cs="Arial"/>
          <w:noProof/>
          <w:szCs w:val="24"/>
        </w:rPr>
        <w:t>, 139–141.</w:t>
      </w:r>
    </w:p>
    <w:p w14:paraId="61C696F2" w14:textId="77777777" w:rsidR="0065163F" w:rsidRPr="00EA0DC7" w:rsidRDefault="0065163F">
      <w:pPr>
        <w:widowControl w:val="0"/>
        <w:spacing w:after="160"/>
        <w:ind w:left="709" w:hanging="709"/>
        <w:rPr>
          <w:rFonts w:cs="Arial"/>
          <w:bCs/>
          <w:szCs w:val="24"/>
        </w:rPr>
      </w:pPr>
      <w:r w:rsidRPr="00EA0DC7">
        <w:rPr>
          <w:rFonts w:cs="Arial"/>
          <w:bCs/>
          <w:szCs w:val="24"/>
        </w:rPr>
        <w:t xml:space="preserve">Hollon, S. D., Shelton, R. C., Wisniewski, S., Warder, D., Biggs, M. M., Friedman, E. S., … Rush, A. J. (2006). Presenting characteristics of depressed outpatients as a function of recurrence: Preliminary findings from the STAR*D clinical trial. </w:t>
      </w:r>
      <w:r w:rsidRPr="00EA0DC7">
        <w:rPr>
          <w:rFonts w:cs="Arial"/>
          <w:bCs/>
          <w:i/>
          <w:szCs w:val="24"/>
        </w:rPr>
        <w:t>Journal of Psychiatric Research, 40,</w:t>
      </w:r>
      <w:r w:rsidRPr="00EA0DC7">
        <w:rPr>
          <w:rFonts w:cs="Arial"/>
          <w:bCs/>
          <w:szCs w:val="24"/>
        </w:rPr>
        <w:t xml:space="preserve"> 59-69.</w:t>
      </w:r>
    </w:p>
    <w:p w14:paraId="1A99B8E7"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Holloway, E. L. (1995). </w:t>
      </w:r>
      <w:r w:rsidRPr="00EA0DC7">
        <w:rPr>
          <w:rFonts w:eastAsia="Times New Roman" w:cs="Arial"/>
          <w:i/>
          <w:iCs/>
          <w:noProof/>
          <w:szCs w:val="24"/>
        </w:rPr>
        <w:t>Clinical supervision: A systems approach</w:t>
      </w:r>
      <w:r w:rsidRPr="00EA0DC7">
        <w:rPr>
          <w:rFonts w:eastAsia="Times New Roman" w:cs="Arial"/>
          <w:noProof/>
          <w:szCs w:val="24"/>
        </w:rPr>
        <w:t>. Thousand Oaks, CA: Sage.</w:t>
      </w:r>
    </w:p>
    <w:p w14:paraId="16573A7B" w14:textId="77777777"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lastRenderedPageBreak/>
        <w:t xml:space="preserve">Horvath, A. O., &amp; Greenberg, L. S. (1989). Development and validation of the Working Alliance Inventory.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36</w:t>
      </w:r>
      <w:r w:rsidRPr="00EA0DC7">
        <w:rPr>
          <w:rFonts w:eastAsia="Calibri" w:cs="Arial"/>
          <w:noProof/>
          <w:szCs w:val="24"/>
          <w:lang w:eastAsia="en-US"/>
        </w:rPr>
        <w:t>, 223–233.</w:t>
      </w:r>
    </w:p>
    <w:p w14:paraId="2B6B3BE1" w14:textId="77777777" w:rsidR="0065163F" w:rsidRPr="00EA0DC7" w:rsidRDefault="0065163F">
      <w:pPr>
        <w:widowControl w:val="0"/>
        <w:spacing w:after="160"/>
        <w:ind w:left="709" w:hanging="709"/>
      </w:pPr>
      <w:r w:rsidRPr="00EA0DC7">
        <w:rPr>
          <w:rFonts w:cs="Arial"/>
          <w:bCs/>
          <w:szCs w:val="24"/>
        </w:rPr>
        <w:t xml:space="preserve">Horwitz, A. (2015). </w:t>
      </w:r>
      <w:r w:rsidRPr="00EA0DC7">
        <w:t xml:space="preserve">The DSM-5 and the continuing transformation of normal sadness into depressive disorder. </w:t>
      </w:r>
      <w:r w:rsidRPr="00EA0DC7">
        <w:rPr>
          <w:i/>
        </w:rPr>
        <w:t>Emotion Review, 7,</w:t>
      </w:r>
      <w:r w:rsidRPr="00EA0DC7">
        <w:t xml:space="preserve"> 209-215.</w:t>
      </w:r>
    </w:p>
    <w:p w14:paraId="4BE4ED3F" w14:textId="789DB6E8"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Hosford, R. E., &amp; Barmann, B. (1983). A social learning approach to counselor supervision. </w:t>
      </w:r>
      <w:r w:rsidRPr="00EA0DC7">
        <w:rPr>
          <w:rFonts w:eastAsia="Times New Roman" w:cs="Arial"/>
          <w:i/>
          <w:iCs/>
          <w:noProof/>
          <w:szCs w:val="24"/>
        </w:rPr>
        <w:t>The Counseling Psychologist</w:t>
      </w:r>
      <w:r w:rsidRPr="00EA0DC7">
        <w:rPr>
          <w:rFonts w:eastAsia="Times New Roman" w:cs="Arial"/>
          <w:noProof/>
          <w:szCs w:val="24"/>
        </w:rPr>
        <w:t xml:space="preserve">, </w:t>
      </w:r>
      <w:r w:rsidRPr="00EA0DC7">
        <w:rPr>
          <w:rFonts w:eastAsia="Times New Roman" w:cs="Arial"/>
          <w:i/>
          <w:iCs/>
          <w:noProof/>
          <w:szCs w:val="24"/>
        </w:rPr>
        <w:t>11</w:t>
      </w:r>
      <w:r w:rsidRPr="00EA0DC7">
        <w:rPr>
          <w:rFonts w:eastAsia="Times New Roman" w:cs="Arial"/>
          <w:noProof/>
          <w:szCs w:val="24"/>
        </w:rPr>
        <w:t>, 51–58.</w:t>
      </w:r>
    </w:p>
    <w:p w14:paraId="557ECE67" w14:textId="37EB481A" w:rsidR="00B473AD" w:rsidRPr="00EA0DC7" w:rsidRDefault="00B473AD" w:rsidP="00F821B4">
      <w:pPr>
        <w:widowControl w:val="0"/>
        <w:ind w:left="709" w:hanging="709"/>
      </w:pPr>
      <w:r w:rsidRPr="00EA0DC7">
        <w:t xml:space="preserve">Hunter, J. E., Jensen, J. L., &amp; Rodgers, R. (2014). The control group and the meta-analysis. </w:t>
      </w:r>
      <w:r w:rsidRPr="00EA0DC7">
        <w:rPr>
          <w:i/>
        </w:rPr>
        <w:t>Journal of Methods and Measurement in the Social Sciences, 5,</w:t>
      </w:r>
      <w:r w:rsidRPr="00EA0DC7">
        <w:t xml:space="preserve"> 3-21.</w:t>
      </w:r>
    </w:p>
    <w:p w14:paraId="2D848D4A" w14:textId="43F04886" w:rsidR="0065163F" w:rsidRPr="00EA0DC7" w:rsidRDefault="0065163F">
      <w:pPr>
        <w:widowControl w:val="0"/>
        <w:spacing w:after="160"/>
        <w:ind w:left="709" w:hanging="709"/>
        <w:rPr>
          <w:rFonts w:cs="Arial"/>
          <w:bCs/>
          <w:szCs w:val="24"/>
        </w:rPr>
      </w:pPr>
      <w:r w:rsidRPr="00EA0DC7">
        <w:rPr>
          <w:rFonts w:cs="Arial"/>
          <w:bCs/>
          <w:szCs w:val="24"/>
        </w:rPr>
        <w:t xml:space="preserve">Huppert, J. D., Barlow, D. H., Gorman, J. M., Shear, M. K., Woods, S. W. (2006). The interaction of motivation and therapist adherence predicts outcome in cognitive behavioural therapy for panic disorder: Preliminary findings. </w:t>
      </w:r>
      <w:r w:rsidRPr="00EA0DC7">
        <w:rPr>
          <w:rFonts w:cs="Arial"/>
          <w:bCs/>
          <w:i/>
          <w:szCs w:val="24"/>
        </w:rPr>
        <w:t>Cognitive and Behavioral Practice, 13,</w:t>
      </w:r>
      <w:r w:rsidR="00241F48" w:rsidRPr="00EA0DC7">
        <w:rPr>
          <w:rFonts w:cs="Arial"/>
          <w:bCs/>
          <w:i/>
          <w:szCs w:val="24"/>
        </w:rPr>
        <w:t xml:space="preserve"> </w:t>
      </w:r>
      <w:r w:rsidRPr="00EA0DC7">
        <w:rPr>
          <w:rFonts w:cs="Arial"/>
          <w:bCs/>
          <w:szCs w:val="24"/>
        </w:rPr>
        <w:t>198-204.</w:t>
      </w:r>
    </w:p>
    <w:p w14:paraId="512D0A2D" w14:textId="77777777" w:rsidR="0065163F" w:rsidRPr="00EA0DC7" w:rsidRDefault="0065163F">
      <w:pPr>
        <w:widowControl w:val="0"/>
        <w:spacing w:after="160"/>
        <w:ind w:left="709" w:hanging="709"/>
        <w:rPr>
          <w:rFonts w:cs="Arial"/>
          <w:bCs/>
          <w:noProof/>
        </w:rPr>
      </w:pPr>
      <w:r w:rsidRPr="00EA0DC7">
        <w:rPr>
          <w:rFonts w:cs="Arial"/>
          <w:bCs/>
          <w:noProof/>
        </w:rPr>
        <w:t xml:space="preserve">Huppert, J. D., Bufka, L. F., Barlow, D. H., Gorman, J. M., Shear, M. K., &amp; Woods, S. W. (2001). Therapists, therapist variables, and cognitive-behavioural therapy outcome in a multicenter trial for panic disorder. </w:t>
      </w:r>
      <w:r w:rsidRPr="00EA0DC7">
        <w:rPr>
          <w:rFonts w:cs="Arial"/>
          <w:bCs/>
          <w:i/>
          <w:noProof/>
        </w:rPr>
        <w:t>Journal of Consulting and Clinical Psychology, 69</w:t>
      </w:r>
      <w:r w:rsidRPr="00EA0DC7">
        <w:rPr>
          <w:rFonts w:cs="Arial"/>
          <w:bCs/>
          <w:noProof/>
        </w:rPr>
        <w:t>, 747-755.</w:t>
      </w:r>
    </w:p>
    <w:p w14:paraId="47EC4653" w14:textId="4A4E260F"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Hutter, R. I. V., Oldenhof-Veldman, T., &amp; Oudejans, R. R. D. (2015). What trainee sport psychologists want to learn in supervision. </w:t>
      </w:r>
      <w:r w:rsidRPr="00EA0DC7">
        <w:rPr>
          <w:rFonts w:eastAsia="Times New Roman" w:cs="Arial"/>
          <w:i/>
          <w:iCs/>
          <w:noProof/>
          <w:szCs w:val="24"/>
        </w:rPr>
        <w:t>Psychology of Sport and Exercise</w:t>
      </w:r>
      <w:r w:rsidRPr="00EA0DC7">
        <w:rPr>
          <w:rFonts w:eastAsia="Times New Roman" w:cs="Arial"/>
          <w:noProof/>
          <w:szCs w:val="24"/>
        </w:rPr>
        <w:t xml:space="preserve">, </w:t>
      </w:r>
      <w:r w:rsidRPr="00EA0DC7">
        <w:rPr>
          <w:rFonts w:eastAsia="Times New Roman" w:cs="Arial"/>
          <w:i/>
          <w:iCs/>
          <w:noProof/>
          <w:szCs w:val="24"/>
        </w:rPr>
        <w:t>16</w:t>
      </w:r>
      <w:r w:rsidRPr="00EA0DC7">
        <w:rPr>
          <w:rFonts w:eastAsia="Times New Roman" w:cs="Arial"/>
          <w:noProof/>
          <w:szCs w:val="24"/>
        </w:rPr>
        <w:t>, 101–109.</w:t>
      </w:r>
    </w:p>
    <w:p w14:paraId="3316F97F" w14:textId="4A49726C" w:rsidR="00D50016" w:rsidRPr="00EA0DC7" w:rsidRDefault="00D50016" w:rsidP="00F821B4">
      <w:pPr>
        <w:widowControl w:val="0"/>
        <w:ind w:left="709" w:hanging="709"/>
      </w:pPr>
      <w:r w:rsidRPr="00EA0DC7">
        <w:t xml:space="preserve">Hyde, J. S. (2005). The gender similarities hypothesis. </w:t>
      </w:r>
      <w:r w:rsidRPr="00EA0DC7">
        <w:rPr>
          <w:i/>
        </w:rPr>
        <w:t>American Psychologist, 60,</w:t>
      </w:r>
      <w:r w:rsidRPr="00EA0DC7">
        <w:t xml:space="preserve"> 581-592.</w:t>
      </w:r>
    </w:p>
    <w:p w14:paraId="4E52C028" w14:textId="77777777" w:rsidR="0065163F" w:rsidRPr="00EA0DC7" w:rsidRDefault="0065163F">
      <w:pPr>
        <w:widowControl w:val="0"/>
        <w:spacing w:after="160"/>
        <w:ind w:left="709" w:hanging="709"/>
      </w:pPr>
      <w:r w:rsidRPr="00EA0DC7">
        <w:rPr>
          <w:rStyle w:val="Hyperlink"/>
          <w:rFonts w:cs="Arial"/>
          <w:bCs/>
          <w:color w:val="auto"/>
          <w:szCs w:val="24"/>
          <w:u w:val="none"/>
        </w:rPr>
        <w:lastRenderedPageBreak/>
        <w:t xml:space="preserve">Improving Access to Psychological Therapies. (2010a). </w:t>
      </w:r>
      <w:r w:rsidRPr="00EA0DC7">
        <w:rPr>
          <w:i/>
        </w:rPr>
        <w:t>Curriculum for counselling for depression: Continuing professional development for qualified therapists delivering high intensity interventions.</w:t>
      </w:r>
      <w:r w:rsidRPr="00EA0DC7">
        <w:t xml:space="preserve"> London, UK: National IAPT Programme Team.</w:t>
      </w:r>
    </w:p>
    <w:p w14:paraId="57A2AED9" w14:textId="77777777" w:rsidR="0065163F" w:rsidRPr="00EA0DC7" w:rsidRDefault="0065163F">
      <w:pPr>
        <w:widowControl w:val="0"/>
        <w:spacing w:after="160"/>
        <w:ind w:left="709" w:hanging="709"/>
        <w:rPr>
          <w:rStyle w:val="Hyperlink"/>
          <w:rFonts w:cs="Arial"/>
          <w:bCs/>
          <w:color w:val="auto"/>
          <w:szCs w:val="24"/>
          <w:u w:val="none"/>
        </w:rPr>
      </w:pPr>
      <w:r w:rsidRPr="00EA0DC7">
        <w:rPr>
          <w:rFonts w:cs="Arial"/>
          <w:bCs/>
          <w:szCs w:val="24"/>
        </w:rPr>
        <w:t xml:space="preserve">Improving Access to Psychological Therapies. (2010b). Interpersonal psychotherapy for depression (IPT) competency framework. Retrieved 07/10/15, from </w:t>
      </w:r>
      <w:hyperlink r:id="rId30" w:history="1">
        <w:r w:rsidRPr="00EA0DC7">
          <w:rPr>
            <w:rStyle w:val="Hyperlink"/>
            <w:rFonts w:cs="Arial"/>
            <w:bCs/>
            <w:color w:val="auto"/>
            <w:szCs w:val="24"/>
            <w:u w:val="none"/>
          </w:rPr>
          <w:t>http://www.iapt.nhs.uk/silo/files/interpersonal-psychotherapy-for-depression-ipt-competency-framework.pdf</w:t>
        </w:r>
      </w:hyperlink>
    </w:p>
    <w:p w14:paraId="171A9F63"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Times New Roman" w:cs="Arial"/>
          <w:noProof/>
          <w:szCs w:val="24"/>
        </w:rPr>
        <w:t xml:space="preserve">Inskipp, F., &amp; Proctor, B. (2009). </w:t>
      </w:r>
      <w:r w:rsidRPr="00EA0DC7">
        <w:rPr>
          <w:rFonts w:eastAsia="Times New Roman" w:cs="Arial"/>
          <w:i/>
          <w:iCs/>
          <w:noProof/>
          <w:szCs w:val="24"/>
        </w:rPr>
        <w:t>The art, craft and task of counselling supervision: Making the most of supervision</w:t>
      </w:r>
      <w:r w:rsidRPr="00EA0DC7">
        <w:rPr>
          <w:rFonts w:eastAsia="Times New Roman" w:cs="Arial"/>
          <w:noProof/>
          <w:szCs w:val="24"/>
        </w:rPr>
        <w:t>. Twickenham, UK: Cascade.</w:t>
      </w:r>
    </w:p>
    <w:p w14:paraId="736169A9" w14:textId="77777777"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Jacobson, N. S., Dobson, K.S., Truax, P. A., Addis, M. E., Koerner, K., Gollan, J. K., … Prince, S. E. (1996). A component analysis of cognitive-behavioral treatment for depression. </w:t>
      </w:r>
      <w:r w:rsidRPr="00EA0DC7">
        <w:rPr>
          <w:rStyle w:val="Hyperlink"/>
          <w:rFonts w:cs="Arial"/>
          <w:bCs/>
          <w:i/>
          <w:color w:val="auto"/>
          <w:szCs w:val="24"/>
          <w:u w:val="none"/>
        </w:rPr>
        <w:t>Journal of Consulting and Clinical Psychology, 64,</w:t>
      </w:r>
      <w:r w:rsidRPr="00EA0DC7">
        <w:rPr>
          <w:rStyle w:val="Hyperlink"/>
          <w:rFonts w:cs="Arial"/>
          <w:bCs/>
          <w:color w:val="auto"/>
          <w:szCs w:val="24"/>
          <w:u w:val="none"/>
        </w:rPr>
        <w:t xml:space="preserve"> 295-304.</w:t>
      </w:r>
    </w:p>
    <w:p w14:paraId="7B1F6A48" w14:textId="77777777" w:rsidR="0065163F" w:rsidRPr="00EA0DC7" w:rsidRDefault="0065163F">
      <w:pPr>
        <w:widowControl w:val="0"/>
        <w:spacing w:after="160"/>
        <w:ind w:left="709" w:hanging="709"/>
        <w:rPr>
          <w:rFonts w:cs="Arial"/>
          <w:bCs/>
          <w:szCs w:val="24"/>
        </w:rPr>
      </w:pPr>
      <w:r w:rsidRPr="00EA0DC7">
        <w:rPr>
          <w:rFonts w:cs="Arial"/>
          <w:bCs/>
          <w:szCs w:val="24"/>
        </w:rPr>
        <w:t xml:space="preserve">Jarrett, R. B., Eaves, G. G., Grannemann, B. D., &amp; Rush, A. J. (1991). Clinical, cognitive, and demographic predictors of response to cognitive therapy for depression: a preliminary report. </w:t>
      </w:r>
      <w:r w:rsidRPr="00EA0DC7">
        <w:rPr>
          <w:rFonts w:cs="Arial"/>
          <w:bCs/>
          <w:i/>
          <w:szCs w:val="24"/>
        </w:rPr>
        <w:t>Psychiatry Research, 37,</w:t>
      </w:r>
      <w:r w:rsidRPr="00EA0DC7">
        <w:rPr>
          <w:rFonts w:cs="Arial"/>
          <w:bCs/>
          <w:szCs w:val="24"/>
        </w:rPr>
        <w:t xml:space="preserve"> 245–260.</w:t>
      </w:r>
    </w:p>
    <w:p w14:paraId="7F3D4FF4" w14:textId="5874BBEE" w:rsidR="0065163F" w:rsidRDefault="0065163F">
      <w:pPr>
        <w:widowControl w:val="0"/>
        <w:spacing w:after="160"/>
        <w:ind w:left="709" w:hanging="709"/>
        <w:rPr>
          <w:rFonts w:cs="Arial"/>
          <w:bCs/>
          <w:szCs w:val="24"/>
        </w:rPr>
      </w:pPr>
      <w:r w:rsidRPr="00EA0DC7">
        <w:rPr>
          <w:rFonts w:cs="Arial"/>
          <w:bCs/>
          <w:szCs w:val="24"/>
        </w:rPr>
        <w:t xml:space="preserve">Johansson, H., &amp; Jansson, J-A. (2010). Therapeutic alliance and outcome in routine psychiatric out-patient treatment: Patient factors and outcome. </w:t>
      </w:r>
      <w:r w:rsidRPr="00EA0DC7">
        <w:rPr>
          <w:rFonts w:cs="Arial"/>
          <w:bCs/>
          <w:i/>
          <w:szCs w:val="24"/>
        </w:rPr>
        <w:t xml:space="preserve">Psychology and Psychotherapy: Theory, Research and Practice, 83, </w:t>
      </w:r>
      <w:r w:rsidRPr="00EA0DC7">
        <w:rPr>
          <w:rFonts w:cs="Arial"/>
          <w:bCs/>
          <w:szCs w:val="24"/>
        </w:rPr>
        <w:t>193-206.</w:t>
      </w:r>
    </w:p>
    <w:p w14:paraId="115A7C4B" w14:textId="45ACB8EB" w:rsidR="002B5F71" w:rsidRPr="00EA0DC7" w:rsidRDefault="002B5F71">
      <w:pPr>
        <w:widowControl w:val="0"/>
        <w:spacing w:after="160"/>
        <w:ind w:left="709" w:hanging="709"/>
        <w:rPr>
          <w:rFonts w:cs="Arial"/>
          <w:bCs/>
          <w:szCs w:val="24"/>
        </w:rPr>
      </w:pPr>
      <w:r w:rsidRPr="002B5F71">
        <w:rPr>
          <w:rFonts w:cs="Arial"/>
          <w:bCs/>
          <w:szCs w:val="24"/>
        </w:rPr>
        <w:t xml:space="preserve">Johnsen T. J., Friborg O. (2015). The effects of cognitive behavioral therapy as an anti-depressive treatment is falling: A meta-analysis. </w:t>
      </w:r>
      <w:r w:rsidRPr="0055551C">
        <w:rPr>
          <w:rFonts w:cs="Arial"/>
          <w:bCs/>
          <w:i/>
          <w:szCs w:val="24"/>
        </w:rPr>
        <w:lastRenderedPageBreak/>
        <w:t>Psychological Bulletin, 141</w:t>
      </w:r>
      <w:r w:rsidRPr="002B5F71">
        <w:rPr>
          <w:rFonts w:cs="Arial"/>
          <w:bCs/>
          <w:szCs w:val="24"/>
        </w:rPr>
        <w:t>, 747-768.</w:t>
      </w:r>
    </w:p>
    <w:p w14:paraId="6E3130F5" w14:textId="77777777" w:rsidR="0065163F" w:rsidRPr="00EA0DC7" w:rsidRDefault="0065163F">
      <w:pPr>
        <w:widowControl w:val="0"/>
        <w:spacing w:after="160"/>
        <w:ind w:left="709" w:hanging="709"/>
        <w:rPr>
          <w:rFonts w:cs="Arial"/>
          <w:bCs/>
          <w:szCs w:val="24"/>
        </w:rPr>
      </w:pPr>
      <w:r w:rsidRPr="00EA0DC7">
        <w:rPr>
          <w:rFonts w:cs="Arial"/>
          <w:bCs/>
          <w:szCs w:val="24"/>
          <w:lang w:val="es-ES_tradnl"/>
        </w:rPr>
        <w:t xml:space="preserve">Jones, I. H., &amp; Pansa, M. (1979). </w:t>
      </w:r>
      <w:r w:rsidRPr="00EA0DC7">
        <w:rPr>
          <w:rFonts w:cs="Arial"/>
          <w:bCs/>
          <w:szCs w:val="24"/>
        </w:rPr>
        <w:t xml:space="preserve">Some nonverbal aspects of depression and schizophrenia occurring during the interview. </w:t>
      </w:r>
      <w:r w:rsidRPr="00EA0DC7">
        <w:rPr>
          <w:rFonts w:cs="Arial"/>
          <w:bCs/>
          <w:i/>
          <w:szCs w:val="24"/>
        </w:rPr>
        <w:t>Journal of Nervous Mental Disease, 30,</w:t>
      </w:r>
      <w:r w:rsidRPr="00EA0DC7">
        <w:rPr>
          <w:rFonts w:cs="Arial"/>
          <w:bCs/>
          <w:szCs w:val="24"/>
        </w:rPr>
        <w:t xml:space="preserve"> 402-409.</w:t>
      </w:r>
    </w:p>
    <w:p w14:paraId="703027CE" w14:textId="3B0F83C2" w:rsidR="0065163F" w:rsidRPr="00EA0DC7" w:rsidRDefault="0065163F">
      <w:pPr>
        <w:widowControl w:val="0"/>
        <w:spacing w:after="160"/>
        <w:ind w:left="709" w:hanging="709"/>
        <w:rPr>
          <w:rFonts w:cs="Arial"/>
          <w:bCs/>
          <w:noProof/>
        </w:rPr>
      </w:pPr>
      <w:r w:rsidRPr="00EA0DC7">
        <w:rPr>
          <w:rFonts w:cs="Arial"/>
          <w:bCs/>
          <w:noProof/>
        </w:rPr>
        <w:t xml:space="preserve">Kadushin, A. (1976). </w:t>
      </w:r>
      <w:r w:rsidRPr="00EA0DC7">
        <w:rPr>
          <w:rFonts w:cs="Arial"/>
          <w:bCs/>
          <w:i/>
          <w:noProof/>
        </w:rPr>
        <w:t>Supervision in social work</w:t>
      </w:r>
      <w:r w:rsidRPr="00EA0DC7">
        <w:rPr>
          <w:rFonts w:cs="Arial"/>
          <w:bCs/>
          <w:noProof/>
        </w:rPr>
        <w:t>. New York, NY: Columbia University Press.</w:t>
      </w:r>
    </w:p>
    <w:p w14:paraId="1803CC1C" w14:textId="77777777" w:rsidR="000D3166" w:rsidRPr="00EA0DC7" w:rsidRDefault="000D3166" w:rsidP="00F821B4">
      <w:pPr>
        <w:widowControl w:val="0"/>
        <w:ind w:left="709" w:hanging="709"/>
        <w:rPr>
          <w:rFonts w:cs="Arial"/>
        </w:rPr>
      </w:pPr>
      <w:r w:rsidRPr="00EA0DC7">
        <w:rPr>
          <w:rFonts w:cs="Arial"/>
        </w:rPr>
        <w:t xml:space="preserve">Kanter, J. W., Busch, A. M., &amp; Rusch, L. C. (2009). </w:t>
      </w:r>
      <w:r w:rsidRPr="00EA0DC7">
        <w:rPr>
          <w:rFonts w:cs="Arial"/>
          <w:i/>
        </w:rPr>
        <w:t>The CBT distinctive features series: Behavioural activation.</w:t>
      </w:r>
      <w:r w:rsidRPr="00EA0DC7">
        <w:rPr>
          <w:rFonts w:cs="Arial"/>
        </w:rPr>
        <w:t xml:space="preserve"> New York, NY: Routledge.</w:t>
      </w:r>
    </w:p>
    <w:p w14:paraId="5D3E71AB" w14:textId="1151909E" w:rsidR="00DA04A4" w:rsidRPr="00EA0DC7" w:rsidRDefault="00DA04A4">
      <w:pPr>
        <w:widowControl w:val="0"/>
        <w:spacing w:after="160"/>
        <w:ind w:left="709" w:hanging="709"/>
        <w:rPr>
          <w:rFonts w:cs="Arial"/>
          <w:bCs/>
          <w:noProof/>
        </w:rPr>
      </w:pPr>
      <w:r w:rsidRPr="00EA0DC7">
        <w:rPr>
          <w:rFonts w:cs="Arial"/>
          <w:bCs/>
          <w:noProof/>
        </w:rPr>
        <w:t xml:space="preserve">Kazantzis, N., &amp; Lampropoulos, G. K. (2002). Reflecting on homework psychotherapy: What can we conclude from research and experience? </w:t>
      </w:r>
      <w:r w:rsidRPr="00EA0DC7">
        <w:rPr>
          <w:rFonts w:cs="Arial"/>
          <w:bCs/>
          <w:i/>
          <w:noProof/>
        </w:rPr>
        <w:t>Journal of Clinical Psychology, 58</w:t>
      </w:r>
      <w:r w:rsidRPr="00EA0DC7">
        <w:rPr>
          <w:rFonts w:cs="Arial"/>
          <w:bCs/>
          <w:noProof/>
        </w:rPr>
        <w:t>, 577-585.</w:t>
      </w:r>
    </w:p>
    <w:p w14:paraId="0273ECF8" w14:textId="77777777" w:rsidR="0065163F" w:rsidRPr="00EA0DC7" w:rsidRDefault="0065163F">
      <w:pPr>
        <w:widowControl w:val="0"/>
        <w:spacing w:after="160"/>
        <w:ind w:left="709" w:hanging="709"/>
        <w:rPr>
          <w:rFonts w:cs="Arial"/>
          <w:bCs/>
          <w:noProof/>
        </w:rPr>
      </w:pPr>
      <w:r w:rsidRPr="00EA0DC7">
        <w:rPr>
          <w:rFonts w:cs="Arial"/>
          <w:bCs/>
          <w:noProof/>
        </w:rPr>
        <w:t xml:space="preserve">Kazdin, A. E. (2008). Evidence-based treatment and practice: New opportunities to bridge clinical research and practice, enhance the knowledge base, and improve patient care. </w:t>
      </w:r>
      <w:r w:rsidRPr="00EA0DC7">
        <w:rPr>
          <w:rFonts w:cs="Arial"/>
          <w:bCs/>
          <w:i/>
          <w:noProof/>
        </w:rPr>
        <w:t>American Psychologist, 63</w:t>
      </w:r>
      <w:r w:rsidRPr="00EA0DC7">
        <w:rPr>
          <w:rFonts w:cs="Arial"/>
          <w:bCs/>
          <w:noProof/>
        </w:rPr>
        <w:t xml:space="preserve">, 146-159. </w:t>
      </w:r>
    </w:p>
    <w:p w14:paraId="3456A58F" w14:textId="77777777" w:rsidR="0065163F" w:rsidRPr="00EA0DC7" w:rsidRDefault="0065163F">
      <w:pPr>
        <w:widowControl w:val="0"/>
        <w:spacing w:after="160"/>
        <w:ind w:left="709" w:hanging="709"/>
        <w:rPr>
          <w:rFonts w:cs="Arial"/>
          <w:bCs/>
          <w:szCs w:val="24"/>
        </w:rPr>
      </w:pPr>
      <w:r w:rsidRPr="00EA0DC7">
        <w:rPr>
          <w:rFonts w:cs="Arial"/>
          <w:bCs/>
          <w:szCs w:val="24"/>
          <w:lang w:val="nl-NL"/>
        </w:rPr>
        <w:t xml:space="preserve">Keijsers, G., Schaap, C., &amp; Hoogduin, C. (2000). </w:t>
      </w:r>
      <w:r w:rsidRPr="00EA0DC7">
        <w:rPr>
          <w:rFonts w:cs="Arial"/>
          <w:bCs/>
          <w:szCs w:val="24"/>
        </w:rPr>
        <w:t xml:space="preserve">The impact of interpersonal patient and therapist behavior on outcome in cognitive-behavior therapy. A review of empirical studies. </w:t>
      </w:r>
      <w:r w:rsidRPr="00EA0DC7">
        <w:rPr>
          <w:rFonts w:cs="Arial"/>
          <w:bCs/>
          <w:i/>
          <w:szCs w:val="24"/>
        </w:rPr>
        <w:t>Behavior Modification, 24,</w:t>
      </w:r>
      <w:r w:rsidRPr="00EA0DC7">
        <w:rPr>
          <w:rFonts w:cs="Arial"/>
          <w:bCs/>
          <w:szCs w:val="24"/>
        </w:rPr>
        <w:t xml:space="preserve"> 264-297.</w:t>
      </w:r>
    </w:p>
    <w:p w14:paraId="7B1A3305" w14:textId="34A07F29" w:rsidR="0065163F" w:rsidRDefault="0065163F">
      <w:pPr>
        <w:widowControl w:val="0"/>
        <w:spacing w:after="160"/>
        <w:ind w:left="709" w:hanging="709"/>
        <w:rPr>
          <w:rFonts w:cs="Arial"/>
          <w:bCs/>
          <w:szCs w:val="24"/>
        </w:rPr>
      </w:pPr>
      <w:r w:rsidRPr="00EA0DC7">
        <w:rPr>
          <w:rFonts w:cs="Arial"/>
          <w:bCs/>
          <w:szCs w:val="24"/>
        </w:rPr>
        <w:t xml:space="preserve">Keller, M. B., McCullough, J. P., Klein, D. N., Arnow, B., Dunner, D. L., Gelenberg, A., J., … Zajecka, J. (2000). A comparison of Nefazodone, the cognitive behavioral-analysis system of psychotherapy, and their combination for the treatment of chronic depression. </w:t>
      </w:r>
      <w:r w:rsidRPr="00EA0DC7">
        <w:rPr>
          <w:rFonts w:cs="Arial"/>
          <w:bCs/>
          <w:i/>
          <w:szCs w:val="24"/>
        </w:rPr>
        <w:t xml:space="preserve">The New England </w:t>
      </w:r>
      <w:r w:rsidRPr="00EA0DC7">
        <w:rPr>
          <w:rFonts w:cs="Arial"/>
          <w:bCs/>
          <w:i/>
          <w:szCs w:val="24"/>
        </w:rPr>
        <w:lastRenderedPageBreak/>
        <w:t>Journal of Medicine, 342,</w:t>
      </w:r>
      <w:r w:rsidRPr="00EA0DC7">
        <w:rPr>
          <w:rFonts w:cs="Arial"/>
          <w:bCs/>
          <w:szCs w:val="24"/>
        </w:rPr>
        <w:t xml:space="preserve"> 1462-1470.</w:t>
      </w:r>
    </w:p>
    <w:p w14:paraId="0C3B0FE7" w14:textId="782C5D45" w:rsidR="00DF0DD7" w:rsidRPr="00EA0DC7" w:rsidRDefault="00DF0DD7">
      <w:pPr>
        <w:widowControl w:val="0"/>
        <w:spacing w:after="160"/>
        <w:ind w:left="709" w:hanging="709"/>
        <w:rPr>
          <w:rFonts w:cs="Arial"/>
          <w:bCs/>
          <w:szCs w:val="24"/>
        </w:rPr>
      </w:pPr>
      <w:r>
        <w:rPr>
          <w:rFonts w:cs="Arial"/>
          <w:bCs/>
          <w:szCs w:val="24"/>
        </w:rPr>
        <w:t xml:space="preserve">Kendler, K., S. (2016). The phenomenology of major depression and the representativeness and nature of DSM criteria. </w:t>
      </w:r>
      <w:r w:rsidRPr="0055551C">
        <w:rPr>
          <w:rFonts w:cs="Arial"/>
          <w:bCs/>
          <w:i/>
          <w:szCs w:val="24"/>
        </w:rPr>
        <w:t>American Journal of Psychiatry, 173,</w:t>
      </w:r>
      <w:r>
        <w:rPr>
          <w:rFonts w:cs="Arial"/>
          <w:bCs/>
          <w:szCs w:val="24"/>
        </w:rPr>
        <w:t xml:space="preserve"> 771-780.</w:t>
      </w:r>
    </w:p>
    <w:p w14:paraId="37243004" w14:textId="77777777" w:rsidR="0065163F" w:rsidRPr="00EA0DC7" w:rsidRDefault="0065163F">
      <w:pPr>
        <w:widowControl w:val="0"/>
        <w:spacing w:after="160"/>
        <w:ind w:left="709" w:hanging="709"/>
        <w:rPr>
          <w:rFonts w:cs="Arial"/>
        </w:rPr>
      </w:pPr>
      <w:r w:rsidRPr="00EA0DC7">
        <w:rPr>
          <w:rFonts w:cs="Arial"/>
        </w:rPr>
        <w:t xml:space="preserve">Kessler, R.C., Berglund, P., Demler, O., Jin, R., Koretz, D., Merikangas, K. R., … Wang, P.S. (2003). The epidemiology of major depressive disorder: Results from the National Comorbidity Survey Replication (NCS-R). </w:t>
      </w:r>
      <w:r w:rsidRPr="00EA0DC7">
        <w:rPr>
          <w:rFonts w:cs="Arial"/>
          <w:i/>
        </w:rPr>
        <w:t xml:space="preserve">Journal of the American Medical Association, 289, </w:t>
      </w:r>
      <w:r w:rsidRPr="00EA0DC7">
        <w:rPr>
          <w:rFonts w:cs="Arial"/>
        </w:rPr>
        <w:t>3095-3105.</w:t>
      </w:r>
    </w:p>
    <w:p w14:paraId="0252E432" w14:textId="77777777" w:rsidR="0065163F" w:rsidRPr="00EA0DC7" w:rsidRDefault="0065163F">
      <w:pPr>
        <w:widowControl w:val="0"/>
        <w:spacing w:after="160"/>
        <w:ind w:left="709" w:hanging="709"/>
        <w:rPr>
          <w:rFonts w:cs="Arial"/>
        </w:rPr>
      </w:pPr>
      <w:r w:rsidRPr="00EA0DC7">
        <w:rPr>
          <w:rFonts w:cs="Arial"/>
          <w:lang w:val="de-DE"/>
        </w:rPr>
        <w:t xml:space="preserve">Kessler, R. C., Berglund, P., Demler, O., Jin, R., Merikangas, K. R., &amp; Walters, E. E. (2005). </w:t>
      </w:r>
      <w:r w:rsidRPr="00EA0DC7">
        <w:rPr>
          <w:rFonts w:cs="Arial"/>
        </w:rPr>
        <w:t>Lifetime prevalence and age-of-onset distributions on DSM-IV disorders in the National Comorbidity Survey Replication</w:t>
      </w:r>
      <w:r w:rsidRPr="00EA0DC7">
        <w:rPr>
          <w:rFonts w:cs="Arial"/>
          <w:i/>
        </w:rPr>
        <w:t>. Archives of General Psychiatry, 62,</w:t>
      </w:r>
      <w:r w:rsidRPr="00EA0DC7">
        <w:rPr>
          <w:rFonts w:cs="Arial"/>
        </w:rPr>
        <w:t xml:space="preserve"> 593-602.</w:t>
      </w:r>
    </w:p>
    <w:p w14:paraId="4109045E" w14:textId="39FBC405" w:rsidR="0065163F" w:rsidRPr="00EA0DC7" w:rsidRDefault="00BA5FB0">
      <w:pPr>
        <w:widowControl w:val="0"/>
        <w:spacing w:after="160"/>
        <w:ind w:left="709" w:hanging="709"/>
        <w:rPr>
          <w:rFonts w:cs="Arial"/>
        </w:rPr>
      </w:pPr>
      <w:r w:rsidRPr="00EA0DC7">
        <w:rPr>
          <w:rFonts w:cs="Arial"/>
        </w:rPr>
        <w:t>Kessler, R. C., Nelson, C. B</w:t>
      </w:r>
      <w:r w:rsidR="0065163F" w:rsidRPr="00EA0DC7">
        <w:rPr>
          <w:rFonts w:cs="Arial"/>
        </w:rPr>
        <w:t xml:space="preserve">., McGonagle, K. A., Lui, J., Swartz, M., &amp; Blazer, D. G. (1996). </w:t>
      </w:r>
      <w:r w:rsidR="0065163F" w:rsidRPr="00EA0DC7">
        <w:rPr>
          <w:rFonts w:cs="Arial"/>
          <w:bCs/>
        </w:rPr>
        <w:t xml:space="preserve">Comorbidity of DSM-III-R major depressive disorder in the general population: results from the US National Comorbidity Survey. </w:t>
      </w:r>
      <w:r w:rsidR="0065163F" w:rsidRPr="00EA0DC7">
        <w:rPr>
          <w:rFonts w:cs="Arial"/>
          <w:bCs/>
          <w:i/>
        </w:rPr>
        <w:t xml:space="preserve">British Journal of Psychiatry, 168, </w:t>
      </w:r>
      <w:r w:rsidR="0065163F" w:rsidRPr="00EA0DC7">
        <w:rPr>
          <w:rFonts w:cs="Arial"/>
          <w:bCs/>
        </w:rPr>
        <w:t>17-30.</w:t>
      </w:r>
    </w:p>
    <w:p w14:paraId="11F95874" w14:textId="77777777" w:rsidR="0065163F" w:rsidRPr="00EA0DC7" w:rsidRDefault="0065163F">
      <w:pPr>
        <w:widowControl w:val="0"/>
        <w:spacing w:after="160"/>
        <w:ind w:left="709" w:hanging="709"/>
        <w:rPr>
          <w:rFonts w:cs="Arial"/>
          <w:bCs/>
          <w:noProof/>
        </w:rPr>
      </w:pPr>
      <w:r w:rsidRPr="00EA0DC7">
        <w:rPr>
          <w:rFonts w:cs="Arial"/>
          <w:bCs/>
          <w:noProof/>
        </w:rPr>
        <w:t xml:space="preserve">Kilminster, S. M., &amp; Jolly, B. C. (2000). Effective supervision in clinical practice settings: A literature review. </w:t>
      </w:r>
      <w:r w:rsidRPr="00EA0DC7">
        <w:rPr>
          <w:rFonts w:cs="Arial"/>
          <w:bCs/>
          <w:i/>
          <w:noProof/>
        </w:rPr>
        <w:t>Medical Education, 34</w:t>
      </w:r>
      <w:r w:rsidRPr="00EA0DC7">
        <w:rPr>
          <w:rFonts w:cs="Arial"/>
          <w:bCs/>
          <w:noProof/>
        </w:rPr>
        <w:t xml:space="preserve">, 827-840. </w:t>
      </w:r>
    </w:p>
    <w:p w14:paraId="25C31D81" w14:textId="77777777" w:rsidR="0065163F" w:rsidRPr="00EA0DC7" w:rsidRDefault="0065163F">
      <w:pPr>
        <w:widowControl w:val="0"/>
        <w:spacing w:after="160"/>
        <w:ind w:left="709" w:hanging="709"/>
        <w:rPr>
          <w:rFonts w:cs="Arial"/>
        </w:rPr>
      </w:pPr>
      <w:r w:rsidRPr="00EA0DC7">
        <w:rPr>
          <w:rFonts w:cs="Arial"/>
        </w:rPr>
        <w:t>Kirsch, I. (2014). Antidepressants and the placebo effect.</w:t>
      </w:r>
      <w:r w:rsidRPr="00EA0DC7">
        <w:rPr>
          <w:rFonts w:cs="Arial"/>
          <w:i/>
        </w:rPr>
        <w:t xml:space="preserve"> Zeitschrift Fur Psychologie, 222</w:t>
      </w:r>
      <w:r w:rsidRPr="00EA0DC7">
        <w:rPr>
          <w:rFonts w:cs="Arial"/>
        </w:rPr>
        <w:t>, 128–134.</w:t>
      </w:r>
    </w:p>
    <w:p w14:paraId="494F9CA7" w14:textId="77777777" w:rsidR="0065163F" w:rsidRPr="00EA0DC7" w:rsidRDefault="0065163F">
      <w:pPr>
        <w:widowControl w:val="0"/>
        <w:spacing w:after="160"/>
        <w:ind w:left="709" w:hanging="709"/>
        <w:rPr>
          <w:rFonts w:cs="Arial"/>
        </w:rPr>
      </w:pPr>
      <w:r w:rsidRPr="00EA0DC7">
        <w:rPr>
          <w:rFonts w:cs="Arial"/>
        </w:rPr>
        <w:t xml:space="preserve">Kirsch, I., Deacon, B. J., Huedo-Medina, T. B., Scoboria, A., Moore, T. J., &amp; Johnson, B. T. (2008). Initial severity and antidepressant benefits: A meta-analysis of data submitted to the Food and Drug Administration. </w:t>
      </w:r>
      <w:r w:rsidRPr="00EA0DC7">
        <w:rPr>
          <w:rFonts w:cs="Arial"/>
          <w:i/>
        </w:rPr>
        <w:lastRenderedPageBreak/>
        <w:t>PLoS Medicine, 5:</w:t>
      </w:r>
      <w:r w:rsidRPr="00EA0DC7">
        <w:rPr>
          <w:rFonts w:cs="Arial"/>
        </w:rPr>
        <w:t xml:space="preserve"> e45.</w:t>
      </w:r>
    </w:p>
    <w:p w14:paraId="0E3994C1" w14:textId="77777777" w:rsidR="0065163F" w:rsidRPr="00EA0DC7" w:rsidRDefault="0065163F">
      <w:pPr>
        <w:widowControl w:val="0"/>
        <w:spacing w:after="160"/>
        <w:ind w:left="709" w:hanging="709"/>
        <w:rPr>
          <w:rFonts w:cs="Arial"/>
        </w:rPr>
      </w:pPr>
      <w:r w:rsidRPr="00EA0DC7">
        <w:rPr>
          <w:rFonts w:eastAsia="Calibri" w:cs="Arial"/>
          <w:noProof/>
          <w:szCs w:val="24"/>
          <w:lang w:eastAsia="en-US"/>
        </w:rPr>
        <w:t xml:space="preserve">Kivlighan, D. M., Angelone, E. O., &amp; Swafford, K. G. (1991). Live supervision in individual psychotherapy: Effects on therapist’s intention use and client’s evaluation of session effect and working alliance. </w:t>
      </w:r>
      <w:r w:rsidRPr="00EA0DC7">
        <w:rPr>
          <w:rFonts w:eastAsia="Calibri" w:cs="Arial"/>
          <w:i/>
          <w:iCs/>
          <w:noProof/>
          <w:szCs w:val="24"/>
          <w:lang w:eastAsia="en-US"/>
        </w:rPr>
        <w:t>Professional Psychology: Research and Practice</w:t>
      </w:r>
      <w:r w:rsidRPr="00EA0DC7">
        <w:rPr>
          <w:rFonts w:eastAsia="Calibri" w:cs="Arial"/>
          <w:noProof/>
          <w:szCs w:val="24"/>
          <w:lang w:eastAsia="en-US"/>
        </w:rPr>
        <w:t xml:space="preserve">, </w:t>
      </w:r>
      <w:r w:rsidRPr="00EA0DC7">
        <w:rPr>
          <w:rFonts w:eastAsia="Calibri" w:cs="Arial"/>
          <w:i/>
          <w:iCs/>
          <w:noProof/>
          <w:szCs w:val="24"/>
          <w:lang w:eastAsia="en-US"/>
        </w:rPr>
        <w:t>22</w:t>
      </w:r>
      <w:r w:rsidRPr="00EA0DC7">
        <w:rPr>
          <w:rFonts w:eastAsia="Calibri" w:cs="Arial"/>
          <w:noProof/>
          <w:szCs w:val="24"/>
          <w:lang w:eastAsia="en-US"/>
        </w:rPr>
        <w:t>, 489–495.</w:t>
      </w:r>
    </w:p>
    <w:p w14:paraId="520C5AAC" w14:textId="77777777" w:rsidR="0065163F" w:rsidRPr="00EA0DC7" w:rsidRDefault="0065163F">
      <w:pPr>
        <w:widowControl w:val="0"/>
        <w:spacing w:after="160"/>
        <w:ind w:left="709" w:hanging="709"/>
        <w:rPr>
          <w:rFonts w:cs="Arial"/>
          <w:bCs/>
          <w:szCs w:val="24"/>
        </w:rPr>
      </w:pPr>
      <w:r w:rsidRPr="00EA0DC7">
        <w:rPr>
          <w:rFonts w:cs="Arial"/>
          <w:bCs/>
          <w:szCs w:val="24"/>
        </w:rPr>
        <w:t xml:space="preserve">Klinger, E. (1993). Loss of interest. In C. G. Costello (Ed.), </w:t>
      </w:r>
      <w:r w:rsidRPr="00EA0DC7">
        <w:rPr>
          <w:rFonts w:cs="Arial"/>
          <w:bCs/>
          <w:i/>
          <w:szCs w:val="24"/>
        </w:rPr>
        <w:t xml:space="preserve">Symptoms of depression </w:t>
      </w:r>
      <w:r w:rsidRPr="00EA0DC7">
        <w:rPr>
          <w:rFonts w:cs="Arial"/>
          <w:bCs/>
          <w:szCs w:val="24"/>
        </w:rPr>
        <w:t>(pp. 43-62). New York, NY: Wiley.</w:t>
      </w:r>
    </w:p>
    <w:p w14:paraId="3EFF58EB"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Krause, A. A., &amp; Allen, G. J. (1988). Perceptions of counselor supervision: An examination of Stoltenberg’s model from the perspectives of supervisor and supervisee.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35</w:t>
      </w:r>
      <w:r w:rsidRPr="00EA0DC7">
        <w:rPr>
          <w:rFonts w:eastAsia="Times New Roman" w:cs="Arial"/>
          <w:noProof/>
          <w:szCs w:val="24"/>
        </w:rPr>
        <w:t xml:space="preserve">, 77–80. </w:t>
      </w:r>
    </w:p>
    <w:p w14:paraId="65030071" w14:textId="77777777"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t xml:space="preserve">Krawiecka, M., Goldberg, D., &amp; Vaughan, M. (1977). A standardized psychiatric assessment scale for rating chronic psychotic patients. </w:t>
      </w:r>
      <w:r w:rsidRPr="00EA0DC7">
        <w:rPr>
          <w:rFonts w:eastAsia="Calibri" w:cs="Arial"/>
          <w:i/>
          <w:iCs/>
          <w:noProof/>
          <w:szCs w:val="24"/>
          <w:lang w:eastAsia="en-US"/>
        </w:rPr>
        <w:t>Acta Psychiatrica Scandinavica</w:t>
      </w:r>
      <w:r w:rsidRPr="00EA0DC7">
        <w:rPr>
          <w:rFonts w:eastAsia="Calibri" w:cs="Arial"/>
          <w:noProof/>
          <w:szCs w:val="24"/>
          <w:lang w:eastAsia="en-US"/>
        </w:rPr>
        <w:t xml:space="preserve">, </w:t>
      </w:r>
      <w:r w:rsidRPr="00EA0DC7">
        <w:rPr>
          <w:rFonts w:eastAsia="Calibri" w:cs="Arial"/>
          <w:i/>
          <w:iCs/>
          <w:noProof/>
          <w:szCs w:val="24"/>
          <w:lang w:eastAsia="en-US"/>
        </w:rPr>
        <w:t>55</w:t>
      </w:r>
      <w:r w:rsidRPr="00EA0DC7">
        <w:rPr>
          <w:rFonts w:eastAsia="Calibri" w:cs="Arial"/>
          <w:noProof/>
          <w:szCs w:val="24"/>
          <w:lang w:eastAsia="en-US"/>
        </w:rPr>
        <w:t>, 299–308.</w:t>
      </w:r>
    </w:p>
    <w:p w14:paraId="3F34DD6C" w14:textId="77777777" w:rsidR="0065163F" w:rsidRPr="00EA0DC7" w:rsidRDefault="0065163F">
      <w:pPr>
        <w:widowControl w:val="0"/>
        <w:spacing w:after="160"/>
        <w:ind w:left="709" w:hanging="709"/>
        <w:rPr>
          <w:rFonts w:cs="Arial"/>
          <w:bCs/>
          <w:szCs w:val="24"/>
        </w:rPr>
      </w:pPr>
      <w:r w:rsidRPr="00EA0DC7">
        <w:rPr>
          <w:rFonts w:cs="Arial"/>
          <w:bCs/>
          <w:szCs w:val="24"/>
        </w:rPr>
        <w:t xml:space="preserve">Kupfer, D. J. (1995). Sleep research in depressive illness: clinical implications – a tasting menu. </w:t>
      </w:r>
      <w:r w:rsidRPr="00EA0DC7">
        <w:rPr>
          <w:rFonts w:cs="Arial"/>
          <w:bCs/>
          <w:i/>
          <w:szCs w:val="24"/>
        </w:rPr>
        <w:t>Biological Psychiatry, 38,</w:t>
      </w:r>
      <w:r w:rsidRPr="00EA0DC7">
        <w:rPr>
          <w:rFonts w:cs="Arial"/>
          <w:bCs/>
          <w:szCs w:val="24"/>
        </w:rPr>
        <w:t xml:space="preserve"> 391-403.</w:t>
      </w:r>
    </w:p>
    <w:p w14:paraId="6A1F4110"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Ladany, N., Ellis, M., &amp; Friedlander, M. L. (1999). The supervisory working alliance, trainee self-efficacy, and satisfaction. </w:t>
      </w:r>
      <w:r w:rsidRPr="00EA0DC7">
        <w:rPr>
          <w:rFonts w:eastAsia="Calibri" w:cs="Arial"/>
          <w:i/>
          <w:iCs/>
          <w:noProof/>
          <w:szCs w:val="24"/>
          <w:lang w:eastAsia="en-US"/>
        </w:rPr>
        <w:t>Journal of Counseling &amp; Development</w:t>
      </w:r>
      <w:r w:rsidRPr="00EA0DC7">
        <w:rPr>
          <w:rFonts w:eastAsia="Calibri" w:cs="Arial"/>
          <w:noProof/>
          <w:szCs w:val="24"/>
          <w:lang w:eastAsia="en-US"/>
        </w:rPr>
        <w:t xml:space="preserve">, </w:t>
      </w:r>
      <w:r w:rsidRPr="00EA0DC7">
        <w:rPr>
          <w:rFonts w:eastAsia="Calibri" w:cs="Arial"/>
          <w:i/>
          <w:iCs/>
          <w:noProof/>
          <w:szCs w:val="24"/>
          <w:lang w:eastAsia="en-US"/>
        </w:rPr>
        <w:t>77</w:t>
      </w:r>
      <w:r w:rsidRPr="00EA0DC7">
        <w:rPr>
          <w:rFonts w:eastAsia="Calibri" w:cs="Arial"/>
          <w:noProof/>
          <w:szCs w:val="24"/>
          <w:lang w:eastAsia="en-US"/>
        </w:rPr>
        <w:t>, 447–455.</w:t>
      </w:r>
    </w:p>
    <w:p w14:paraId="4C0FF1EE" w14:textId="1BFBF8FA" w:rsidR="0065163F"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Ladany, N., Friedlander, M. L., &amp; Nelson, M. L. (2005). </w:t>
      </w:r>
      <w:r w:rsidRPr="00EA0DC7">
        <w:rPr>
          <w:rFonts w:eastAsia="Times New Roman" w:cs="Arial"/>
          <w:i/>
          <w:iCs/>
          <w:noProof/>
          <w:szCs w:val="24"/>
        </w:rPr>
        <w:t>Critical events in psychotherapy supervision</w:t>
      </w:r>
      <w:r w:rsidRPr="00EA0DC7">
        <w:rPr>
          <w:rFonts w:eastAsia="Times New Roman" w:cs="Arial"/>
          <w:noProof/>
          <w:szCs w:val="24"/>
        </w:rPr>
        <w:t>. Washington, DC: American Psychological Association.</w:t>
      </w:r>
    </w:p>
    <w:p w14:paraId="2C8B3E54" w14:textId="2E558FBF" w:rsidR="00291393" w:rsidRPr="00EA0DC7" w:rsidRDefault="00291393">
      <w:pPr>
        <w:widowControl w:val="0"/>
        <w:spacing w:after="160"/>
        <w:ind w:left="709" w:hanging="709"/>
        <w:rPr>
          <w:rFonts w:eastAsia="Calibri" w:cs="Arial"/>
          <w:noProof/>
          <w:szCs w:val="24"/>
          <w:lang w:eastAsia="en-US"/>
        </w:rPr>
      </w:pPr>
      <w:r>
        <w:rPr>
          <w:rFonts w:eastAsia="Times New Roman" w:cs="Arial"/>
          <w:noProof/>
          <w:szCs w:val="24"/>
        </w:rPr>
        <w:t xml:space="preserve">Ladany, N., Hill, C. E., Corbett, M. M., &amp; Nutt, E. A. (1996). </w:t>
      </w:r>
      <w:r w:rsidRPr="00291393">
        <w:rPr>
          <w:rFonts w:eastAsia="Times New Roman" w:cs="Arial"/>
          <w:noProof/>
          <w:szCs w:val="24"/>
        </w:rPr>
        <w:t xml:space="preserve">Nature, extent, and importance of what psychotherapy trainees do not disclose to their </w:t>
      </w:r>
      <w:r w:rsidRPr="00291393">
        <w:rPr>
          <w:rFonts w:eastAsia="Times New Roman" w:cs="Arial"/>
          <w:noProof/>
          <w:szCs w:val="24"/>
        </w:rPr>
        <w:lastRenderedPageBreak/>
        <w:t xml:space="preserve">supervisors. </w:t>
      </w:r>
      <w:r w:rsidRPr="0055551C">
        <w:rPr>
          <w:rFonts w:eastAsia="Times New Roman" w:cs="Arial"/>
          <w:i/>
          <w:noProof/>
          <w:szCs w:val="24"/>
        </w:rPr>
        <w:t>Journal of Counseling Psychology, 43</w:t>
      </w:r>
      <w:r w:rsidRPr="00291393">
        <w:rPr>
          <w:rFonts w:eastAsia="Times New Roman" w:cs="Arial"/>
          <w:noProof/>
          <w:szCs w:val="24"/>
        </w:rPr>
        <w:t>, 10–24</w:t>
      </w:r>
    </w:p>
    <w:p w14:paraId="1AC11F9D" w14:textId="77777777" w:rsidR="0065163F" w:rsidRPr="00EA0DC7" w:rsidRDefault="0065163F">
      <w:pPr>
        <w:widowControl w:val="0"/>
        <w:spacing w:after="160"/>
        <w:ind w:left="709" w:hanging="709"/>
        <w:rPr>
          <w:rFonts w:cs="Arial"/>
          <w:bCs/>
          <w:szCs w:val="24"/>
        </w:rPr>
      </w:pPr>
      <w:r w:rsidRPr="00EA0DC7">
        <w:rPr>
          <w:rFonts w:cs="Arial"/>
          <w:bCs/>
          <w:szCs w:val="24"/>
        </w:rPr>
        <w:t xml:space="preserve">Lambert, M. J., Hansen, N. B., Umpress, V., Lunnen, K., Okiishi, J., Burlingame, G. M., &amp; Reisinger, C. W. (1996). </w:t>
      </w:r>
      <w:r w:rsidRPr="00EA0DC7">
        <w:rPr>
          <w:rFonts w:cs="Arial"/>
          <w:bCs/>
          <w:i/>
          <w:iCs/>
          <w:szCs w:val="24"/>
        </w:rPr>
        <w:t>Administration and scoring manual for the OQ-45.2</w:t>
      </w:r>
      <w:r w:rsidRPr="00EA0DC7">
        <w:rPr>
          <w:rFonts w:cs="Arial"/>
          <w:bCs/>
          <w:szCs w:val="24"/>
        </w:rPr>
        <w:t>. Weston, FL: American Credentialing Services.</w:t>
      </w:r>
    </w:p>
    <w:p w14:paraId="7DE68FF1" w14:textId="77777777" w:rsidR="0065163F" w:rsidRPr="00EA0DC7" w:rsidRDefault="0065163F">
      <w:pPr>
        <w:widowControl w:val="0"/>
        <w:spacing w:after="160"/>
        <w:ind w:left="709" w:hanging="709"/>
        <w:rPr>
          <w:rFonts w:cs="Arial"/>
          <w:bCs/>
          <w:noProof/>
        </w:rPr>
      </w:pPr>
      <w:r w:rsidRPr="00EA0DC7">
        <w:rPr>
          <w:rFonts w:cs="Arial"/>
          <w:bCs/>
          <w:noProof/>
        </w:rPr>
        <w:t xml:space="preserve">Lambert, M., J., &amp; Ogles, B. M. (1997). The effectiveness of psychotherapy supervision. In C. E. Watkins (Ed.), </w:t>
      </w:r>
      <w:r w:rsidRPr="00EA0DC7">
        <w:rPr>
          <w:rFonts w:cs="Arial"/>
          <w:bCs/>
          <w:i/>
          <w:noProof/>
        </w:rPr>
        <w:t>Handbook of psychotherapy supervision</w:t>
      </w:r>
      <w:r w:rsidRPr="00EA0DC7">
        <w:rPr>
          <w:rFonts w:cs="Arial"/>
          <w:bCs/>
          <w:noProof/>
        </w:rPr>
        <w:t xml:space="preserve"> (pp. 421-446). New York, NY: Wiley.</w:t>
      </w:r>
    </w:p>
    <w:p w14:paraId="112CFC73" w14:textId="77777777" w:rsidR="0065163F" w:rsidRPr="00EA0DC7" w:rsidRDefault="0065163F">
      <w:pPr>
        <w:widowControl w:val="0"/>
        <w:spacing w:after="160"/>
        <w:ind w:left="709" w:hanging="709"/>
        <w:rPr>
          <w:rFonts w:cs="Arial"/>
          <w:bCs/>
          <w:noProof/>
        </w:rPr>
      </w:pPr>
      <w:r w:rsidRPr="00EA0DC7">
        <w:rPr>
          <w:rFonts w:eastAsia="Times New Roman" w:cs="Arial"/>
          <w:noProof/>
          <w:szCs w:val="24"/>
        </w:rPr>
        <w:t xml:space="preserve">Langs, R. J. (1980). Psychotherapy supervision: Theory, research and practice. In A. K. Hess (Ed.), </w:t>
      </w:r>
      <w:r w:rsidRPr="00EA0DC7">
        <w:rPr>
          <w:rFonts w:eastAsia="Times New Roman" w:cs="Arial"/>
          <w:i/>
          <w:iCs/>
          <w:noProof/>
          <w:szCs w:val="24"/>
        </w:rPr>
        <w:t>Psychotherapy supervision: Theory, research and practice</w:t>
      </w:r>
      <w:r w:rsidRPr="00EA0DC7">
        <w:rPr>
          <w:rFonts w:eastAsia="Times New Roman" w:cs="Arial"/>
          <w:noProof/>
          <w:szCs w:val="24"/>
        </w:rPr>
        <w:t xml:space="preserve"> (pp. 103–125). New York, NY: Wiley.</w:t>
      </w:r>
    </w:p>
    <w:p w14:paraId="05DD90D6" w14:textId="77777777" w:rsidR="0065163F" w:rsidRPr="00EA0DC7" w:rsidRDefault="0065163F">
      <w:pPr>
        <w:widowControl w:val="0"/>
        <w:spacing w:after="160"/>
        <w:ind w:left="709" w:hanging="709"/>
        <w:rPr>
          <w:rFonts w:cs="Arial"/>
          <w:bCs/>
          <w:noProof/>
        </w:rPr>
      </w:pPr>
      <w:r w:rsidRPr="00EA0DC7">
        <w:rPr>
          <w:rFonts w:cs="Arial"/>
          <w:bCs/>
          <w:noProof/>
        </w:rPr>
        <w:t xml:space="preserve">Larson, L. M., Suzuki, L. A., Gillespie, K. N., Potenza, M. T., Bechtel, M. A., &amp; Toulouse, A. L. (1992). Development and validation of the Counseling Self-Estimate Inventory. </w:t>
      </w:r>
      <w:r w:rsidRPr="00EA0DC7">
        <w:rPr>
          <w:rFonts w:cs="Arial"/>
          <w:bCs/>
          <w:i/>
          <w:iCs/>
          <w:noProof/>
        </w:rPr>
        <w:t>Journal of Counseling Psychology</w:t>
      </w:r>
      <w:r w:rsidRPr="00EA0DC7">
        <w:rPr>
          <w:rFonts w:cs="Arial"/>
          <w:bCs/>
          <w:noProof/>
        </w:rPr>
        <w:t xml:space="preserve">, </w:t>
      </w:r>
      <w:r w:rsidRPr="00EA0DC7">
        <w:rPr>
          <w:rFonts w:cs="Arial"/>
          <w:bCs/>
          <w:i/>
          <w:iCs/>
          <w:noProof/>
        </w:rPr>
        <w:t>39</w:t>
      </w:r>
      <w:r w:rsidRPr="00EA0DC7">
        <w:rPr>
          <w:rFonts w:cs="Arial"/>
          <w:bCs/>
          <w:noProof/>
        </w:rPr>
        <w:t>, 105–120.</w:t>
      </w:r>
    </w:p>
    <w:p w14:paraId="200A190B" w14:textId="77777777" w:rsidR="0065163F" w:rsidRPr="00EA0DC7" w:rsidRDefault="0065163F">
      <w:pPr>
        <w:widowControl w:val="0"/>
        <w:spacing w:after="160"/>
        <w:ind w:left="709" w:hanging="709"/>
        <w:rPr>
          <w:rFonts w:cs="Arial"/>
          <w:bCs/>
          <w:noProof/>
        </w:rPr>
      </w:pPr>
      <w:r w:rsidRPr="00EA0DC7">
        <w:rPr>
          <w:rFonts w:cs="Arial"/>
          <w:bCs/>
          <w:noProof/>
        </w:rPr>
        <w:t xml:space="preserve">Leahy, R. L., Holland, S. J. F., &amp; McGinn, L. K. (2012). </w:t>
      </w:r>
      <w:r w:rsidRPr="00EA0DC7">
        <w:rPr>
          <w:rFonts w:cs="Arial"/>
          <w:bCs/>
          <w:i/>
          <w:noProof/>
        </w:rPr>
        <w:t>Treatment plans and interventions for depression and anxiety disorders</w:t>
      </w:r>
      <w:r w:rsidRPr="00EA0DC7">
        <w:rPr>
          <w:rFonts w:cs="Arial"/>
          <w:bCs/>
          <w:noProof/>
        </w:rPr>
        <w:t xml:space="preserve"> (2nd Ed.). New York, NY: Guilford.</w:t>
      </w:r>
    </w:p>
    <w:p w14:paraId="3E6F706C" w14:textId="77777777" w:rsidR="0065163F" w:rsidRPr="00EA0DC7" w:rsidRDefault="0065163F">
      <w:pPr>
        <w:widowControl w:val="0"/>
        <w:spacing w:after="160"/>
        <w:ind w:left="709" w:hanging="709"/>
        <w:rPr>
          <w:rFonts w:cs="Arial"/>
          <w:bCs/>
          <w:noProof/>
        </w:rPr>
      </w:pPr>
      <w:r w:rsidRPr="00EA0DC7">
        <w:rPr>
          <w:rFonts w:eastAsia="Times New Roman" w:cs="Arial"/>
          <w:noProof/>
          <w:szCs w:val="24"/>
        </w:rPr>
        <w:t xml:space="preserve">Lee, R. E., &amp; Everett, C. A. (2004). </w:t>
      </w:r>
      <w:r w:rsidRPr="00EA0DC7">
        <w:rPr>
          <w:rFonts w:eastAsia="Times New Roman" w:cs="Arial"/>
          <w:i/>
          <w:iCs/>
          <w:noProof/>
          <w:szCs w:val="24"/>
        </w:rPr>
        <w:t>The integrative family therapy supervisor</w:t>
      </w:r>
      <w:r w:rsidRPr="00EA0DC7">
        <w:rPr>
          <w:rFonts w:eastAsia="Times New Roman" w:cs="Arial"/>
          <w:noProof/>
          <w:szCs w:val="24"/>
        </w:rPr>
        <w:t>. New York, NY: Brunner-Routledge.</w:t>
      </w:r>
    </w:p>
    <w:p w14:paraId="5438A644" w14:textId="77777777" w:rsidR="0065163F" w:rsidRPr="00EA0DC7" w:rsidRDefault="0065163F">
      <w:pPr>
        <w:widowControl w:val="0"/>
        <w:spacing w:after="160"/>
        <w:ind w:left="709" w:hanging="709"/>
      </w:pPr>
      <w:r w:rsidRPr="00EA0DC7">
        <w:rPr>
          <w:rFonts w:cs="Arial"/>
          <w:bCs/>
          <w:szCs w:val="24"/>
        </w:rPr>
        <w:t xml:space="preserve">Lemma, A., Target, M., &amp; Fonagy, P. (2010). </w:t>
      </w:r>
      <w:r w:rsidRPr="00EA0DC7">
        <w:t xml:space="preserve">The development of a brief psychodynamic protocol for depression: Dynamic interpersonal therapy (DIT). </w:t>
      </w:r>
      <w:r w:rsidRPr="00EA0DC7">
        <w:rPr>
          <w:i/>
        </w:rPr>
        <w:t>Psychoanalytic Psychotherapy, 24,</w:t>
      </w:r>
      <w:r w:rsidRPr="00EA0DC7">
        <w:t xml:space="preserve"> 329-346.</w:t>
      </w:r>
    </w:p>
    <w:p w14:paraId="6A0C0F85" w14:textId="0A7DEEC3" w:rsidR="004C54F0" w:rsidRDefault="0065163F">
      <w:pPr>
        <w:widowControl w:val="0"/>
        <w:spacing w:after="160"/>
        <w:ind w:left="709" w:hanging="709"/>
        <w:rPr>
          <w:rFonts w:cs="Arial"/>
          <w:bCs/>
          <w:szCs w:val="24"/>
        </w:rPr>
      </w:pPr>
      <w:r w:rsidRPr="00EA0DC7">
        <w:rPr>
          <w:rFonts w:cs="Arial"/>
          <w:bCs/>
          <w:szCs w:val="24"/>
        </w:rPr>
        <w:lastRenderedPageBreak/>
        <w:t xml:space="preserve">Leon, S. C., Martinovich, Z., Luts, W., &amp; Lyons, J. S. (2005). The effect of therapist experience on psychotherapy outcomes. </w:t>
      </w:r>
      <w:r w:rsidRPr="00EA0DC7">
        <w:rPr>
          <w:rFonts w:cs="Arial"/>
          <w:bCs/>
          <w:i/>
          <w:szCs w:val="24"/>
        </w:rPr>
        <w:t xml:space="preserve">Clinical </w:t>
      </w:r>
      <w:r w:rsidR="00781C89" w:rsidRPr="00EA0DC7">
        <w:rPr>
          <w:rFonts w:cs="Arial"/>
          <w:bCs/>
          <w:i/>
          <w:szCs w:val="24"/>
        </w:rPr>
        <w:t>P</w:t>
      </w:r>
      <w:r w:rsidRPr="00EA0DC7">
        <w:rPr>
          <w:rFonts w:cs="Arial"/>
          <w:bCs/>
          <w:i/>
          <w:szCs w:val="24"/>
        </w:rPr>
        <w:t xml:space="preserve">sychology and </w:t>
      </w:r>
      <w:r w:rsidR="00781C89" w:rsidRPr="00EA0DC7">
        <w:rPr>
          <w:rFonts w:cs="Arial"/>
          <w:bCs/>
          <w:i/>
          <w:szCs w:val="24"/>
        </w:rPr>
        <w:t>P</w:t>
      </w:r>
      <w:r w:rsidRPr="00EA0DC7">
        <w:rPr>
          <w:rFonts w:cs="Arial"/>
          <w:bCs/>
          <w:i/>
          <w:szCs w:val="24"/>
        </w:rPr>
        <w:t>sychotherapy, 12,</w:t>
      </w:r>
      <w:r w:rsidRPr="00EA0DC7">
        <w:rPr>
          <w:rFonts w:cs="Arial"/>
          <w:bCs/>
          <w:szCs w:val="24"/>
        </w:rPr>
        <w:t xml:space="preserve"> 417-426</w:t>
      </w:r>
      <w:r w:rsidR="002D603D">
        <w:rPr>
          <w:rFonts w:cs="Arial"/>
          <w:bCs/>
          <w:szCs w:val="24"/>
        </w:rPr>
        <w:t>.</w:t>
      </w:r>
    </w:p>
    <w:p w14:paraId="2C24113D" w14:textId="0B5F8207" w:rsidR="0065163F" w:rsidRPr="00EA0DC7" w:rsidRDefault="0065163F">
      <w:pPr>
        <w:widowControl w:val="0"/>
        <w:spacing w:after="160"/>
        <w:ind w:left="709" w:hanging="709"/>
        <w:rPr>
          <w:rFonts w:cs="Arial"/>
          <w:bCs/>
          <w:szCs w:val="24"/>
        </w:rPr>
      </w:pPr>
      <w:r w:rsidRPr="00EA0DC7">
        <w:rPr>
          <w:rFonts w:cs="Arial"/>
          <w:bCs/>
          <w:szCs w:val="24"/>
        </w:rPr>
        <w:t>Lepping, P., Schönfeldt-Lecuona, C., Sambhi, R. S., Lanka, S. V. N., Lane, S., Whittington, R., … &amp; Poole, R. (2014). A systematic review of the clinical relevance of repetitive transcranial magnetic stimulation</w:t>
      </w:r>
      <w:r w:rsidRPr="00EA0DC7">
        <w:rPr>
          <w:rFonts w:cs="Arial"/>
          <w:bCs/>
          <w:i/>
          <w:szCs w:val="24"/>
        </w:rPr>
        <w:t xml:space="preserve">. Acta Psychiatrica Scandinavica, 130, </w:t>
      </w:r>
      <w:r w:rsidRPr="00EA0DC7">
        <w:rPr>
          <w:rFonts w:cs="Arial"/>
          <w:bCs/>
          <w:szCs w:val="24"/>
        </w:rPr>
        <w:t>326-341.</w:t>
      </w:r>
    </w:p>
    <w:p w14:paraId="7EB60E13"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Lichtenberg, J. W. (2007). What makes for effective supervision? In search of clinical outcomes. </w:t>
      </w:r>
      <w:r w:rsidRPr="00EA0DC7">
        <w:rPr>
          <w:rFonts w:eastAsia="Calibri" w:cs="Arial"/>
          <w:i/>
          <w:iCs/>
          <w:noProof/>
          <w:szCs w:val="24"/>
          <w:lang w:eastAsia="en-US"/>
        </w:rPr>
        <w:t>Professional Psychology: Research and Practice</w:t>
      </w:r>
      <w:r w:rsidRPr="00EA0DC7">
        <w:rPr>
          <w:rFonts w:eastAsia="Calibri" w:cs="Arial"/>
          <w:noProof/>
          <w:szCs w:val="24"/>
          <w:lang w:eastAsia="en-US"/>
        </w:rPr>
        <w:t xml:space="preserve">, </w:t>
      </w:r>
      <w:r w:rsidRPr="00EA0DC7">
        <w:rPr>
          <w:rFonts w:eastAsia="Calibri" w:cs="Arial"/>
          <w:i/>
          <w:iCs/>
          <w:noProof/>
          <w:szCs w:val="24"/>
          <w:lang w:eastAsia="en-US"/>
        </w:rPr>
        <w:t>38</w:t>
      </w:r>
      <w:r w:rsidRPr="00EA0DC7">
        <w:rPr>
          <w:rFonts w:eastAsia="Calibri" w:cs="Arial"/>
          <w:noProof/>
          <w:szCs w:val="24"/>
          <w:lang w:eastAsia="en-US"/>
        </w:rPr>
        <w:t>, 275.</w:t>
      </w:r>
    </w:p>
    <w:p w14:paraId="2946E298"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Liese, B. S., &amp; Beck, J. S. (1997). Cognitive therapy supervision. In </w:t>
      </w:r>
      <w:r w:rsidRPr="00EA0DC7">
        <w:rPr>
          <w:rFonts w:eastAsia="Times New Roman" w:cs="Arial"/>
          <w:i/>
          <w:iCs/>
          <w:noProof/>
          <w:szCs w:val="24"/>
        </w:rPr>
        <w:t>Handbook of psychotherapy supervision</w:t>
      </w:r>
      <w:r w:rsidRPr="00EA0DC7">
        <w:rPr>
          <w:rFonts w:eastAsia="Times New Roman" w:cs="Arial"/>
          <w:noProof/>
          <w:szCs w:val="24"/>
        </w:rPr>
        <w:t xml:space="preserve"> (pp. 114–133). New York, NY: Wiley.</w:t>
      </w:r>
    </w:p>
    <w:p w14:paraId="1F6FA615" w14:textId="77777777" w:rsidR="0065163F" w:rsidRPr="00EA0DC7" w:rsidRDefault="0065163F">
      <w:pPr>
        <w:widowControl w:val="0"/>
        <w:spacing w:after="160"/>
        <w:ind w:left="709" w:hanging="709"/>
        <w:rPr>
          <w:rFonts w:cs="Arial"/>
          <w:bCs/>
          <w:noProof/>
        </w:rPr>
      </w:pPr>
      <w:r w:rsidRPr="00EA0DC7">
        <w:rPr>
          <w:rFonts w:cs="Arial"/>
          <w:bCs/>
          <w:noProof/>
        </w:rPr>
        <w:t xml:space="preserve">Lilenfeld, S. O., Ritschel, L. A., Lynn, S. J., Cautin, R. L., &amp; Latzman, R. D. (2013). Why many clinical psychologists are resistant to evidence-based practice: Root causes and constructive remedies. </w:t>
      </w:r>
      <w:r w:rsidRPr="00EA0DC7">
        <w:rPr>
          <w:rFonts w:cs="Arial"/>
          <w:bCs/>
          <w:i/>
          <w:noProof/>
        </w:rPr>
        <w:t>Clinical Psychology Review, 33</w:t>
      </w:r>
      <w:r w:rsidRPr="00EA0DC7">
        <w:rPr>
          <w:rFonts w:cs="Arial"/>
          <w:bCs/>
          <w:noProof/>
        </w:rPr>
        <w:t xml:space="preserve">, 883-900. </w:t>
      </w:r>
    </w:p>
    <w:p w14:paraId="19432456"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Linehan, M. M. (1980). Supervision of behavior therapy. In A. K. Hess (Ed.), </w:t>
      </w:r>
      <w:r w:rsidRPr="00EA0DC7">
        <w:rPr>
          <w:rFonts w:eastAsia="Times New Roman" w:cs="Arial"/>
          <w:i/>
          <w:iCs/>
          <w:noProof/>
          <w:szCs w:val="24"/>
        </w:rPr>
        <w:t>Psychotherapy supervision: Theory, research and practice</w:t>
      </w:r>
      <w:r w:rsidRPr="00EA0DC7">
        <w:rPr>
          <w:rFonts w:eastAsia="Times New Roman" w:cs="Arial"/>
          <w:noProof/>
          <w:szCs w:val="24"/>
        </w:rPr>
        <w:t xml:space="preserve"> (pp. 148–180). New York, NY: Wiley.</w:t>
      </w:r>
    </w:p>
    <w:p w14:paraId="3FD5AD44"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Littrell, J. M., Lee-Borden, N., &amp; Lorenz, J. (1979). A developmental framework for counseling supervision.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19</w:t>
      </w:r>
      <w:r w:rsidRPr="00EA0DC7">
        <w:rPr>
          <w:rFonts w:eastAsia="Times New Roman" w:cs="Arial"/>
          <w:noProof/>
          <w:szCs w:val="24"/>
        </w:rPr>
        <w:t>, 119–136.</w:t>
      </w:r>
    </w:p>
    <w:p w14:paraId="0EFB6FF6" w14:textId="7AA01723" w:rsidR="004C54F0"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Livni, D., Crowe, T. P., &amp; Gonsalvez, C. J. (2012). Effects of supervision </w:t>
      </w:r>
      <w:r w:rsidRPr="00EA0DC7">
        <w:rPr>
          <w:rFonts w:eastAsia="Calibri" w:cs="Arial"/>
          <w:noProof/>
          <w:szCs w:val="24"/>
          <w:lang w:eastAsia="en-US"/>
        </w:rPr>
        <w:lastRenderedPageBreak/>
        <w:t xml:space="preserve">modality and intensity on alliance and outcomes for the supervisee. </w:t>
      </w:r>
      <w:r w:rsidRPr="00EA0DC7">
        <w:rPr>
          <w:rFonts w:eastAsia="Calibri" w:cs="Arial"/>
          <w:i/>
          <w:iCs/>
          <w:noProof/>
          <w:szCs w:val="24"/>
          <w:lang w:eastAsia="en-US"/>
        </w:rPr>
        <w:t>Rehabilitation Psychology</w:t>
      </w:r>
      <w:r w:rsidRPr="00EA0DC7">
        <w:rPr>
          <w:rFonts w:eastAsia="Calibri" w:cs="Arial"/>
          <w:noProof/>
          <w:szCs w:val="24"/>
          <w:lang w:eastAsia="en-US"/>
        </w:rPr>
        <w:t xml:space="preserve">, </w:t>
      </w:r>
      <w:r w:rsidRPr="00EA0DC7">
        <w:rPr>
          <w:rFonts w:eastAsia="Calibri" w:cs="Arial"/>
          <w:i/>
          <w:iCs/>
          <w:noProof/>
          <w:szCs w:val="24"/>
          <w:lang w:eastAsia="en-US"/>
        </w:rPr>
        <w:t>57</w:t>
      </w:r>
      <w:r w:rsidRPr="00EA0DC7">
        <w:rPr>
          <w:rFonts w:eastAsia="Calibri" w:cs="Arial"/>
          <w:noProof/>
          <w:szCs w:val="24"/>
          <w:lang w:eastAsia="en-US"/>
        </w:rPr>
        <w:t>, 178–186.</w:t>
      </w:r>
    </w:p>
    <w:p w14:paraId="50437FA0" w14:textId="7FDE51F7" w:rsidR="0065163F"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Lizzio, A., Wilson, K., &amp; Que, J. (2009). Relationship dimensions in the professional supervision of psychology graduates: Supervisee perceptions of processes and outcome. </w:t>
      </w:r>
      <w:r w:rsidRPr="00EA0DC7">
        <w:rPr>
          <w:rFonts w:eastAsia="Calibri" w:cs="Arial"/>
          <w:i/>
          <w:iCs/>
          <w:noProof/>
          <w:szCs w:val="24"/>
          <w:lang w:eastAsia="en-US"/>
        </w:rPr>
        <w:t>Studies in Continuing Education</w:t>
      </w:r>
      <w:r w:rsidRPr="00EA0DC7">
        <w:rPr>
          <w:rFonts w:eastAsia="Calibri" w:cs="Arial"/>
          <w:noProof/>
          <w:szCs w:val="24"/>
          <w:lang w:eastAsia="en-US"/>
        </w:rPr>
        <w:t xml:space="preserve">, </w:t>
      </w:r>
      <w:r w:rsidRPr="00EA0DC7">
        <w:rPr>
          <w:rFonts w:eastAsia="Calibri" w:cs="Arial"/>
          <w:i/>
          <w:iCs/>
          <w:noProof/>
          <w:szCs w:val="24"/>
          <w:lang w:eastAsia="en-US"/>
        </w:rPr>
        <w:t>31</w:t>
      </w:r>
      <w:r w:rsidRPr="00EA0DC7">
        <w:rPr>
          <w:rFonts w:eastAsia="Calibri" w:cs="Arial"/>
          <w:noProof/>
          <w:szCs w:val="24"/>
          <w:lang w:eastAsia="en-US"/>
        </w:rPr>
        <w:t>, 127–140.</w:t>
      </w:r>
    </w:p>
    <w:p w14:paraId="11B42B0F" w14:textId="6AC95471" w:rsidR="005D2853" w:rsidRPr="00EA0DC7" w:rsidRDefault="005D2853">
      <w:pPr>
        <w:widowControl w:val="0"/>
        <w:spacing w:after="160"/>
        <w:ind w:left="709" w:hanging="709"/>
        <w:rPr>
          <w:rFonts w:cs="Arial"/>
          <w:bCs/>
          <w:noProof/>
        </w:rPr>
      </w:pPr>
      <w:r>
        <w:t xml:space="preserve">Ljótsson, B., Hedman, E., Mattsson, &amp; Andersson, E. (2017). The effects of a cognitive-behavioural therapy for depression are not falling: A re-analysis of the Johnsen and Friborg (2015). </w:t>
      </w:r>
      <w:r w:rsidRPr="0055551C">
        <w:rPr>
          <w:i/>
        </w:rPr>
        <w:t>Psychological Bulletin, 143</w:t>
      </w:r>
      <w:r>
        <w:t>, 321-325</w:t>
      </w:r>
    </w:p>
    <w:p w14:paraId="4883F816" w14:textId="77777777" w:rsidR="0065163F" w:rsidRPr="00EA0DC7" w:rsidRDefault="0065163F">
      <w:pPr>
        <w:widowControl w:val="0"/>
        <w:spacing w:after="160"/>
        <w:ind w:left="709" w:hanging="709"/>
        <w:rPr>
          <w:rFonts w:cs="Arial"/>
          <w:bCs/>
          <w:szCs w:val="24"/>
        </w:rPr>
      </w:pPr>
      <w:r w:rsidRPr="00EA0DC7">
        <w:rPr>
          <w:rFonts w:cs="Arial"/>
          <w:bCs/>
          <w:szCs w:val="24"/>
        </w:rPr>
        <w:t xml:space="preserve">Loeb, K. L., Wilson, G. T., Labouvie, E., Pratt, E. M., Hayaki, J., Walsh, B. T., … Fairburn, C. G. (2005). Therapeutic alliance and treatment adherence in two interventions for bulimia nervosa: A study of process and outcome. </w:t>
      </w:r>
      <w:r w:rsidRPr="00EA0DC7">
        <w:rPr>
          <w:rFonts w:cs="Arial"/>
          <w:bCs/>
          <w:i/>
          <w:szCs w:val="24"/>
        </w:rPr>
        <w:t xml:space="preserve">Journal of Consulting and Clinical Psychology, 73, </w:t>
      </w:r>
      <w:r w:rsidRPr="00EA0DC7">
        <w:rPr>
          <w:rFonts w:cs="Arial"/>
          <w:bCs/>
          <w:szCs w:val="24"/>
        </w:rPr>
        <w:t>1097-1107.</w:t>
      </w:r>
    </w:p>
    <w:p w14:paraId="09D15177"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Loganbill, C. R., Hardy, E. V., &amp; Delworth, U. (1982). Supervision: A conceptual model. </w:t>
      </w:r>
      <w:r w:rsidRPr="00EA0DC7">
        <w:rPr>
          <w:rFonts w:eastAsia="Times New Roman" w:cs="Arial"/>
          <w:i/>
          <w:iCs/>
          <w:noProof/>
          <w:szCs w:val="24"/>
        </w:rPr>
        <w:t>The Counseling Psychologist</w:t>
      </w:r>
      <w:r w:rsidRPr="00EA0DC7">
        <w:rPr>
          <w:rFonts w:eastAsia="Times New Roman" w:cs="Arial"/>
          <w:noProof/>
          <w:szCs w:val="24"/>
        </w:rPr>
        <w:t xml:space="preserve">, </w:t>
      </w:r>
      <w:r w:rsidRPr="00EA0DC7">
        <w:rPr>
          <w:rFonts w:eastAsia="Times New Roman" w:cs="Arial"/>
          <w:i/>
          <w:iCs/>
          <w:noProof/>
          <w:szCs w:val="24"/>
        </w:rPr>
        <w:t>10</w:t>
      </w:r>
      <w:r w:rsidRPr="00EA0DC7">
        <w:rPr>
          <w:rFonts w:eastAsia="Times New Roman" w:cs="Arial"/>
          <w:noProof/>
          <w:szCs w:val="24"/>
        </w:rPr>
        <w:t>, 3–42.</w:t>
      </w:r>
    </w:p>
    <w:p w14:paraId="3E2F042B" w14:textId="77777777" w:rsidR="0065163F" w:rsidRPr="00EA0DC7" w:rsidRDefault="0065163F">
      <w:pPr>
        <w:widowControl w:val="0"/>
        <w:spacing w:after="160"/>
        <w:ind w:left="709" w:hanging="709"/>
        <w:rPr>
          <w:rFonts w:cs="Arial"/>
          <w:bCs/>
          <w:szCs w:val="24"/>
        </w:rPr>
      </w:pPr>
      <w:r w:rsidRPr="00EA0DC7">
        <w:rPr>
          <w:rFonts w:cs="Arial"/>
          <w:bCs/>
          <w:szCs w:val="24"/>
          <w:lang w:val="de-DE"/>
        </w:rPr>
        <w:t xml:space="preserve">Lohr, J. M., Lilenfeld, S. O., &amp; Rosen, G. M. (2012). </w:t>
      </w:r>
      <w:r w:rsidRPr="00EA0DC7">
        <w:rPr>
          <w:rFonts w:cs="Arial"/>
          <w:bCs/>
          <w:szCs w:val="24"/>
        </w:rPr>
        <w:t xml:space="preserve">Anxiety and its treatment: Promoting science-based practice. </w:t>
      </w:r>
      <w:r w:rsidRPr="00EA0DC7">
        <w:rPr>
          <w:rFonts w:cs="Arial"/>
          <w:bCs/>
          <w:i/>
          <w:szCs w:val="24"/>
        </w:rPr>
        <w:t>Journal of Anxiety Disorders, 26,</w:t>
      </w:r>
      <w:r w:rsidRPr="00EA0DC7">
        <w:rPr>
          <w:rFonts w:cs="Arial"/>
          <w:bCs/>
          <w:szCs w:val="24"/>
        </w:rPr>
        <w:t xml:space="preserve"> 719-727.</w:t>
      </w:r>
    </w:p>
    <w:p w14:paraId="2CBFB978" w14:textId="7949815D" w:rsidR="0065163F" w:rsidRDefault="0065163F">
      <w:pPr>
        <w:widowControl w:val="0"/>
        <w:spacing w:after="160"/>
        <w:ind w:left="709" w:hanging="709"/>
        <w:rPr>
          <w:rFonts w:cs="Arial"/>
          <w:bCs/>
          <w:szCs w:val="24"/>
        </w:rPr>
      </w:pPr>
      <w:r w:rsidRPr="00EA0DC7">
        <w:rPr>
          <w:rFonts w:cs="Arial"/>
          <w:bCs/>
          <w:szCs w:val="24"/>
        </w:rPr>
        <w:t xml:space="preserve">Loo, C., &amp; Mitchell, P. (2005). A review of the efficacy of transcranial magnetic stimulation (TMS) treatment for depression, and current and future strategies to optimize efficacy. </w:t>
      </w:r>
      <w:r w:rsidRPr="00EA0DC7">
        <w:rPr>
          <w:rFonts w:cs="Arial"/>
          <w:bCs/>
          <w:i/>
          <w:szCs w:val="24"/>
        </w:rPr>
        <w:t>Journal of Affective Disorders, 88,</w:t>
      </w:r>
      <w:r w:rsidRPr="00EA0DC7">
        <w:rPr>
          <w:rFonts w:cs="Arial"/>
          <w:bCs/>
          <w:szCs w:val="24"/>
        </w:rPr>
        <w:t xml:space="preserve"> 255-267.</w:t>
      </w:r>
    </w:p>
    <w:p w14:paraId="13F4BE28" w14:textId="7DE8B618" w:rsidR="00B44049" w:rsidRPr="00EA0DC7" w:rsidRDefault="00B44049">
      <w:pPr>
        <w:widowControl w:val="0"/>
        <w:spacing w:after="160"/>
        <w:ind w:left="709" w:hanging="709"/>
        <w:rPr>
          <w:rFonts w:cs="Arial"/>
          <w:bCs/>
          <w:szCs w:val="24"/>
        </w:rPr>
      </w:pPr>
      <w:r>
        <w:rPr>
          <w:rFonts w:cs="Arial"/>
          <w:bCs/>
          <w:szCs w:val="24"/>
        </w:rPr>
        <w:lastRenderedPageBreak/>
        <w:t xml:space="preserve">Lorenz, N., Sander, C., Ivanova, G., &amp; Hegerl, U. (2020). Temporal associations of daily changes in sleep and depression core symptoms in patients suffering from major depressive disorder: Idiographic time-series analysis. </w:t>
      </w:r>
      <w:r w:rsidRPr="0055551C">
        <w:rPr>
          <w:rFonts w:cs="Arial"/>
          <w:bCs/>
          <w:i/>
          <w:szCs w:val="24"/>
        </w:rPr>
        <w:t>Journal of Medical Internet Research Mental Health, 7,</w:t>
      </w:r>
      <w:r>
        <w:rPr>
          <w:rFonts w:cs="Arial"/>
          <w:bCs/>
          <w:szCs w:val="24"/>
        </w:rPr>
        <w:t xml:space="preserve"> e17071</w:t>
      </w:r>
    </w:p>
    <w:p w14:paraId="523AEDE2" w14:textId="77777777" w:rsidR="0065163F" w:rsidRPr="00EA0DC7" w:rsidRDefault="0065163F">
      <w:pPr>
        <w:widowControl w:val="0"/>
        <w:spacing w:after="160"/>
        <w:ind w:left="709" w:hanging="709"/>
        <w:rPr>
          <w:rFonts w:cs="Arial"/>
          <w:bCs/>
          <w:szCs w:val="24"/>
        </w:rPr>
      </w:pPr>
      <w:r w:rsidRPr="00EA0DC7">
        <w:rPr>
          <w:rFonts w:cs="Arial"/>
          <w:bCs/>
          <w:szCs w:val="24"/>
        </w:rPr>
        <w:t xml:space="preserve">Luborsky, L., Diguer, L., Cacciola, J., Barber, J. P., Moras, K., Schmidt, K., &amp; DeRubeis, R. J. (1996). Factors in outcomes of short-term dynamic psychotherapy for chronic vs. nonchronic major depression. </w:t>
      </w:r>
      <w:r w:rsidRPr="00EA0DC7">
        <w:rPr>
          <w:rFonts w:cs="Arial"/>
          <w:bCs/>
          <w:i/>
          <w:szCs w:val="24"/>
        </w:rPr>
        <w:t>Journal of Psychotherapy Practice and Research, 5,</w:t>
      </w:r>
      <w:r w:rsidRPr="00EA0DC7">
        <w:rPr>
          <w:rFonts w:cs="Arial"/>
          <w:bCs/>
          <w:szCs w:val="24"/>
        </w:rPr>
        <w:t xml:space="preserve"> 152-159.</w:t>
      </w:r>
    </w:p>
    <w:p w14:paraId="39C4E745" w14:textId="77777777"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t xml:space="preserve">Lyth, G. M. (2000). Clinical supervision: A concept analysis. </w:t>
      </w:r>
      <w:r w:rsidRPr="00EA0DC7">
        <w:rPr>
          <w:rFonts w:eastAsia="Calibri" w:cs="Arial"/>
          <w:i/>
          <w:iCs/>
          <w:noProof/>
          <w:szCs w:val="24"/>
          <w:lang w:eastAsia="en-US"/>
        </w:rPr>
        <w:t>Journal of Advanced Nursing</w:t>
      </w:r>
      <w:r w:rsidRPr="00EA0DC7">
        <w:rPr>
          <w:rFonts w:eastAsia="Calibri" w:cs="Arial"/>
          <w:noProof/>
          <w:szCs w:val="24"/>
          <w:lang w:eastAsia="en-US"/>
        </w:rPr>
        <w:t xml:space="preserve">, </w:t>
      </w:r>
      <w:r w:rsidRPr="00EA0DC7">
        <w:rPr>
          <w:rFonts w:eastAsia="Calibri" w:cs="Arial"/>
          <w:i/>
          <w:iCs/>
          <w:noProof/>
          <w:szCs w:val="24"/>
          <w:lang w:eastAsia="en-US"/>
        </w:rPr>
        <w:t>31</w:t>
      </w:r>
      <w:r w:rsidRPr="00EA0DC7">
        <w:rPr>
          <w:rFonts w:eastAsia="Calibri" w:cs="Arial"/>
          <w:noProof/>
          <w:szCs w:val="24"/>
          <w:lang w:eastAsia="en-US"/>
        </w:rPr>
        <w:t>, 722–729.</w:t>
      </w:r>
    </w:p>
    <w:p w14:paraId="51E918AF" w14:textId="77777777" w:rsidR="0065163F" w:rsidRPr="00EA0DC7" w:rsidRDefault="0065163F">
      <w:pPr>
        <w:widowControl w:val="0"/>
        <w:spacing w:after="160"/>
        <w:ind w:left="709" w:hanging="709"/>
        <w:rPr>
          <w:rFonts w:cs="Arial"/>
          <w:bCs/>
          <w:szCs w:val="24"/>
        </w:rPr>
      </w:pPr>
      <w:r w:rsidRPr="00EA0DC7">
        <w:rPr>
          <w:rFonts w:cs="Arial"/>
          <w:bCs/>
          <w:szCs w:val="24"/>
        </w:rPr>
        <w:t xml:space="preserve">Maj, M. (2010). </w:t>
      </w:r>
      <w:r w:rsidRPr="00EA0DC7">
        <w:t xml:space="preserve">Depression vs. "understandable sadness": Is the difference clear, and is it relevant to treatment decisions? </w:t>
      </w:r>
      <w:r w:rsidRPr="00EA0DC7">
        <w:rPr>
          <w:i/>
        </w:rPr>
        <w:t>Asian Journal of Psychiatry, 3</w:t>
      </w:r>
      <w:r w:rsidRPr="00EA0DC7">
        <w:t>, 96-98.</w:t>
      </w:r>
    </w:p>
    <w:p w14:paraId="7664CA83" w14:textId="77777777" w:rsidR="0065163F" w:rsidRPr="00EA0DC7" w:rsidRDefault="0065163F">
      <w:pPr>
        <w:widowControl w:val="0"/>
        <w:spacing w:after="160"/>
        <w:ind w:left="709" w:hanging="709"/>
        <w:rPr>
          <w:rFonts w:cs="Arial"/>
          <w:bCs/>
          <w:noProof/>
        </w:rPr>
      </w:pPr>
      <w:r w:rsidRPr="00EA0DC7">
        <w:rPr>
          <w:rFonts w:cs="Arial"/>
          <w:bCs/>
          <w:noProof/>
        </w:rPr>
        <w:t xml:space="preserve">Marcus, M., Yasamy, M. T., van Ommeren, M., Chisholm, D., &amp; Saxena, S. (2012). </w:t>
      </w:r>
      <w:r w:rsidRPr="00EA0DC7">
        <w:rPr>
          <w:rFonts w:cs="Arial"/>
          <w:bCs/>
          <w:i/>
          <w:noProof/>
        </w:rPr>
        <w:t>Depression: A global public health concern</w:t>
      </w:r>
      <w:r w:rsidRPr="00EA0DC7">
        <w:rPr>
          <w:rFonts w:cs="Arial"/>
          <w:bCs/>
          <w:noProof/>
        </w:rPr>
        <w:t>. from http://wfmh.com/wp-content/uploads/2013/11/2012_wmhday_english.pdf</w:t>
      </w:r>
    </w:p>
    <w:p w14:paraId="13B9F4BC" w14:textId="77777777"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lang w:val="sv-SE"/>
        </w:rPr>
        <w:t xml:space="preserve">Martin, D. J., Garske, J. P., &amp; Davis, M. K. (2000). </w:t>
      </w:r>
      <w:r w:rsidRPr="00EA0DC7">
        <w:rPr>
          <w:rStyle w:val="Hyperlink"/>
          <w:rFonts w:cs="Arial"/>
          <w:bCs/>
          <w:color w:val="auto"/>
          <w:szCs w:val="24"/>
          <w:u w:val="none"/>
        </w:rPr>
        <w:t xml:space="preserve">Relation of the therapeutic alliance with outcome and other variables: A meta-analytic review. </w:t>
      </w:r>
      <w:r w:rsidRPr="00EA0DC7">
        <w:rPr>
          <w:rStyle w:val="Hyperlink"/>
          <w:rFonts w:cs="Arial"/>
          <w:bCs/>
          <w:i/>
          <w:color w:val="auto"/>
          <w:szCs w:val="24"/>
          <w:u w:val="none"/>
        </w:rPr>
        <w:t xml:space="preserve">Journal of Consulting and Clinical Psychology, 68, </w:t>
      </w:r>
      <w:r w:rsidRPr="00EA0DC7">
        <w:rPr>
          <w:rStyle w:val="Hyperlink"/>
          <w:rFonts w:cs="Arial"/>
          <w:bCs/>
          <w:color w:val="auto"/>
          <w:szCs w:val="24"/>
          <w:u w:val="none"/>
        </w:rPr>
        <w:t>438-450.</w:t>
      </w:r>
    </w:p>
    <w:p w14:paraId="5FEE8E90" w14:textId="0E9D6DE5" w:rsidR="0065163F" w:rsidRPr="00EA0DC7" w:rsidRDefault="0065163F">
      <w:pPr>
        <w:widowControl w:val="0"/>
        <w:spacing w:after="160"/>
        <w:ind w:left="709" w:hanging="709"/>
        <w:rPr>
          <w:rFonts w:cs="Arial"/>
          <w:bCs/>
          <w:szCs w:val="24"/>
        </w:rPr>
      </w:pPr>
      <w:r w:rsidRPr="00EA0DC7">
        <w:rPr>
          <w:rFonts w:cs="Arial"/>
          <w:bCs/>
          <w:szCs w:val="24"/>
        </w:rPr>
        <w:t xml:space="preserve">Mason, L., Grey, N., &amp; Veale, D. (2016). My therapist is a student? The impact of therapist experience and client severity on cognitive behavioural therapy outcomes for people with anxiety disorders. </w:t>
      </w:r>
      <w:r w:rsidRPr="00EA0DC7">
        <w:rPr>
          <w:rFonts w:cs="Arial"/>
          <w:bCs/>
          <w:i/>
          <w:szCs w:val="24"/>
        </w:rPr>
        <w:t xml:space="preserve">Behavioural and </w:t>
      </w:r>
      <w:r w:rsidRPr="00EA0DC7">
        <w:rPr>
          <w:rFonts w:cs="Arial"/>
          <w:bCs/>
          <w:i/>
          <w:szCs w:val="24"/>
        </w:rPr>
        <w:lastRenderedPageBreak/>
        <w:t xml:space="preserve">Cognitive Psychotherapy, 44, </w:t>
      </w:r>
      <w:r w:rsidRPr="00EA0DC7">
        <w:rPr>
          <w:rFonts w:cs="Arial"/>
          <w:bCs/>
          <w:szCs w:val="24"/>
        </w:rPr>
        <w:t>193-202.</w:t>
      </w:r>
    </w:p>
    <w:p w14:paraId="488D9B32" w14:textId="55C71839" w:rsidR="00DA04A4" w:rsidRPr="00EA0DC7" w:rsidRDefault="00DA04A4">
      <w:pPr>
        <w:widowControl w:val="0"/>
        <w:spacing w:after="160"/>
        <w:ind w:left="709" w:hanging="709"/>
        <w:rPr>
          <w:rFonts w:cs="Arial"/>
          <w:bCs/>
          <w:szCs w:val="24"/>
        </w:rPr>
      </w:pPr>
      <w:r w:rsidRPr="00EA0DC7">
        <w:rPr>
          <w:rFonts w:cs="Arial"/>
          <w:bCs/>
          <w:szCs w:val="24"/>
        </w:rPr>
        <w:t xml:space="preserve">Mausbach, B. T., Moore, R., Roesch, S., Cardenas, V., &amp; Patterson, T. L. (2010). The relationship between homework compliance and therapy outcomes: An updated meta-analysis. </w:t>
      </w:r>
      <w:r w:rsidRPr="00EA0DC7">
        <w:rPr>
          <w:rFonts w:cs="Arial"/>
          <w:bCs/>
          <w:i/>
          <w:szCs w:val="24"/>
        </w:rPr>
        <w:t>Cognitive Therapy and Research, 34</w:t>
      </w:r>
      <w:r w:rsidRPr="00EA0DC7">
        <w:rPr>
          <w:rFonts w:cs="Arial"/>
          <w:bCs/>
          <w:szCs w:val="24"/>
        </w:rPr>
        <w:t>, 429-438.</w:t>
      </w:r>
    </w:p>
    <w:p w14:paraId="5DE001FA" w14:textId="77777777" w:rsidR="0065163F" w:rsidRPr="00EA0DC7" w:rsidRDefault="0065163F">
      <w:pPr>
        <w:widowControl w:val="0"/>
        <w:spacing w:after="160"/>
        <w:ind w:left="709" w:hanging="709"/>
        <w:rPr>
          <w:rFonts w:cs="Arial"/>
          <w:bCs/>
          <w:szCs w:val="24"/>
        </w:rPr>
      </w:pPr>
      <w:r w:rsidRPr="00EA0DC7">
        <w:rPr>
          <w:rFonts w:cs="Arial"/>
          <w:bCs/>
          <w:szCs w:val="24"/>
        </w:rPr>
        <w:t xml:space="preserve">McLeod, B. D. (2009). Understanding why therapy allegiance is linked to clinical outcomes. </w:t>
      </w:r>
      <w:r w:rsidRPr="00EA0DC7">
        <w:rPr>
          <w:rFonts w:cs="Arial"/>
          <w:bCs/>
          <w:i/>
          <w:szCs w:val="24"/>
        </w:rPr>
        <w:t>Clinical Psychology: Science and Practice, 16,</w:t>
      </w:r>
      <w:r w:rsidRPr="00EA0DC7">
        <w:rPr>
          <w:rFonts w:cs="Arial"/>
          <w:bCs/>
          <w:szCs w:val="24"/>
        </w:rPr>
        <w:t xml:space="preserve"> 69-72.</w:t>
      </w:r>
    </w:p>
    <w:p w14:paraId="75B8C196"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McNeill, B. W., Stoltenberg, C. D., &amp; Pierce, R. A. (1985). Supervisees’ perceptions of their development: A test of the counselor complexity model.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32</w:t>
      </w:r>
      <w:r w:rsidRPr="00EA0DC7">
        <w:rPr>
          <w:rFonts w:eastAsia="Calibri" w:cs="Arial"/>
          <w:noProof/>
          <w:szCs w:val="24"/>
          <w:lang w:eastAsia="en-US"/>
        </w:rPr>
        <w:t>, 630–633.</w:t>
      </w:r>
    </w:p>
    <w:p w14:paraId="4BE79BAA"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McNeill, B. W., Stoltenberg, C., &amp; Romans, J. S. C. (1992). The integrated developmental model of supervision: Scale development and validation procedures. </w:t>
      </w:r>
      <w:r w:rsidRPr="00EA0DC7">
        <w:rPr>
          <w:rFonts w:eastAsia="Times New Roman" w:cs="Arial"/>
          <w:i/>
          <w:iCs/>
          <w:noProof/>
          <w:szCs w:val="24"/>
        </w:rPr>
        <w:t>Professional Psychology: Research and Practice</w:t>
      </w:r>
      <w:r w:rsidRPr="00EA0DC7">
        <w:rPr>
          <w:rFonts w:eastAsia="Times New Roman" w:cs="Arial"/>
          <w:noProof/>
          <w:szCs w:val="24"/>
        </w:rPr>
        <w:t xml:space="preserve">, </w:t>
      </w:r>
      <w:r w:rsidRPr="00EA0DC7">
        <w:rPr>
          <w:rFonts w:eastAsia="Times New Roman" w:cs="Arial"/>
          <w:i/>
          <w:iCs/>
          <w:noProof/>
          <w:szCs w:val="24"/>
        </w:rPr>
        <w:t>23</w:t>
      </w:r>
      <w:r w:rsidRPr="00EA0DC7">
        <w:rPr>
          <w:rFonts w:eastAsia="Times New Roman" w:cs="Arial"/>
          <w:noProof/>
          <w:szCs w:val="24"/>
        </w:rPr>
        <w:t>, 504–508.</w:t>
      </w:r>
    </w:p>
    <w:p w14:paraId="0F4BB27C" w14:textId="77777777" w:rsidR="0065163F" w:rsidRPr="00EA0DC7" w:rsidRDefault="0065163F">
      <w:pPr>
        <w:widowControl w:val="0"/>
        <w:spacing w:after="160"/>
        <w:ind w:left="709" w:hanging="709"/>
        <w:rPr>
          <w:rFonts w:cs="Arial"/>
          <w:bCs/>
          <w:szCs w:val="24"/>
        </w:rPr>
      </w:pPr>
      <w:r w:rsidRPr="00EA0DC7">
        <w:rPr>
          <w:rFonts w:cs="Arial"/>
          <w:bCs/>
          <w:szCs w:val="24"/>
        </w:rPr>
        <w:t xml:space="preserve">Mead, D. E. (1990). </w:t>
      </w:r>
      <w:r w:rsidRPr="00EA0DC7">
        <w:rPr>
          <w:rFonts w:cs="Arial"/>
          <w:bCs/>
          <w:i/>
          <w:szCs w:val="24"/>
        </w:rPr>
        <w:t>Effective supervision: A task-oriented model for the mental health professions.</w:t>
      </w:r>
      <w:r w:rsidRPr="00EA0DC7">
        <w:rPr>
          <w:rFonts w:cs="Arial"/>
          <w:bCs/>
          <w:szCs w:val="24"/>
        </w:rPr>
        <w:t xml:space="preserve"> Philadelphia, PA: Brunner/Mazel.</w:t>
      </w:r>
    </w:p>
    <w:p w14:paraId="59159C97" w14:textId="32EC1642" w:rsidR="000D3166" w:rsidRDefault="000D3166" w:rsidP="00F821B4">
      <w:pPr>
        <w:widowControl w:val="0"/>
        <w:ind w:left="709" w:hanging="709"/>
        <w:rPr>
          <w:rFonts w:eastAsia="Times New Roman"/>
        </w:rPr>
      </w:pPr>
      <w:bookmarkStart w:id="205" w:name="_ENREF_20"/>
      <w:r w:rsidRPr="00EA0DC7">
        <w:rPr>
          <w:rFonts w:eastAsia="Times New Roman"/>
        </w:rPr>
        <w:t xml:space="preserve">Meehl, P. E. (1973). Why I do not attend case conferences. In </w:t>
      </w:r>
      <w:r w:rsidRPr="00EA0DC7">
        <w:rPr>
          <w:rFonts w:eastAsia="Times New Roman"/>
          <w:i/>
        </w:rPr>
        <w:t>P. E. Meehl: Psychodiagnosis: Selected papers</w:t>
      </w:r>
      <w:r w:rsidRPr="00EA0DC7">
        <w:rPr>
          <w:rFonts w:eastAsia="Times New Roman"/>
          <w:i/>
          <w:iCs/>
        </w:rPr>
        <w:t xml:space="preserve"> </w:t>
      </w:r>
      <w:r w:rsidRPr="00EA0DC7">
        <w:rPr>
          <w:rFonts w:eastAsia="Times New Roman"/>
          <w:i/>
        </w:rPr>
        <w:t>(pp. 225–302)</w:t>
      </w:r>
      <w:r w:rsidRPr="00EA0DC7">
        <w:rPr>
          <w:rFonts w:eastAsia="Times New Roman"/>
        </w:rPr>
        <w:t>. Minneapolis, MN: University of Minnesota Press.</w:t>
      </w:r>
    </w:p>
    <w:p w14:paraId="261EB2FA" w14:textId="24484D3B" w:rsidR="004336E0" w:rsidRDefault="004336E0" w:rsidP="00F821B4">
      <w:pPr>
        <w:widowControl w:val="0"/>
        <w:ind w:left="709" w:hanging="709"/>
        <w:rPr>
          <w:rFonts w:eastAsia="Times New Roman"/>
        </w:rPr>
      </w:pPr>
      <w:r>
        <w:rPr>
          <w:rFonts w:eastAsia="Times New Roman"/>
        </w:rPr>
        <w:t xml:space="preserve">Mehin, R., Burnett, R. S., </w:t>
      </w:r>
      <w:r w:rsidR="002D603D">
        <w:rPr>
          <w:rFonts w:eastAsia="Times New Roman"/>
        </w:rPr>
        <w:t xml:space="preserve">&amp; </w:t>
      </w:r>
      <w:r>
        <w:rPr>
          <w:rFonts w:eastAsia="Times New Roman"/>
        </w:rPr>
        <w:t xml:space="preserve">Brasher, P. M. A. (2010). Does the new generation of high-flex knee prostheses improve the post-operative range of movement? </w:t>
      </w:r>
      <w:r w:rsidRPr="009D2144">
        <w:rPr>
          <w:rFonts w:eastAsia="Times New Roman"/>
          <w:i/>
        </w:rPr>
        <w:t>The Journal of Bone and Joint Surgery</w:t>
      </w:r>
      <w:r>
        <w:rPr>
          <w:rFonts w:eastAsia="Times New Roman"/>
        </w:rPr>
        <w:t>, 92-B, 1429-1434.</w:t>
      </w:r>
    </w:p>
    <w:p w14:paraId="150F6BC7" w14:textId="4DE7AE40" w:rsidR="0046158B" w:rsidRPr="00EA0DC7" w:rsidRDefault="0046158B" w:rsidP="00F821B4">
      <w:pPr>
        <w:widowControl w:val="0"/>
        <w:ind w:left="709" w:hanging="709"/>
        <w:rPr>
          <w:rFonts w:eastAsia="Times New Roman"/>
        </w:rPr>
      </w:pPr>
      <w:r>
        <w:rPr>
          <w:rFonts w:eastAsia="Times New Roman"/>
        </w:rPr>
        <w:lastRenderedPageBreak/>
        <w:t>Mehr, K. E., Ladany, N., &amp; Caskie, G. I. L. (2015) Factors influencing trainee willingness to disclose in supervision</w:t>
      </w:r>
      <w:r w:rsidRPr="0055551C">
        <w:rPr>
          <w:rFonts w:eastAsia="Times New Roman"/>
          <w:i/>
        </w:rPr>
        <w:t>. Training and Education in Professional Psychology, 9,</w:t>
      </w:r>
      <w:r>
        <w:rPr>
          <w:rFonts w:eastAsia="Times New Roman"/>
        </w:rPr>
        <w:t xml:space="preserve"> 44-51.</w:t>
      </w:r>
    </w:p>
    <w:p w14:paraId="660AFDD6" w14:textId="77777777" w:rsidR="0065163F" w:rsidRPr="00EA0DC7" w:rsidRDefault="0065163F">
      <w:pPr>
        <w:widowControl w:val="0"/>
        <w:spacing w:after="160"/>
        <w:ind w:left="709" w:hanging="709"/>
        <w:rPr>
          <w:rFonts w:cs="Arial"/>
          <w:noProof/>
        </w:rPr>
      </w:pPr>
      <w:r w:rsidRPr="00EA0DC7">
        <w:rPr>
          <w:rFonts w:cs="Arial"/>
          <w:noProof/>
        </w:rPr>
        <w:t xml:space="preserve">Meyer, J. M., Farrell, N. R., Kemp, J. J., Blakey, S. M., and Deacon, B. J. (2014). Why do clinicians exclude anxious clients from exposure therapy? </w:t>
      </w:r>
      <w:r w:rsidRPr="00EA0DC7">
        <w:rPr>
          <w:rFonts w:cs="Arial"/>
          <w:i/>
          <w:noProof/>
        </w:rPr>
        <w:t>Behaviour Research and Therapy, 54</w:t>
      </w:r>
      <w:r w:rsidRPr="00EA0DC7">
        <w:rPr>
          <w:rFonts w:cs="Arial"/>
          <w:noProof/>
        </w:rPr>
        <w:t xml:space="preserve">, 49-53. </w:t>
      </w:r>
      <w:bookmarkEnd w:id="205"/>
    </w:p>
    <w:p w14:paraId="4EB8DCD3"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Miars, R. D., Tracey, T. J., Ray, P. B., Cornfeld, J. L., O’Farrell, M., &amp; Gelso, C. J. (1983). Variation in supervision process across trainee experience levels.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30</w:t>
      </w:r>
      <w:r w:rsidRPr="00EA0DC7">
        <w:rPr>
          <w:rFonts w:eastAsia="Times New Roman" w:cs="Arial"/>
          <w:noProof/>
          <w:szCs w:val="24"/>
        </w:rPr>
        <w:t xml:space="preserve">, 403–412. </w:t>
      </w:r>
    </w:p>
    <w:p w14:paraId="24FC5B94"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Miller, S. D., &amp; Duncan, B. L. (2000). </w:t>
      </w:r>
      <w:r w:rsidRPr="00EA0DC7">
        <w:rPr>
          <w:rFonts w:eastAsia="Calibri" w:cs="Arial"/>
          <w:i/>
          <w:iCs/>
          <w:noProof/>
          <w:szCs w:val="24"/>
          <w:lang w:eastAsia="en-US"/>
        </w:rPr>
        <w:t>The outcome rating scale</w:t>
      </w:r>
      <w:r w:rsidRPr="00EA0DC7">
        <w:rPr>
          <w:rFonts w:eastAsia="Calibri" w:cs="Arial"/>
          <w:noProof/>
          <w:szCs w:val="24"/>
          <w:lang w:eastAsia="en-US"/>
        </w:rPr>
        <w:t>. Chicago, IL: Author.</w:t>
      </w:r>
    </w:p>
    <w:p w14:paraId="0051F6D7"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Milne, D. (1998). Clinical supervision: Time to reconstruct or to retrench? </w:t>
      </w:r>
      <w:r w:rsidRPr="00EA0DC7">
        <w:rPr>
          <w:rFonts w:eastAsia="Times New Roman" w:cs="Arial"/>
          <w:i/>
          <w:iCs/>
          <w:noProof/>
          <w:szCs w:val="24"/>
        </w:rPr>
        <w:t>Clinical Psychology and Psychotherapy</w:t>
      </w:r>
      <w:r w:rsidRPr="00EA0DC7">
        <w:rPr>
          <w:rFonts w:eastAsia="Times New Roman" w:cs="Arial"/>
          <w:noProof/>
          <w:szCs w:val="24"/>
        </w:rPr>
        <w:t xml:space="preserve">, </w:t>
      </w:r>
      <w:r w:rsidRPr="00EA0DC7">
        <w:rPr>
          <w:rFonts w:eastAsia="Times New Roman" w:cs="Arial"/>
          <w:i/>
          <w:iCs/>
          <w:noProof/>
          <w:szCs w:val="24"/>
        </w:rPr>
        <w:t>5</w:t>
      </w:r>
      <w:r w:rsidRPr="00EA0DC7">
        <w:rPr>
          <w:rFonts w:eastAsia="Times New Roman" w:cs="Arial"/>
          <w:noProof/>
          <w:szCs w:val="24"/>
        </w:rPr>
        <w:t>, 199–203.</w:t>
      </w:r>
    </w:p>
    <w:p w14:paraId="637740D0" w14:textId="77777777" w:rsidR="0065163F" w:rsidRPr="00EA0DC7" w:rsidRDefault="0065163F">
      <w:pPr>
        <w:widowControl w:val="0"/>
        <w:spacing w:after="160"/>
        <w:ind w:left="709" w:hanging="709"/>
        <w:rPr>
          <w:rFonts w:cs="Arial"/>
          <w:bCs/>
          <w:noProof/>
        </w:rPr>
      </w:pPr>
      <w:r w:rsidRPr="00EA0DC7">
        <w:rPr>
          <w:rFonts w:cs="Arial"/>
          <w:bCs/>
          <w:noProof/>
        </w:rPr>
        <w:t xml:space="preserve">Milne, D., &amp; James, I. (2000). A systematic review of effective cognitive-behavioural supervision. </w:t>
      </w:r>
      <w:r w:rsidRPr="00EA0DC7">
        <w:rPr>
          <w:rFonts w:cs="Arial"/>
          <w:bCs/>
          <w:i/>
          <w:noProof/>
        </w:rPr>
        <w:t>British Journal of Clinical Psychology, 39</w:t>
      </w:r>
      <w:r w:rsidRPr="00EA0DC7">
        <w:rPr>
          <w:rFonts w:cs="Arial"/>
          <w:bCs/>
          <w:noProof/>
        </w:rPr>
        <w:t xml:space="preserve">, 111-127. </w:t>
      </w:r>
    </w:p>
    <w:p w14:paraId="70FE59EE"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Milne, D., Pilkington, J., Gracie, J., &amp; James, I. (2003). Transferring skills from supervision to therapy: a qualitative and quantitative N=1 analysis. </w:t>
      </w:r>
      <w:r w:rsidRPr="00EA0DC7">
        <w:rPr>
          <w:rFonts w:eastAsia="Times New Roman" w:cs="Arial"/>
          <w:i/>
          <w:iCs/>
          <w:noProof/>
          <w:szCs w:val="24"/>
        </w:rPr>
        <w:t>Behavioural and Cognitive Psychotherapy</w:t>
      </w:r>
      <w:r w:rsidRPr="00EA0DC7">
        <w:rPr>
          <w:rFonts w:eastAsia="Times New Roman" w:cs="Arial"/>
          <w:noProof/>
          <w:szCs w:val="24"/>
        </w:rPr>
        <w:t xml:space="preserve">, </w:t>
      </w:r>
      <w:r w:rsidRPr="00EA0DC7">
        <w:rPr>
          <w:rFonts w:eastAsia="Times New Roman" w:cs="Arial"/>
          <w:i/>
          <w:iCs/>
          <w:noProof/>
          <w:szCs w:val="24"/>
        </w:rPr>
        <w:t>31</w:t>
      </w:r>
      <w:r w:rsidRPr="00EA0DC7">
        <w:rPr>
          <w:rFonts w:eastAsia="Times New Roman" w:cs="Arial"/>
          <w:noProof/>
          <w:szCs w:val="24"/>
        </w:rPr>
        <w:t>, 193–202.</w:t>
      </w:r>
    </w:p>
    <w:p w14:paraId="68CCFD0A" w14:textId="5DEEA80B"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Missinne, S., </w:t>
      </w:r>
      <w:r w:rsidR="00570278" w:rsidRPr="00EA0DC7">
        <w:rPr>
          <w:rStyle w:val="Hyperlink"/>
          <w:rFonts w:cs="Arial"/>
          <w:bCs/>
          <w:color w:val="auto"/>
          <w:szCs w:val="24"/>
          <w:u w:val="none"/>
        </w:rPr>
        <w:t xml:space="preserve">&amp; </w:t>
      </w:r>
      <w:r w:rsidRPr="00EA0DC7">
        <w:rPr>
          <w:rStyle w:val="Hyperlink"/>
          <w:rFonts w:cs="Arial"/>
          <w:bCs/>
          <w:color w:val="auto"/>
          <w:szCs w:val="24"/>
          <w:u w:val="none"/>
        </w:rPr>
        <w:t xml:space="preserve">Bracke, P. (2012). Depressive symptoms among immigrants and ethnic minorities: a population based study in 23 European countries. </w:t>
      </w:r>
      <w:r w:rsidRPr="00EA0DC7">
        <w:rPr>
          <w:rStyle w:val="Hyperlink"/>
          <w:rFonts w:cs="Arial"/>
          <w:bCs/>
          <w:i/>
          <w:color w:val="auto"/>
          <w:szCs w:val="24"/>
          <w:u w:val="none"/>
        </w:rPr>
        <w:t>Social Psychiatry and Psychiatric Epidemiology, 47,</w:t>
      </w:r>
      <w:r w:rsidRPr="00EA0DC7">
        <w:rPr>
          <w:rStyle w:val="Hyperlink"/>
          <w:rFonts w:cs="Arial"/>
          <w:bCs/>
          <w:color w:val="auto"/>
          <w:szCs w:val="24"/>
          <w:u w:val="none"/>
        </w:rPr>
        <w:t xml:space="preserve"> 97-109. </w:t>
      </w:r>
    </w:p>
    <w:p w14:paraId="1B1452F5" w14:textId="34052435" w:rsidR="0065163F" w:rsidRPr="00EA0DC7" w:rsidRDefault="0065163F">
      <w:pPr>
        <w:widowControl w:val="0"/>
        <w:spacing w:after="160"/>
        <w:ind w:left="709" w:hanging="709"/>
        <w:rPr>
          <w:rStyle w:val="Hyperlink"/>
          <w:rFonts w:cs="Arial"/>
          <w:noProof/>
          <w:color w:val="auto"/>
          <w:u w:val="none"/>
        </w:rPr>
      </w:pPr>
      <w:bookmarkStart w:id="206" w:name="_ENREF_22"/>
      <w:r w:rsidRPr="00EA0DC7">
        <w:rPr>
          <w:rFonts w:cs="Arial"/>
          <w:noProof/>
        </w:rPr>
        <w:t xml:space="preserve">Moldovan, R., </w:t>
      </w:r>
      <w:r w:rsidR="002D603D">
        <w:rPr>
          <w:rFonts w:cs="Arial"/>
          <w:noProof/>
        </w:rPr>
        <w:t xml:space="preserve">&amp; </w:t>
      </w:r>
      <w:r w:rsidRPr="00EA0DC7">
        <w:rPr>
          <w:rFonts w:cs="Arial"/>
          <w:noProof/>
        </w:rPr>
        <w:t xml:space="preserve">David, D. (2013). The impact of supervisor characteristics on </w:t>
      </w:r>
      <w:r w:rsidRPr="00EA0DC7">
        <w:rPr>
          <w:rFonts w:cs="Arial"/>
          <w:noProof/>
        </w:rPr>
        <w:lastRenderedPageBreak/>
        <w:t xml:space="preserve">trainee outcome in clinical supervision: A brief report. </w:t>
      </w:r>
      <w:r w:rsidRPr="00EA0DC7">
        <w:rPr>
          <w:rFonts w:cs="Arial"/>
          <w:i/>
          <w:noProof/>
        </w:rPr>
        <w:t>Journal of Cognitive and Behavioral Psychotherapies, 13</w:t>
      </w:r>
      <w:r w:rsidRPr="00EA0DC7">
        <w:rPr>
          <w:rFonts w:cs="Arial"/>
          <w:noProof/>
        </w:rPr>
        <w:t xml:space="preserve">, 517-527. </w:t>
      </w:r>
      <w:bookmarkEnd w:id="206"/>
    </w:p>
    <w:p w14:paraId="75BF512D" w14:textId="4D56D0A3" w:rsidR="0065163F"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Morgan, M. M., &amp; Sprenkle, D. H. (2007). Toward a common-factors approach to supervision. </w:t>
      </w:r>
      <w:r w:rsidRPr="00EA0DC7">
        <w:rPr>
          <w:rFonts w:eastAsia="Times New Roman" w:cs="Arial"/>
          <w:i/>
          <w:iCs/>
          <w:noProof/>
          <w:szCs w:val="24"/>
        </w:rPr>
        <w:t>Journal of Marital and Family Therapy</w:t>
      </w:r>
      <w:r w:rsidRPr="00EA0DC7">
        <w:rPr>
          <w:rFonts w:eastAsia="Times New Roman" w:cs="Arial"/>
          <w:noProof/>
          <w:szCs w:val="24"/>
        </w:rPr>
        <w:t xml:space="preserve">, </w:t>
      </w:r>
      <w:r w:rsidRPr="00EA0DC7">
        <w:rPr>
          <w:rFonts w:eastAsia="Times New Roman" w:cs="Arial"/>
          <w:i/>
          <w:iCs/>
          <w:noProof/>
          <w:szCs w:val="24"/>
        </w:rPr>
        <w:t>33</w:t>
      </w:r>
      <w:r w:rsidRPr="00EA0DC7">
        <w:rPr>
          <w:rFonts w:eastAsia="Times New Roman" w:cs="Arial"/>
          <w:noProof/>
          <w:szCs w:val="24"/>
        </w:rPr>
        <w:t>, 1–17.</w:t>
      </w:r>
    </w:p>
    <w:p w14:paraId="168EEE5C" w14:textId="07ACC39B" w:rsidR="00BE17AE" w:rsidRDefault="00BE17AE">
      <w:pPr>
        <w:widowControl w:val="0"/>
        <w:spacing w:after="160"/>
        <w:ind w:left="709" w:hanging="709"/>
        <w:rPr>
          <w:rFonts w:eastAsia="Times New Roman" w:cs="Arial"/>
          <w:noProof/>
          <w:szCs w:val="24"/>
        </w:rPr>
      </w:pPr>
      <w:r>
        <w:rPr>
          <w:rFonts w:eastAsia="Times New Roman" w:cs="Arial"/>
          <w:noProof/>
          <w:szCs w:val="24"/>
        </w:rPr>
        <w:t xml:space="preserve">Morris, S. B., &amp; DeShon, R. P. (2002). Combining effect size estimates in meta-analysis with repeated measures and independent-groups designs. </w:t>
      </w:r>
      <w:r w:rsidRPr="0055551C">
        <w:rPr>
          <w:rFonts w:eastAsia="Times New Roman" w:cs="Arial"/>
          <w:i/>
          <w:noProof/>
          <w:szCs w:val="24"/>
        </w:rPr>
        <w:t>Psychological Methods, 7</w:t>
      </w:r>
      <w:r>
        <w:rPr>
          <w:rFonts w:eastAsia="Times New Roman" w:cs="Arial"/>
          <w:noProof/>
          <w:szCs w:val="24"/>
        </w:rPr>
        <w:t>, 105-125</w:t>
      </w:r>
    </w:p>
    <w:p w14:paraId="5E74DB35" w14:textId="757B93BD" w:rsidR="007F03B7" w:rsidRPr="00EA0DC7" w:rsidRDefault="007F03B7">
      <w:pPr>
        <w:widowControl w:val="0"/>
        <w:spacing w:after="160"/>
        <w:ind w:left="709" w:hanging="709"/>
        <w:rPr>
          <w:rFonts w:eastAsia="Times New Roman" w:cs="Arial"/>
          <w:noProof/>
          <w:szCs w:val="24"/>
        </w:rPr>
      </w:pPr>
      <w:r>
        <w:rPr>
          <w:rFonts w:eastAsia="Times New Roman" w:cs="Arial"/>
          <w:noProof/>
          <w:szCs w:val="24"/>
        </w:rPr>
        <w:t xml:space="preserve">Mrazek, D. A., Hornberger, J. C., Altar, C. A., &amp; Degtiar, I. (2014). A review of the clinical, economic, and societal burden of treatment-resistent depression: 1996-2013. </w:t>
      </w:r>
      <w:r w:rsidRPr="0055551C">
        <w:rPr>
          <w:rFonts w:eastAsia="Times New Roman" w:cs="Arial"/>
          <w:i/>
          <w:noProof/>
          <w:szCs w:val="24"/>
        </w:rPr>
        <w:t>Psychiatric Services, 65</w:t>
      </w:r>
      <w:r>
        <w:rPr>
          <w:rFonts w:eastAsia="Times New Roman" w:cs="Arial"/>
          <w:noProof/>
          <w:szCs w:val="24"/>
        </w:rPr>
        <w:t>, 977-987.</w:t>
      </w:r>
    </w:p>
    <w:p w14:paraId="479A12D3"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Times New Roman" w:cs="Arial"/>
          <w:noProof/>
          <w:szCs w:val="24"/>
        </w:rPr>
        <w:t xml:space="preserve">Mueller, W. J., &amp; Kell, B. L. (1972). </w:t>
      </w:r>
      <w:r w:rsidRPr="00EA0DC7">
        <w:rPr>
          <w:rFonts w:eastAsia="Times New Roman" w:cs="Arial"/>
          <w:i/>
          <w:iCs/>
          <w:noProof/>
          <w:szCs w:val="24"/>
        </w:rPr>
        <w:t>Coping with conflict: Supervision counselors and psychotherapists</w:t>
      </w:r>
      <w:r w:rsidRPr="00EA0DC7">
        <w:rPr>
          <w:rFonts w:eastAsia="Times New Roman" w:cs="Arial"/>
          <w:noProof/>
          <w:szCs w:val="24"/>
        </w:rPr>
        <w:t>. New York, NY: Appleton-Century-Crofts.</w:t>
      </w:r>
    </w:p>
    <w:p w14:paraId="7CD0FCA5" w14:textId="77777777" w:rsidR="0065163F" w:rsidRPr="00EA0DC7" w:rsidRDefault="0065163F">
      <w:pPr>
        <w:widowControl w:val="0"/>
        <w:spacing w:after="160"/>
        <w:ind w:left="709" w:hanging="709"/>
        <w:rPr>
          <w:rFonts w:cs="Arial"/>
        </w:rPr>
      </w:pPr>
      <w:r w:rsidRPr="00EA0DC7">
        <w:rPr>
          <w:rFonts w:cs="Arial"/>
        </w:rPr>
        <w:t xml:space="preserve">Murphy, J. M., Laird, N. M., Monson R. R., Sobol, A. M., &amp; Leighton, A. H. (2000). A 40-year perspective on the prevalence of depression. </w:t>
      </w:r>
      <w:r w:rsidRPr="00EA0DC7">
        <w:rPr>
          <w:rFonts w:cs="Arial"/>
          <w:i/>
        </w:rPr>
        <w:t xml:space="preserve">Archives of General Psychiatry, 57, </w:t>
      </w:r>
      <w:r w:rsidRPr="00EA0DC7">
        <w:rPr>
          <w:rFonts w:cs="Arial"/>
        </w:rPr>
        <w:t>209-215.</w:t>
      </w:r>
    </w:p>
    <w:p w14:paraId="78793788" w14:textId="77777777" w:rsidR="0065163F" w:rsidRPr="00EA0DC7" w:rsidRDefault="0065163F">
      <w:pPr>
        <w:widowControl w:val="0"/>
        <w:autoSpaceDE w:val="0"/>
        <w:autoSpaceDN w:val="0"/>
        <w:adjustRightInd w:val="0"/>
        <w:spacing w:after="160"/>
        <w:ind w:left="709" w:hanging="709"/>
        <w:jc w:val="left"/>
        <w:rPr>
          <w:rFonts w:eastAsia="Calibri" w:cs="Arial"/>
          <w:noProof/>
          <w:szCs w:val="24"/>
          <w:lang w:eastAsia="en-US"/>
        </w:rPr>
      </w:pPr>
      <w:r w:rsidRPr="00EA0DC7">
        <w:rPr>
          <w:rFonts w:eastAsia="Calibri" w:cs="Arial"/>
          <w:noProof/>
          <w:szCs w:val="24"/>
          <w:lang w:eastAsia="en-US"/>
        </w:rPr>
        <w:t xml:space="preserve">Murphy, M. F., &amp; Moller, M. D. (1998). </w:t>
      </w:r>
      <w:r w:rsidRPr="00EA0DC7">
        <w:rPr>
          <w:rFonts w:eastAsia="Calibri" w:cs="Arial"/>
          <w:i/>
          <w:iCs/>
          <w:noProof/>
          <w:szCs w:val="24"/>
          <w:lang w:eastAsia="en-US"/>
        </w:rPr>
        <w:t>My symptom management workbook: A wellness expedition</w:t>
      </w:r>
      <w:r w:rsidRPr="00EA0DC7">
        <w:rPr>
          <w:rFonts w:eastAsia="Calibri" w:cs="Arial"/>
          <w:noProof/>
          <w:szCs w:val="24"/>
          <w:lang w:eastAsia="en-US"/>
        </w:rPr>
        <w:t xml:space="preserve"> (2nd ed.). Nine Mile Falls, WA: Psychiatric Rehabilitation Nurses, Inc.</w:t>
      </w:r>
    </w:p>
    <w:p w14:paraId="5D544455" w14:textId="77777777" w:rsidR="0065163F" w:rsidRPr="00EA0DC7" w:rsidRDefault="0065163F">
      <w:pPr>
        <w:widowControl w:val="0"/>
        <w:spacing w:after="160"/>
        <w:ind w:left="709" w:hanging="709"/>
        <w:rPr>
          <w:rFonts w:cs="Arial"/>
        </w:rPr>
      </w:pPr>
      <w:r w:rsidRPr="00EA0DC7">
        <w:rPr>
          <w:rFonts w:cs="Arial"/>
        </w:rPr>
        <w:t xml:space="preserve">Narrow, W. E., Rae, D. S., Robbins, L. N., &amp; Regier, D. A. (2002). Revised prevalence estimates of mental disorder in the United States: Using a clinical significance criterion to reconcile 2 surveys’ estimates. </w:t>
      </w:r>
      <w:r w:rsidRPr="00EA0DC7">
        <w:rPr>
          <w:rFonts w:cs="Arial"/>
          <w:i/>
        </w:rPr>
        <w:t>Archives of General Psychiatry, 59,</w:t>
      </w:r>
      <w:r w:rsidRPr="00EA0DC7">
        <w:rPr>
          <w:rFonts w:cs="Arial"/>
        </w:rPr>
        <w:t xml:space="preserve"> 115-123.</w:t>
      </w:r>
    </w:p>
    <w:p w14:paraId="04CE4853" w14:textId="5084F6AD" w:rsidR="0065163F" w:rsidRPr="00EA0DC7" w:rsidRDefault="0065163F">
      <w:pPr>
        <w:widowControl w:val="0"/>
        <w:autoSpaceDE w:val="0"/>
        <w:autoSpaceDN w:val="0"/>
        <w:adjustRightInd w:val="0"/>
        <w:spacing w:after="160"/>
        <w:ind w:left="709" w:hanging="709"/>
        <w:rPr>
          <w:rFonts w:cs="Arial"/>
        </w:rPr>
      </w:pPr>
      <w:r w:rsidRPr="00EA0DC7">
        <w:rPr>
          <w:rFonts w:eastAsia="Times New Roman" w:cs="Arial"/>
          <w:noProof/>
          <w:szCs w:val="24"/>
        </w:rPr>
        <w:lastRenderedPageBreak/>
        <w:t xml:space="preserve">National Health Service Providers. (2016). </w:t>
      </w:r>
      <w:r w:rsidRPr="00EA0DC7">
        <w:rPr>
          <w:rFonts w:eastAsia="Times New Roman" w:cs="Arial"/>
          <w:i/>
          <w:iCs/>
          <w:noProof/>
          <w:szCs w:val="24"/>
        </w:rPr>
        <w:t>Funding for mental health at a local level: Unpicking the variation</w:t>
      </w:r>
      <w:r w:rsidRPr="00EA0DC7">
        <w:rPr>
          <w:rFonts w:eastAsia="Times New Roman" w:cs="Arial"/>
          <w:noProof/>
          <w:szCs w:val="24"/>
        </w:rPr>
        <w:t>.</w:t>
      </w:r>
      <w:r w:rsidR="00570278" w:rsidRPr="00EA0DC7">
        <w:rPr>
          <w:rFonts w:eastAsia="Times New Roman" w:cs="Arial"/>
          <w:noProof/>
          <w:szCs w:val="24"/>
        </w:rPr>
        <w:t xml:space="preserve"> </w:t>
      </w:r>
      <w:r w:rsidRPr="00EA0DC7">
        <w:rPr>
          <w:rFonts w:eastAsia="Times New Roman" w:cs="Arial"/>
          <w:noProof/>
          <w:szCs w:val="24"/>
        </w:rPr>
        <w:t>Retrieved from https://www.nhsproviders.org/media/1945/nhs-providers_hfma_mental-health-survey.pdf</w:t>
      </w:r>
    </w:p>
    <w:p w14:paraId="78B94AA7" w14:textId="7B120B40" w:rsidR="0065163F" w:rsidRPr="00EA0DC7" w:rsidRDefault="0065163F">
      <w:pPr>
        <w:widowControl w:val="0"/>
        <w:spacing w:after="160"/>
        <w:ind w:left="709" w:hanging="709"/>
        <w:rPr>
          <w:rFonts w:cs="Arial"/>
          <w:bCs/>
          <w:noProof/>
        </w:rPr>
      </w:pPr>
      <w:r w:rsidRPr="00EA0DC7">
        <w:rPr>
          <w:rFonts w:cs="Arial"/>
          <w:bCs/>
        </w:rPr>
        <w:t>National Institute for Health and Care Excellence</w:t>
      </w:r>
      <w:r w:rsidRPr="00EA0DC7">
        <w:rPr>
          <w:rFonts w:cs="Arial"/>
          <w:bCs/>
          <w:noProof/>
        </w:rPr>
        <w:t xml:space="preserve">. (2011). </w:t>
      </w:r>
      <w:r w:rsidRPr="00EA0DC7">
        <w:rPr>
          <w:rFonts w:cs="Arial"/>
          <w:bCs/>
          <w:i/>
          <w:noProof/>
        </w:rPr>
        <w:t>Depression in adults (QS8)</w:t>
      </w:r>
      <w:r w:rsidRPr="00EA0DC7">
        <w:rPr>
          <w:rFonts w:cs="Arial"/>
          <w:bCs/>
          <w:noProof/>
        </w:rPr>
        <w:t>.  Retrieved 10/10/14, from https://www.nice.org.uk/guidance/qs8</w:t>
      </w:r>
    </w:p>
    <w:p w14:paraId="25973321" w14:textId="64EE80B5" w:rsidR="00546743" w:rsidRDefault="00546743">
      <w:pPr>
        <w:widowControl w:val="0"/>
        <w:spacing w:after="160"/>
        <w:ind w:left="709" w:hanging="709"/>
        <w:rPr>
          <w:rFonts w:eastAsia="Times New Roman" w:cs="Arial"/>
          <w:noProof/>
          <w:szCs w:val="24"/>
        </w:rPr>
      </w:pPr>
      <w:r>
        <w:rPr>
          <w:rFonts w:eastAsia="Times New Roman" w:cs="Arial"/>
          <w:noProof/>
          <w:szCs w:val="24"/>
        </w:rPr>
        <w:t xml:space="preserve">Nelson, J., Klumparendt, A., Doebler, P., &amp; Thomas, E. (2020). Everyday emotional dynamics in major depression. </w:t>
      </w:r>
      <w:r w:rsidRPr="0055551C">
        <w:rPr>
          <w:rFonts w:eastAsia="Times New Roman" w:cs="Arial"/>
          <w:i/>
          <w:noProof/>
          <w:szCs w:val="24"/>
        </w:rPr>
        <w:t>Emotion, 20</w:t>
      </w:r>
      <w:r>
        <w:rPr>
          <w:rFonts w:eastAsia="Times New Roman" w:cs="Arial"/>
          <w:noProof/>
          <w:szCs w:val="24"/>
        </w:rPr>
        <w:t>, 179-191.</w:t>
      </w:r>
    </w:p>
    <w:p w14:paraId="7771D2D7" w14:textId="2BE5AFD4" w:rsidR="0065163F" w:rsidRPr="00EA0DC7" w:rsidRDefault="0065163F">
      <w:pPr>
        <w:widowControl w:val="0"/>
        <w:spacing w:after="160"/>
        <w:ind w:left="709" w:hanging="709"/>
        <w:rPr>
          <w:rFonts w:cs="Arial"/>
          <w:bCs/>
          <w:noProof/>
        </w:rPr>
      </w:pPr>
      <w:r w:rsidRPr="00EA0DC7">
        <w:rPr>
          <w:rFonts w:eastAsia="Times New Roman" w:cs="Arial"/>
          <w:noProof/>
          <w:szCs w:val="24"/>
        </w:rPr>
        <w:t xml:space="preserve">Nelson, M. D., &amp; Johnson, P. (1999). School counselors as supervisors: An integrated approach for supervising school counseling interns.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39</w:t>
      </w:r>
      <w:r w:rsidRPr="00EA0DC7">
        <w:rPr>
          <w:rFonts w:eastAsia="Times New Roman" w:cs="Arial"/>
          <w:noProof/>
          <w:szCs w:val="24"/>
        </w:rPr>
        <w:t>, 89–100.</w:t>
      </w:r>
    </w:p>
    <w:p w14:paraId="64B26AC7" w14:textId="77777777" w:rsidR="0065163F" w:rsidRPr="00EA0DC7" w:rsidRDefault="0065163F">
      <w:pPr>
        <w:widowControl w:val="0"/>
        <w:spacing w:after="160"/>
        <w:ind w:left="709" w:hanging="709"/>
        <w:rPr>
          <w:rFonts w:cs="Arial"/>
          <w:bCs/>
          <w:noProof/>
        </w:rPr>
      </w:pPr>
      <w:r w:rsidRPr="00EA0DC7">
        <w:rPr>
          <w:rFonts w:cs="Arial"/>
          <w:bCs/>
          <w:noProof/>
        </w:rPr>
        <w:t xml:space="preserve">Nelson, M. L., &amp; Holloway, E. L. (1990). Relation of gender to power and involvement in supervision. </w:t>
      </w:r>
      <w:r w:rsidRPr="00EA0DC7">
        <w:rPr>
          <w:rFonts w:cs="Arial"/>
          <w:bCs/>
          <w:i/>
          <w:iCs/>
          <w:noProof/>
        </w:rPr>
        <w:t>Journal of Counseling Psychology, 37</w:t>
      </w:r>
      <w:r w:rsidRPr="00EA0DC7">
        <w:rPr>
          <w:rFonts w:cs="Arial"/>
          <w:bCs/>
          <w:noProof/>
        </w:rPr>
        <w:t>, 473-481.</w:t>
      </w:r>
    </w:p>
    <w:p w14:paraId="2BB74B0E" w14:textId="16996960" w:rsidR="0065163F"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Neuendorf, K. A. (2002). </w:t>
      </w:r>
      <w:r w:rsidRPr="00EA0DC7">
        <w:rPr>
          <w:rFonts w:eastAsia="Times New Roman" w:cs="Arial"/>
          <w:i/>
          <w:iCs/>
          <w:noProof/>
          <w:szCs w:val="24"/>
        </w:rPr>
        <w:t>The content analysis guidebook</w:t>
      </w:r>
      <w:r w:rsidRPr="00EA0DC7">
        <w:rPr>
          <w:rFonts w:eastAsia="Times New Roman" w:cs="Arial"/>
          <w:noProof/>
          <w:szCs w:val="24"/>
        </w:rPr>
        <w:t>. Thousand Oaks, CA: Sage.</w:t>
      </w:r>
    </w:p>
    <w:p w14:paraId="166C3AAE" w14:textId="325DC47E" w:rsidR="000C761D" w:rsidRPr="00EA0DC7" w:rsidRDefault="000C761D">
      <w:pPr>
        <w:widowControl w:val="0"/>
        <w:autoSpaceDE w:val="0"/>
        <w:autoSpaceDN w:val="0"/>
        <w:adjustRightInd w:val="0"/>
        <w:spacing w:after="160"/>
        <w:ind w:left="709" w:hanging="709"/>
        <w:rPr>
          <w:rFonts w:eastAsia="Times New Roman" w:cs="Arial"/>
          <w:noProof/>
          <w:szCs w:val="24"/>
        </w:rPr>
      </w:pPr>
      <w:r>
        <w:rPr>
          <w:rFonts w:eastAsia="Times New Roman" w:cs="Arial"/>
          <w:noProof/>
          <w:szCs w:val="24"/>
        </w:rPr>
        <w:t>Newman, M. G., Zuellig, A. R., Kachin, K. E., Constantino, M. J., Przeworski, A., Erickson, T.</w:t>
      </w:r>
      <w:r w:rsidR="0059381D">
        <w:rPr>
          <w:rFonts w:eastAsia="Times New Roman" w:cs="Arial"/>
          <w:noProof/>
          <w:szCs w:val="24"/>
        </w:rPr>
        <w:t xml:space="preserve">, Cashman-McGrath, L. (2002). Preliminary reliability and validity of the generalized anxiety disorder questionnaire-IV: A revised self-report diagnostic measure of generalized anxiety disorder. </w:t>
      </w:r>
      <w:r w:rsidR="0059381D" w:rsidRPr="0055551C">
        <w:rPr>
          <w:rFonts w:eastAsia="Times New Roman" w:cs="Arial"/>
          <w:i/>
          <w:noProof/>
          <w:szCs w:val="24"/>
        </w:rPr>
        <w:t>Behavior Therapy, 33,</w:t>
      </w:r>
      <w:r w:rsidR="0059381D">
        <w:rPr>
          <w:rFonts w:eastAsia="Times New Roman" w:cs="Arial"/>
          <w:noProof/>
          <w:szCs w:val="24"/>
        </w:rPr>
        <w:t xml:space="preserve"> 215-233.</w:t>
      </w:r>
    </w:p>
    <w:p w14:paraId="31C72E1B" w14:textId="77777777" w:rsidR="0065163F" w:rsidRPr="00EA0DC7" w:rsidRDefault="0065163F">
      <w:pPr>
        <w:widowControl w:val="0"/>
        <w:spacing w:after="160"/>
        <w:ind w:left="709" w:hanging="709"/>
        <w:rPr>
          <w:rFonts w:cs="Arial"/>
        </w:rPr>
      </w:pPr>
      <w:r w:rsidRPr="00EA0DC7">
        <w:rPr>
          <w:rFonts w:cs="Arial"/>
        </w:rPr>
        <w:t xml:space="preserve">Okiishi, J. C., Lambert, M. J., Eggett, D., Nielsen, L., Dayton, D. D., &amp; Vermeersch, D. A. (2006). An analysis of therapist treatment effects: </w:t>
      </w:r>
      <w:r w:rsidRPr="00EA0DC7">
        <w:rPr>
          <w:rFonts w:cs="Arial"/>
        </w:rPr>
        <w:lastRenderedPageBreak/>
        <w:t xml:space="preserve">Toward providing feedback to individual therapists on their clients’ psychotherapy outcome. </w:t>
      </w:r>
      <w:r w:rsidRPr="00EA0DC7">
        <w:rPr>
          <w:rFonts w:cs="Arial"/>
          <w:i/>
        </w:rPr>
        <w:t>Journal of Clinical Psychology, 62,</w:t>
      </w:r>
      <w:r w:rsidRPr="00EA0DC7">
        <w:rPr>
          <w:rFonts w:cs="Arial"/>
        </w:rPr>
        <w:t xml:space="preserve"> 1157-1172.</w:t>
      </w:r>
    </w:p>
    <w:p w14:paraId="4140895E"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O’Donovan, A. O., Halford, W. K., &amp; Walters, B. (2011). Towards best practice supervision of clinical psychology trainees. </w:t>
      </w:r>
      <w:r w:rsidRPr="00EA0DC7">
        <w:rPr>
          <w:rFonts w:eastAsia="Times New Roman" w:cs="Arial"/>
          <w:i/>
          <w:iCs/>
          <w:noProof/>
          <w:szCs w:val="24"/>
        </w:rPr>
        <w:t>Australian Psychologist</w:t>
      </w:r>
      <w:r w:rsidRPr="00EA0DC7">
        <w:rPr>
          <w:rFonts w:eastAsia="Times New Roman" w:cs="Arial"/>
          <w:noProof/>
          <w:szCs w:val="24"/>
        </w:rPr>
        <w:t xml:space="preserve">, </w:t>
      </w:r>
      <w:r w:rsidRPr="00EA0DC7">
        <w:rPr>
          <w:rFonts w:eastAsia="Times New Roman" w:cs="Arial"/>
          <w:i/>
          <w:iCs/>
          <w:noProof/>
          <w:szCs w:val="24"/>
        </w:rPr>
        <w:t>46</w:t>
      </w:r>
      <w:r w:rsidRPr="00EA0DC7">
        <w:rPr>
          <w:rFonts w:eastAsia="Times New Roman" w:cs="Arial"/>
          <w:noProof/>
          <w:szCs w:val="24"/>
        </w:rPr>
        <w:t xml:space="preserve">, 101–112. </w:t>
      </w:r>
    </w:p>
    <w:p w14:paraId="63E2A088" w14:textId="0D3CB9AD" w:rsidR="0065163F" w:rsidRPr="00EA0DC7" w:rsidRDefault="0065163F">
      <w:pPr>
        <w:widowControl w:val="0"/>
        <w:spacing w:after="160"/>
        <w:ind w:left="709" w:hanging="709"/>
        <w:rPr>
          <w:rFonts w:cs="Arial"/>
        </w:rPr>
      </w:pPr>
      <w:r w:rsidRPr="00EA0DC7">
        <w:rPr>
          <w:rFonts w:cs="Arial"/>
        </w:rPr>
        <w:t xml:space="preserve">O’Malley, S. S., Foley, S. H., Rounsaville, B. J., Watkins, J. T., Sotsky, S. M., Imber, S. D., &amp; Elkin, I. (1988). Therapist competence and patient outcome in interpersonal psychotherapy for depression. </w:t>
      </w:r>
      <w:r w:rsidRPr="00EA0DC7">
        <w:rPr>
          <w:rFonts w:cs="Arial"/>
          <w:i/>
        </w:rPr>
        <w:t>Journal of Consulting and Clinical Psychology, 56,</w:t>
      </w:r>
      <w:r w:rsidRPr="00EA0DC7">
        <w:rPr>
          <w:rFonts w:cs="Arial"/>
        </w:rPr>
        <w:t xml:space="preserve"> 496-501.</w:t>
      </w:r>
    </w:p>
    <w:p w14:paraId="6DABE8F4" w14:textId="4C165D3A" w:rsidR="001B047C" w:rsidRPr="00EA0DC7" w:rsidRDefault="001B047C">
      <w:pPr>
        <w:widowControl w:val="0"/>
        <w:spacing w:after="160"/>
        <w:ind w:left="709" w:hanging="709"/>
        <w:rPr>
          <w:rFonts w:cs="Arial"/>
        </w:rPr>
      </w:pPr>
      <w:r w:rsidRPr="00EA0DC7">
        <w:rPr>
          <w:rFonts w:cs="Arial"/>
        </w:rPr>
        <w:t xml:space="preserve">Ost, L-G., Karlstedt, A., &amp; Widen, S. (2012). The effects of cognitive behavior therapy delivered by students in a psychologist training program: An effectiveness study. </w:t>
      </w:r>
      <w:r w:rsidRPr="00EA0DC7">
        <w:rPr>
          <w:rFonts w:cs="Arial"/>
          <w:i/>
        </w:rPr>
        <w:t>Behavior Therapy, 43</w:t>
      </w:r>
      <w:r w:rsidRPr="00EA0DC7">
        <w:rPr>
          <w:rFonts w:cs="Arial"/>
        </w:rPr>
        <w:t xml:space="preserve">, 160-173. </w:t>
      </w:r>
    </w:p>
    <w:p w14:paraId="083562E4" w14:textId="1DC3C078" w:rsidR="0065163F" w:rsidRPr="00EA0DC7" w:rsidRDefault="0065163F">
      <w:pPr>
        <w:widowControl w:val="0"/>
        <w:spacing w:after="160"/>
        <w:ind w:left="709" w:hanging="709"/>
        <w:rPr>
          <w:rStyle w:val="Hyperlink"/>
          <w:rFonts w:cs="Arial"/>
          <w:bCs/>
          <w:noProof/>
          <w:color w:val="auto"/>
          <w:u w:val="none"/>
        </w:rPr>
      </w:pPr>
      <w:r w:rsidRPr="00EA0DC7">
        <w:rPr>
          <w:rStyle w:val="Hyperlink"/>
          <w:rFonts w:cs="Arial"/>
          <w:bCs/>
          <w:noProof/>
          <w:color w:val="auto"/>
          <w:u w:val="none"/>
        </w:rPr>
        <w:t>Padesky, C. A.,</w:t>
      </w:r>
      <w:r w:rsidR="001B047C" w:rsidRPr="00EA0DC7">
        <w:rPr>
          <w:rStyle w:val="Hyperlink"/>
          <w:rFonts w:cs="Arial"/>
          <w:bCs/>
          <w:noProof/>
          <w:color w:val="auto"/>
          <w:u w:val="none"/>
        </w:rPr>
        <w:t xml:space="preserve"> &amp;</w:t>
      </w:r>
      <w:r w:rsidRPr="00EA0DC7">
        <w:rPr>
          <w:rStyle w:val="Hyperlink"/>
          <w:rFonts w:cs="Arial"/>
          <w:bCs/>
          <w:noProof/>
          <w:color w:val="auto"/>
          <w:u w:val="none"/>
        </w:rPr>
        <w:t xml:space="preserve"> Mooney, K. A. (1990). Presenting the cognitive model to clients. </w:t>
      </w:r>
      <w:r w:rsidRPr="00EA0DC7">
        <w:rPr>
          <w:rStyle w:val="Hyperlink"/>
          <w:rFonts w:cs="Arial"/>
          <w:bCs/>
          <w:i/>
          <w:noProof/>
          <w:color w:val="auto"/>
          <w:u w:val="none"/>
        </w:rPr>
        <w:t>International Cognitive Therapy Newsletter, 6,</w:t>
      </w:r>
      <w:r w:rsidRPr="00EA0DC7">
        <w:rPr>
          <w:rStyle w:val="Hyperlink"/>
          <w:rFonts w:cs="Arial"/>
          <w:bCs/>
          <w:noProof/>
          <w:color w:val="auto"/>
          <w:u w:val="none"/>
        </w:rPr>
        <w:t xml:space="preserve"> 13-14.</w:t>
      </w:r>
    </w:p>
    <w:p w14:paraId="031F845F" w14:textId="77777777" w:rsidR="0065163F" w:rsidRPr="00EA0DC7" w:rsidRDefault="0065163F">
      <w:pPr>
        <w:widowControl w:val="0"/>
        <w:spacing w:after="160"/>
        <w:ind w:left="709" w:hanging="709"/>
        <w:rPr>
          <w:rStyle w:val="Hyperlink"/>
          <w:rFonts w:cs="Arial"/>
          <w:bCs/>
          <w:noProof/>
          <w:color w:val="auto"/>
          <w:u w:val="none"/>
        </w:rPr>
      </w:pPr>
      <w:r w:rsidRPr="00EA0DC7">
        <w:rPr>
          <w:rFonts w:eastAsia="Times New Roman" w:cs="Arial"/>
          <w:noProof/>
          <w:szCs w:val="24"/>
        </w:rPr>
        <w:t xml:space="preserve">Page, S., &amp; Wosket, V. (2015). </w:t>
      </w:r>
      <w:r w:rsidRPr="00EA0DC7">
        <w:rPr>
          <w:rFonts w:eastAsia="Times New Roman" w:cs="Arial"/>
          <w:i/>
          <w:iCs/>
          <w:noProof/>
          <w:szCs w:val="24"/>
        </w:rPr>
        <w:t>Supervising the counsellor and psychotherapist: A cyclical model</w:t>
      </w:r>
      <w:r w:rsidRPr="00EA0DC7">
        <w:rPr>
          <w:rFonts w:eastAsia="Times New Roman" w:cs="Arial"/>
          <w:noProof/>
          <w:szCs w:val="24"/>
        </w:rPr>
        <w:t>. Hove, UK: Routledge.</w:t>
      </w:r>
    </w:p>
    <w:p w14:paraId="6B25E52F" w14:textId="77777777" w:rsidR="0065163F" w:rsidRPr="00EA0DC7" w:rsidRDefault="0065163F">
      <w:pPr>
        <w:widowControl w:val="0"/>
        <w:spacing w:after="160"/>
        <w:ind w:left="709" w:hanging="709"/>
        <w:rPr>
          <w:rFonts w:cs="Arial"/>
        </w:rPr>
      </w:pPr>
      <w:r w:rsidRPr="00EA0DC7">
        <w:rPr>
          <w:rFonts w:cs="Arial"/>
        </w:rPr>
        <w:t xml:space="preserve">Patten, S. B. (2009). Accumulation of major depressive episodes over time in a prospective study indicates that retrospectively assessed lifetime prevalence estimates are too low. </w:t>
      </w:r>
      <w:r w:rsidRPr="00EA0DC7">
        <w:rPr>
          <w:rFonts w:cs="Arial"/>
          <w:i/>
        </w:rPr>
        <w:t xml:space="preserve">BMC Psychiatry, 9, </w:t>
      </w:r>
      <w:r w:rsidRPr="00EA0DC7">
        <w:rPr>
          <w:rFonts w:cs="Arial"/>
        </w:rPr>
        <w:t>19.</w:t>
      </w:r>
    </w:p>
    <w:p w14:paraId="27D63084" w14:textId="77777777"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Patterson, C. H. (1983). A client-centered approach to supervision. </w:t>
      </w:r>
      <w:r w:rsidRPr="00EA0DC7">
        <w:rPr>
          <w:rFonts w:eastAsia="Times New Roman" w:cs="Arial"/>
          <w:i/>
          <w:iCs/>
          <w:noProof/>
          <w:szCs w:val="24"/>
        </w:rPr>
        <w:t>The Counseling Psychologist</w:t>
      </w:r>
      <w:r w:rsidRPr="00EA0DC7">
        <w:rPr>
          <w:rFonts w:eastAsia="Times New Roman" w:cs="Arial"/>
          <w:noProof/>
          <w:szCs w:val="24"/>
        </w:rPr>
        <w:t xml:space="preserve">, </w:t>
      </w:r>
      <w:r w:rsidRPr="00EA0DC7">
        <w:rPr>
          <w:rFonts w:eastAsia="Times New Roman" w:cs="Arial"/>
          <w:i/>
          <w:iCs/>
          <w:noProof/>
          <w:szCs w:val="24"/>
        </w:rPr>
        <w:t>11</w:t>
      </w:r>
      <w:r w:rsidRPr="00EA0DC7">
        <w:rPr>
          <w:rFonts w:eastAsia="Times New Roman" w:cs="Arial"/>
          <w:noProof/>
          <w:szCs w:val="24"/>
        </w:rPr>
        <w:t>, 21–25.</w:t>
      </w:r>
    </w:p>
    <w:p w14:paraId="588BECC5" w14:textId="77777777" w:rsidR="004C54F0" w:rsidRDefault="004C54F0">
      <w:pPr>
        <w:widowControl w:val="0"/>
        <w:spacing w:after="160"/>
        <w:ind w:left="709" w:hanging="709"/>
        <w:rPr>
          <w:rFonts w:cs="Arial"/>
        </w:rPr>
      </w:pPr>
    </w:p>
    <w:p w14:paraId="5F100CD8" w14:textId="1A3AB058" w:rsidR="0065163F" w:rsidRPr="00EA0DC7" w:rsidRDefault="0065163F">
      <w:pPr>
        <w:widowControl w:val="0"/>
        <w:spacing w:after="160"/>
        <w:ind w:left="709" w:hanging="709"/>
      </w:pPr>
      <w:r w:rsidRPr="00EA0DC7">
        <w:rPr>
          <w:rFonts w:cs="Arial"/>
        </w:rPr>
        <w:lastRenderedPageBreak/>
        <w:t xml:space="preserve">Patton, M., &amp; Kivlighan, D. (1997). </w:t>
      </w:r>
      <w:r w:rsidRPr="00EA0DC7">
        <w:t xml:space="preserve">Relevance of the supervisory alliance to the counseling alliance and to treatment adherence in counselor training. </w:t>
      </w:r>
      <w:r w:rsidRPr="00EA0DC7">
        <w:rPr>
          <w:i/>
        </w:rPr>
        <w:t xml:space="preserve">Journal of Counseling Psychology, 44, </w:t>
      </w:r>
      <w:r w:rsidRPr="00EA0DC7">
        <w:t>108-115.</w:t>
      </w:r>
    </w:p>
    <w:p w14:paraId="05C9B2F5" w14:textId="77777777" w:rsidR="0065163F" w:rsidRPr="00EA0DC7" w:rsidRDefault="0065163F">
      <w:pPr>
        <w:widowControl w:val="0"/>
        <w:spacing w:after="160"/>
        <w:ind w:left="709" w:hanging="709"/>
        <w:rPr>
          <w:rFonts w:cs="Arial"/>
        </w:rPr>
      </w:pPr>
      <w:r w:rsidRPr="00EA0DC7">
        <w:rPr>
          <w:rFonts w:cs="Arial"/>
        </w:rPr>
        <w:t xml:space="preserve">Paykel, E. S. (1977). Depression and appetite. </w:t>
      </w:r>
      <w:r w:rsidRPr="00EA0DC7">
        <w:rPr>
          <w:rFonts w:cs="Arial"/>
          <w:i/>
        </w:rPr>
        <w:t xml:space="preserve">Journal of Psychosomatic Research, 21, </w:t>
      </w:r>
      <w:r w:rsidRPr="00EA0DC7">
        <w:rPr>
          <w:rFonts w:cs="Arial"/>
        </w:rPr>
        <w:t>401-407.</w:t>
      </w:r>
    </w:p>
    <w:p w14:paraId="25E3177B" w14:textId="77777777" w:rsidR="0065163F" w:rsidRPr="00EA0DC7" w:rsidRDefault="0065163F">
      <w:pPr>
        <w:widowControl w:val="0"/>
        <w:spacing w:after="160"/>
        <w:ind w:left="709" w:hanging="709"/>
        <w:rPr>
          <w:rFonts w:cs="Arial"/>
        </w:rPr>
      </w:pPr>
      <w:r w:rsidRPr="00EA0DC7">
        <w:rPr>
          <w:rFonts w:cs="Arial"/>
        </w:rPr>
        <w:t xml:space="preserve">Paykel, E. S., Brugha, T., &amp; Fryers, T. (2005). Size and burden of depressive disorders in Europe. </w:t>
      </w:r>
      <w:r w:rsidRPr="00EA0DC7">
        <w:rPr>
          <w:rFonts w:cs="Arial"/>
          <w:i/>
        </w:rPr>
        <w:t>European Neuropsychopharmacology, 15,</w:t>
      </w:r>
      <w:r w:rsidRPr="00EA0DC7">
        <w:rPr>
          <w:rFonts w:cs="Arial"/>
        </w:rPr>
        <w:t xml:space="preserve"> 411-423.</w:t>
      </w:r>
    </w:p>
    <w:p w14:paraId="14087F2F" w14:textId="77777777" w:rsidR="0065163F" w:rsidRPr="00EA0DC7" w:rsidRDefault="0065163F">
      <w:pPr>
        <w:widowControl w:val="0"/>
        <w:spacing w:after="160"/>
        <w:ind w:left="709" w:hanging="709"/>
        <w:rPr>
          <w:rFonts w:cs="Arial"/>
        </w:rPr>
      </w:pPr>
      <w:r w:rsidRPr="00EA0DC7">
        <w:rPr>
          <w:rFonts w:cs="Arial"/>
        </w:rPr>
        <w:t xml:space="preserve">Pearce, P., Sewell, R., Hill, A., &amp; Coles, H. (2012). Counselling for depression. </w:t>
      </w:r>
      <w:r w:rsidRPr="00EA0DC7">
        <w:rPr>
          <w:rFonts w:cs="Arial"/>
          <w:i/>
        </w:rPr>
        <w:t>Therapy Today, 23,</w:t>
      </w:r>
      <w:r w:rsidRPr="00EA0DC7">
        <w:rPr>
          <w:rFonts w:cs="Arial"/>
        </w:rPr>
        <w:t xml:space="preserve"> 20-23. </w:t>
      </w:r>
    </w:p>
    <w:p w14:paraId="2503FC14" w14:textId="77777777" w:rsidR="0065163F" w:rsidRPr="00EA0DC7" w:rsidRDefault="0065163F">
      <w:pPr>
        <w:widowControl w:val="0"/>
        <w:spacing w:after="160"/>
        <w:ind w:left="709" w:hanging="709"/>
        <w:rPr>
          <w:rFonts w:cs="Arial"/>
          <w:bCs/>
          <w:noProof/>
        </w:rPr>
      </w:pPr>
      <w:r w:rsidRPr="00EA0DC7">
        <w:rPr>
          <w:rFonts w:cs="Arial"/>
          <w:bCs/>
          <w:noProof/>
        </w:rPr>
        <w:t xml:space="preserve">Persons, J. B., Bostrom, A., &amp; Bertagnolli, A. (1999). Results of randomised controlled trials of cognitive therapy for depression generalize to private practice. </w:t>
      </w:r>
      <w:r w:rsidRPr="00EA0DC7">
        <w:rPr>
          <w:rFonts w:cs="Arial"/>
          <w:bCs/>
          <w:i/>
          <w:noProof/>
        </w:rPr>
        <w:t>Cognitive Therapy and Research, 23,</w:t>
      </w:r>
      <w:r w:rsidRPr="00EA0DC7">
        <w:rPr>
          <w:rFonts w:cs="Arial"/>
          <w:bCs/>
          <w:noProof/>
        </w:rPr>
        <w:t xml:space="preserve"> 535-548.</w:t>
      </w:r>
    </w:p>
    <w:p w14:paraId="24EA421D" w14:textId="77777777" w:rsidR="0065163F" w:rsidRPr="00EA0DC7" w:rsidRDefault="0065163F">
      <w:pPr>
        <w:widowControl w:val="0"/>
        <w:spacing w:after="160"/>
        <w:ind w:left="709" w:hanging="709"/>
        <w:rPr>
          <w:rFonts w:cs="Arial"/>
        </w:rPr>
      </w:pPr>
      <w:r w:rsidRPr="00EA0DC7">
        <w:rPr>
          <w:rFonts w:cs="Arial"/>
        </w:rPr>
        <w:t xml:space="preserve">Persons, J. B., Burns, D. D., &amp; Perloff, J. M. (1988). Predictors of dropout and outcome in cognitive therapy for depression in a private practice setting. </w:t>
      </w:r>
      <w:r w:rsidRPr="00EA0DC7">
        <w:rPr>
          <w:rFonts w:cs="Arial"/>
          <w:i/>
        </w:rPr>
        <w:t>Cognitive Therapy and Research, 12,</w:t>
      </w:r>
      <w:r w:rsidRPr="00EA0DC7">
        <w:rPr>
          <w:rFonts w:cs="Arial"/>
        </w:rPr>
        <w:t xml:space="preserve"> 557–575.</w:t>
      </w:r>
    </w:p>
    <w:p w14:paraId="49F72AE0" w14:textId="77777777" w:rsidR="0065163F" w:rsidRPr="00EA0DC7" w:rsidRDefault="0065163F">
      <w:pPr>
        <w:widowControl w:val="0"/>
        <w:spacing w:after="160"/>
        <w:ind w:left="709" w:hanging="709"/>
        <w:rPr>
          <w:rFonts w:cs="Arial"/>
          <w:bCs/>
          <w:noProof/>
        </w:rPr>
      </w:pPr>
      <w:r w:rsidRPr="00EA0DC7">
        <w:rPr>
          <w:rFonts w:cs="Arial"/>
          <w:bCs/>
          <w:noProof/>
        </w:rPr>
        <w:t xml:space="preserve">Persons, J. B., Roberts, N. A., Zalecki, C. A., &amp; Brechwald, W. A. G. (2006). Naturalistic outcome of case formulation-driven cognitive-behavior therapy for anxious depressed outpatients. </w:t>
      </w:r>
      <w:r w:rsidRPr="00EA0DC7">
        <w:rPr>
          <w:rFonts w:cs="Arial"/>
          <w:bCs/>
          <w:i/>
          <w:noProof/>
        </w:rPr>
        <w:t>Behaviour Research and Therapy, 44,</w:t>
      </w:r>
      <w:r w:rsidRPr="00EA0DC7">
        <w:rPr>
          <w:rFonts w:cs="Arial"/>
          <w:bCs/>
          <w:noProof/>
        </w:rPr>
        <w:t xml:space="preserve"> 1041-1051.</w:t>
      </w:r>
    </w:p>
    <w:p w14:paraId="2A34B323" w14:textId="0C6BA2F3"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Peake, T. H., Nussbaum, B. D., &amp; Tindell, S. D. (2002). Clinical and counseling supervision references: Trends and needs. </w:t>
      </w:r>
      <w:r w:rsidRPr="00EA0DC7">
        <w:rPr>
          <w:rFonts w:eastAsia="Times New Roman" w:cs="Arial"/>
          <w:i/>
          <w:iCs/>
          <w:noProof/>
          <w:szCs w:val="24"/>
        </w:rPr>
        <w:t>Psychotherapy: Theory/Research/Practice/Training</w:t>
      </w:r>
      <w:r w:rsidRPr="00EA0DC7">
        <w:rPr>
          <w:rFonts w:eastAsia="Times New Roman" w:cs="Arial"/>
          <w:noProof/>
          <w:szCs w:val="24"/>
        </w:rPr>
        <w:t xml:space="preserve">, </w:t>
      </w:r>
      <w:r w:rsidRPr="00EA0DC7">
        <w:rPr>
          <w:rFonts w:eastAsia="Times New Roman" w:cs="Arial"/>
          <w:i/>
          <w:iCs/>
          <w:noProof/>
          <w:szCs w:val="24"/>
        </w:rPr>
        <w:t>39</w:t>
      </w:r>
      <w:r w:rsidRPr="00EA0DC7">
        <w:rPr>
          <w:rFonts w:eastAsia="Times New Roman" w:cs="Arial"/>
          <w:noProof/>
          <w:szCs w:val="24"/>
        </w:rPr>
        <w:t>, 114–125.</w:t>
      </w:r>
    </w:p>
    <w:p w14:paraId="1856F55C" w14:textId="5923253B" w:rsidR="00D50016" w:rsidRPr="00EA0DC7" w:rsidRDefault="00D50016" w:rsidP="00F821B4">
      <w:pPr>
        <w:widowControl w:val="0"/>
        <w:ind w:left="709" w:hanging="709"/>
      </w:pPr>
      <w:r w:rsidRPr="00EA0DC7">
        <w:lastRenderedPageBreak/>
        <w:t xml:space="preserve">Peters-Scheffer, N., Didden, R., Korzilius, H., &amp; Sturmey, P. (2013). Therapist characteristics predict discrete trial teaching procedural fidelity. </w:t>
      </w:r>
      <w:r w:rsidRPr="00EA0DC7">
        <w:rPr>
          <w:i/>
        </w:rPr>
        <w:t>Intellectual and Developmental Disabilities, 51,</w:t>
      </w:r>
      <w:r w:rsidRPr="00EA0DC7">
        <w:t xml:space="preserve"> 263-272.</w:t>
      </w:r>
    </w:p>
    <w:p w14:paraId="42C8FE70"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Pierce, R. M., &amp; Schauble, P. G. (1970). Toward the development of facilitative counselors: The effects of practicum instruction and individual supervision. </w:t>
      </w:r>
      <w:r w:rsidRPr="00EA0DC7">
        <w:rPr>
          <w:rFonts w:eastAsia="Calibri" w:cs="Arial"/>
          <w:i/>
          <w:iCs/>
          <w:noProof/>
          <w:szCs w:val="24"/>
          <w:lang w:eastAsia="en-US"/>
        </w:rPr>
        <w:t>Journal of Counseling Psychology</w:t>
      </w:r>
      <w:r w:rsidRPr="00EA0DC7">
        <w:rPr>
          <w:rFonts w:eastAsia="Calibri" w:cs="Arial"/>
          <w:noProof/>
          <w:szCs w:val="24"/>
          <w:lang w:eastAsia="en-US"/>
        </w:rPr>
        <w:t xml:space="preserve">, </w:t>
      </w:r>
      <w:r w:rsidRPr="00EA0DC7">
        <w:rPr>
          <w:rFonts w:eastAsia="Calibri" w:cs="Arial"/>
          <w:i/>
          <w:iCs/>
          <w:noProof/>
          <w:szCs w:val="24"/>
          <w:lang w:eastAsia="en-US"/>
        </w:rPr>
        <w:t>17</w:t>
      </w:r>
      <w:r w:rsidRPr="00EA0DC7">
        <w:rPr>
          <w:rFonts w:eastAsia="Calibri" w:cs="Arial"/>
          <w:noProof/>
          <w:szCs w:val="24"/>
          <w:lang w:eastAsia="en-US"/>
        </w:rPr>
        <w:t>, 210–215.</w:t>
      </w:r>
    </w:p>
    <w:p w14:paraId="33D5D56C" w14:textId="77777777" w:rsidR="0065163F" w:rsidRPr="00EA0DC7" w:rsidRDefault="0065163F">
      <w:pPr>
        <w:widowControl w:val="0"/>
        <w:spacing w:after="160"/>
        <w:ind w:left="709" w:hanging="709"/>
        <w:rPr>
          <w:rFonts w:cs="Arial"/>
          <w:bCs/>
          <w:noProof/>
        </w:rPr>
      </w:pPr>
      <w:r w:rsidRPr="00EA0DC7">
        <w:rPr>
          <w:rFonts w:cs="Arial"/>
          <w:bCs/>
          <w:noProof/>
        </w:rPr>
        <w:t xml:space="preserve">Piercy, F., Laird, R., &amp; Mohammed, Z. (1983). A family therapy rating scale. </w:t>
      </w:r>
      <w:r w:rsidRPr="00EA0DC7">
        <w:rPr>
          <w:rFonts w:cs="Arial"/>
          <w:bCs/>
          <w:i/>
          <w:iCs/>
          <w:noProof/>
        </w:rPr>
        <w:t>Journal of Marital and Family Therapy</w:t>
      </w:r>
      <w:r w:rsidRPr="00EA0DC7">
        <w:rPr>
          <w:rFonts w:cs="Arial"/>
          <w:bCs/>
          <w:noProof/>
        </w:rPr>
        <w:t xml:space="preserve">, </w:t>
      </w:r>
      <w:r w:rsidRPr="00EA0DC7">
        <w:rPr>
          <w:rFonts w:cs="Arial"/>
          <w:bCs/>
          <w:i/>
          <w:iCs/>
          <w:noProof/>
        </w:rPr>
        <w:t>9</w:t>
      </w:r>
      <w:r w:rsidRPr="00EA0DC7">
        <w:rPr>
          <w:rFonts w:cs="Arial"/>
          <w:bCs/>
          <w:noProof/>
        </w:rPr>
        <w:t>, 49–60.</w:t>
      </w:r>
    </w:p>
    <w:p w14:paraId="2D6955B2" w14:textId="77777777" w:rsidR="0065163F" w:rsidRPr="00EA0DC7" w:rsidRDefault="0065163F">
      <w:pPr>
        <w:widowControl w:val="0"/>
        <w:spacing w:after="160"/>
        <w:ind w:left="709" w:hanging="709"/>
        <w:rPr>
          <w:rFonts w:cs="Arial"/>
        </w:rPr>
      </w:pPr>
      <w:r w:rsidRPr="00EA0DC7">
        <w:rPr>
          <w:rFonts w:cs="Arial"/>
        </w:rPr>
        <w:t xml:space="preserve">Piette, J. D., Valenstein, M., Himle, J., Duffy, S., Torres, T., Vogel, M., &amp; Richardson, C. (2011). </w:t>
      </w:r>
      <w:r w:rsidRPr="00EA0DC7">
        <w:t xml:space="preserve">Clinical complexity and the effectiveness of an intervention for depressed diabetes patients. </w:t>
      </w:r>
      <w:r w:rsidRPr="00EA0DC7">
        <w:rPr>
          <w:i/>
        </w:rPr>
        <w:t>Chronic Illness, 7,</w:t>
      </w:r>
      <w:r w:rsidRPr="00EA0DC7">
        <w:t xml:space="preserve"> 267-278.</w:t>
      </w:r>
    </w:p>
    <w:p w14:paraId="3D094FC0" w14:textId="77777777" w:rsidR="0065163F" w:rsidRPr="00EA0DC7" w:rsidRDefault="0065163F">
      <w:pPr>
        <w:widowControl w:val="0"/>
        <w:spacing w:after="160"/>
        <w:ind w:left="709" w:hanging="709"/>
        <w:rPr>
          <w:rFonts w:cs="Arial"/>
          <w:bCs/>
          <w:noProof/>
        </w:rPr>
      </w:pPr>
      <w:r w:rsidRPr="00EA0DC7">
        <w:rPr>
          <w:rFonts w:cs="Arial"/>
          <w:bCs/>
          <w:noProof/>
        </w:rPr>
        <w:t xml:space="preserve">Proctor, B. (1988). Supervision: a co-operative exercise in accountability. In M. Marken &amp; M. Payne (Eds). </w:t>
      </w:r>
      <w:r w:rsidRPr="00EA0DC7">
        <w:rPr>
          <w:rFonts w:cs="Arial"/>
          <w:bCs/>
          <w:i/>
          <w:noProof/>
        </w:rPr>
        <w:t>Enabling and ensuring: Supervision in practice</w:t>
      </w:r>
      <w:r w:rsidRPr="00EA0DC7">
        <w:rPr>
          <w:rFonts w:cs="Arial"/>
          <w:bCs/>
          <w:noProof/>
        </w:rPr>
        <w:t>. Leicester, UK: National Youth Bureau and Council for Education and Training in Youth and Community Work.</w:t>
      </w:r>
    </w:p>
    <w:p w14:paraId="29455A88"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Reese, R. J., Usher, E. L., Bowman, D. C., Norsworthy, L. A., Halstead, J. L., Rowlands, S. R., &amp; Chisholm, R. R. (2009). Using client feedback in psychotherapy training: An analysis of its influence on supervision and counselor self-efficacy. </w:t>
      </w:r>
      <w:r w:rsidRPr="00EA0DC7">
        <w:rPr>
          <w:rFonts w:eastAsia="Calibri" w:cs="Arial"/>
          <w:i/>
          <w:iCs/>
          <w:noProof/>
          <w:szCs w:val="24"/>
          <w:lang w:eastAsia="en-US"/>
        </w:rPr>
        <w:t>Training and Education in Professional Psychology</w:t>
      </w:r>
      <w:r w:rsidRPr="00EA0DC7">
        <w:rPr>
          <w:rFonts w:eastAsia="Calibri" w:cs="Arial"/>
          <w:noProof/>
          <w:szCs w:val="24"/>
          <w:lang w:eastAsia="en-US"/>
        </w:rPr>
        <w:t xml:space="preserve">, </w:t>
      </w:r>
      <w:r w:rsidRPr="00EA0DC7">
        <w:rPr>
          <w:rFonts w:eastAsia="Calibri" w:cs="Arial"/>
          <w:i/>
          <w:iCs/>
          <w:noProof/>
          <w:szCs w:val="24"/>
          <w:lang w:eastAsia="en-US"/>
        </w:rPr>
        <w:t>3</w:t>
      </w:r>
      <w:r w:rsidRPr="00EA0DC7">
        <w:rPr>
          <w:rFonts w:eastAsia="Calibri" w:cs="Arial"/>
          <w:noProof/>
          <w:szCs w:val="24"/>
          <w:lang w:eastAsia="en-US"/>
        </w:rPr>
        <w:t>, 157–168.</w:t>
      </w:r>
    </w:p>
    <w:p w14:paraId="64AEEED1"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Reising, G. N., &amp; Daniels, M. H. (1983). A study of Hogan’s model of counselor development and supervision.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30</w:t>
      </w:r>
      <w:r w:rsidRPr="00EA0DC7">
        <w:rPr>
          <w:rFonts w:eastAsia="Times New Roman" w:cs="Arial"/>
          <w:noProof/>
          <w:szCs w:val="24"/>
        </w:rPr>
        <w:t xml:space="preserve">, </w:t>
      </w:r>
      <w:r w:rsidRPr="00EA0DC7">
        <w:rPr>
          <w:rFonts w:eastAsia="Times New Roman" w:cs="Arial"/>
          <w:noProof/>
          <w:szCs w:val="24"/>
        </w:rPr>
        <w:lastRenderedPageBreak/>
        <w:t xml:space="preserve">235–244. </w:t>
      </w:r>
    </w:p>
    <w:p w14:paraId="1E0ABC26" w14:textId="033575D2" w:rsidR="004C54F0" w:rsidRPr="004C54F0" w:rsidRDefault="0065163F" w:rsidP="004C54F0">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Rice, L. N. (1980). A client-centered approach to the supervision of psychotherapy. In A. K. Hess (Ed.), </w:t>
      </w:r>
      <w:r w:rsidRPr="00EA0DC7">
        <w:rPr>
          <w:rFonts w:eastAsia="Times New Roman" w:cs="Arial"/>
          <w:i/>
          <w:iCs/>
          <w:noProof/>
          <w:szCs w:val="24"/>
        </w:rPr>
        <w:t>Psychotherapy supervision: Theory, research and practice</w:t>
      </w:r>
      <w:r w:rsidRPr="00EA0DC7">
        <w:rPr>
          <w:rFonts w:eastAsia="Times New Roman" w:cs="Arial"/>
          <w:noProof/>
          <w:szCs w:val="24"/>
        </w:rPr>
        <w:t xml:space="preserve"> (pp.</w:t>
      </w:r>
      <w:r w:rsidR="004C54F0">
        <w:rPr>
          <w:rFonts w:eastAsia="Times New Roman" w:cs="Arial"/>
          <w:noProof/>
          <w:szCs w:val="24"/>
        </w:rPr>
        <w:t xml:space="preserve"> 136–147). New York, NY: Wiley.</w:t>
      </w:r>
    </w:p>
    <w:p w14:paraId="511C060B" w14:textId="71A9E6DE" w:rsidR="0065163F" w:rsidRDefault="0065163F">
      <w:pPr>
        <w:widowControl w:val="0"/>
        <w:spacing w:after="160"/>
        <w:ind w:left="709" w:hanging="709"/>
        <w:rPr>
          <w:rFonts w:cs="Arial"/>
          <w:bCs/>
          <w:noProof/>
        </w:rPr>
      </w:pPr>
      <w:r w:rsidRPr="00EA0DC7">
        <w:rPr>
          <w:rFonts w:cs="Arial"/>
          <w:bCs/>
          <w:noProof/>
        </w:rPr>
        <w:t xml:space="preserve">Ridgeway, C. L., &amp; Correll, S. J. (2004). Unpacking the gender system: A theoretical perspective on gender beliefs and social relations. </w:t>
      </w:r>
      <w:r w:rsidRPr="00EA0DC7">
        <w:rPr>
          <w:rFonts w:cs="Arial"/>
          <w:bCs/>
          <w:i/>
          <w:noProof/>
        </w:rPr>
        <w:t>Gender and Society, 18,</w:t>
      </w:r>
      <w:r w:rsidRPr="00EA0DC7">
        <w:rPr>
          <w:rFonts w:cs="Arial"/>
          <w:bCs/>
          <w:noProof/>
        </w:rPr>
        <w:t xml:space="preserve"> 510-531.</w:t>
      </w:r>
    </w:p>
    <w:p w14:paraId="4FF08545" w14:textId="20F528C8" w:rsidR="005F6293" w:rsidRPr="00EA0DC7" w:rsidRDefault="005F6293">
      <w:pPr>
        <w:widowControl w:val="0"/>
        <w:spacing w:after="160"/>
        <w:ind w:left="709" w:hanging="709"/>
        <w:rPr>
          <w:rFonts w:cs="Arial"/>
          <w:bCs/>
          <w:noProof/>
        </w:rPr>
      </w:pPr>
      <w:r>
        <w:rPr>
          <w:rFonts w:cs="Arial"/>
          <w:bCs/>
          <w:noProof/>
        </w:rPr>
        <w:t xml:space="preserve">Rief, W., Bleichhardt, G., Dannehl, K., Euteneuer, F. &amp; Wambach, K. (2018). Comparing the efficacy of CBASP with two versions of CBT for depression in a routine care centre: A randomized clinical trial. </w:t>
      </w:r>
      <w:r w:rsidRPr="0055551C">
        <w:rPr>
          <w:rFonts w:cs="Arial"/>
          <w:bCs/>
          <w:i/>
          <w:noProof/>
        </w:rPr>
        <w:t>Psychotherapy and Psychosomatics, 87</w:t>
      </w:r>
      <w:r>
        <w:rPr>
          <w:rFonts w:cs="Arial"/>
          <w:bCs/>
          <w:noProof/>
        </w:rPr>
        <w:t>, 164-178.</w:t>
      </w:r>
    </w:p>
    <w:p w14:paraId="3B20AA17"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Rigazio-DiGilio, S. A., &amp; Anderson, S. A. (1994). A cognitive-developmental model for marital and family therapy supervision. </w:t>
      </w:r>
      <w:r w:rsidRPr="00EA0DC7">
        <w:rPr>
          <w:rFonts w:eastAsia="Times New Roman" w:cs="Arial"/>
          <w:i/>
          <w:iCs/>
          <w:noProof/>
          <w:szCs w:val="24"/>
        </w:rPr>
        <w:t>The Clinical Supervisor</w:t>
      </w:r>
      <w:r w:rsidRPr="00EA0DC7">
        <w:rPr>
          <w:rFonts w:eastAsia="Times New Roman" w:cs="Arial"/>
          <w:noProof/>
          <w:szCs w:val="24"/>
        </w:rPr>
        <w:t xml:space="preserve">, </w:t>
      </w:r>
      <w:r w:rsidRPr="00EA0DC7">
        <w:rPr>
          <w:rFonts w:eastAsia="Times New Roman" w:cs="Arial"/>
          <w:i/>
          <w:iCs/>
          <w:noProof/>
          <w:szCs w:val="24"/>
        </w:rPr>
        <w:t>12</w:t>
      </w:r>
      <w:r w:rsidRPr="00EA0DC7">
        <w:rPr>
          <w:rFonts w:eastAsia="Times New Roman" w:cs="Arial"/>
          <w:noProof/>
          <w:szCs w:val="24"/>
        </w:rPr>
        <w:t>, 93–118.</w:t>
      </w:r>
    </w:p>
    <w:p w14:paraId="6F2A02E1" w14:textId="77777777" w:rsidR="0065163F" w:rsidRPr="00EA0DC7" w:rsidRDefault="0065163F">
      <w:pPr>
        <w:widowControl w:val="0"/>
        <w:spacing w:after="160"/>
        <w:ind w:left="709" w:hanging="709"/>
        <w:rPr>
          <w:rFonts w:cs="Arial"/>
        </w:rPr>
      </w:pPr>
      <w:r w:rsidRPr="00EA0DC7">
        <w:rPr>
          <w:rFonts w:cs="Arial"/>
        </w:rPr>
        <w:t xml:space="preserve">Robinson, L. A., Berman, J. S., &amp; Neimeyer, R. A. (1990). Psychotherapy for the treatment of depression: A comprehensive review of controlled outcome research. </w:t>
      </w:r>
      <w:r w:rsidRPr="00EA0DC7">
        <w:rPr>
          <w:rFonts w:cs="Arial"/>
          <w:i/>
        </w:rPr>
        <w:t xml:space="preserve">Psychological Bulletin, 108, </w:t>
      </w:r>
      <w:r w:rsidRPr="00EA0DC7">
        <w:rPr>
          <w:rFonts w:cs="Arial"/>
        </w:rPr>
        <w:t>34-49.</w:t>
      </w:r>
    </w:p>
    <w:p w14:paraId="39BD595D" w14:textId="77777777"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Rodenhauser, P. (1994). Toward a multidimensional model for psychotherapy supervision based on developmental stages. </w:t>
      </w:r>
      <w:r w:rsidRPr="00EA0DC7">
        <w:rPr>
          <w:rFonts w:eastAsia="Times New Roman" w:cs="Arial"/>
          <w:i/>
          <w:iCs/>
          <w:noProof/>
          <w:szCs w:val="24"/>
        </w:rPr>
        <w:t>Journal of Psychotherapy Practice and Research</w:t>
      </w:r>
      <w:r w:rsidRPr="00EA0DC7">
        <w:rPr>
          <w:rFonts w:eastAsia="Times New Roman" w:cs="Arial"/>
          <w:noProof/>
          <w:szCs w:val="24"/>
        </w:rPr>
        <w:t xml:space="preserve">, </w:t>
      </w:r>
      <w:r w:rsidRPr="00EA0DC7">
        <w:rPr>
          <w:rFonts w:eastAsia="Times New Roman" w:cs="Arial"/>
          <w:i/>
          <w:iCs/>
          <w:noProof/>
          <w:szCs w:val="24"/>
        </w:rPr>
        <w:t>3</w:t>
      </w:r>
      <w:r w:rsidRPr="00EA0DC7">
        <w:rPr>
          <w:rFonts w:eastAsia="Times New Roman" w:cs="Arial"/>
          <w:noProof/>
          <w:szCs w:val="24"/>
        </w:rPr>
        <w:t>, 1–15.</w:t>
      </w:r>
    </w:p>
    <w:p w14:paraId="301A26B8" w14:textId="77777777" w:rsidR="0065163F" w:rsidRPr="00EA0DC7" w:rsidRDefault="0065163F">
      <w:pPr>
        <w:widowControl w:val="0"/>
        <w:spacing w:after="160"/>
        <w:ind w:left="709" w:hanging="709"/>
        <w:rPr>
          <w:rFonts w:cs="Arial"/>
          <w:noProof/>
        </w:rPr>
      </w:pPr>
      <w:bookmarkStart w:id="207" w:name="_ENREF_24"/>
      <w:r w:rsidRPr="00EA0DC7">
        <w:rPr>
          <w:rFonts w:cs="Arial"/>
          <w:noProof/>
        </w:rPr>
        <w:t xml:space="preserve">Rosenberg, M. (1965). </w:t>
      </w:r>
      <w:r w:rsidRPr="00EA0DC7">
        <w:rPr>
          <w:rFonts w:cs="Arial"/>
          <w:i/>
          <w:noProof/>
        </w:rPr>
        <w:t>Society and the adolescent self-image</w:t>
      </w:r>
      <w:r w:rsidRPr="00EA0DC7">
        <w:rPr>
          <w:rFonts w:cs="Arial"/>
          <w:noProof/>
        </w:rPr>
        <w:t>. Princeton, NJ: Princeton University Press.</w:t>
      </w:r>
      <w:bookmarkEnd w:id="207"/>
    </w:p>
    <w:p w14:paraId="098F2E67" w14:textId="77777777" w:rsidR="004C54F0" w:rsidRDefault="004C54F0">
      <w:pPr>
        <w:widowControl w:val="0"/>
        <w:spacing w:after="160"/>
        <w:ind w:left="709" w:hanging="709"/>
        <w:rPr>
          <w:rFonts w:cs="Arial"/>
        </w:rPr>
      </w:pPr>
    </w:p>
    <w:p w14:paraId="764C23D4" w14:textId="6933F6C7" w:rsidR="0065163F" w:rsidRPr="00EA0DC7" w:rsidRDefault="0065163F">
      <w:pPr>
        <w:widowControl w:val="0"/>
        <w:spacing w:after="160"/>
        <w:ind w:left="709" w:hanging="709"/>
        <w:rPr>
          <w:rFonts w:cs="Arial"/>
          <w:bCs/>
          <w:szCs w:val="24"/>
        </w:rPr>
      </w:pPr>
      <w:r w:rsidRPr="00EA0DC7">
        <w:rPr>
          <w:rFonts w:cs="Arial"/>
        </w:rPr>
        <w:lastRenderedPageBreak/>
        <w:t xml:space="preserve">Roth, A., &amp; Fonagy, P. (2005). </w:t>
      </w:r>
      <w:r w:rsidRPr="00EA0DC7">
        <w:rPr>
          <w:rFonts w:cs="Arial"/>
          <w:i/>
        </w:rPr>
        <w:t>What works for whom? A critical review of psychotherapy research (2</w:t>
      </w:r>
      <w:r w:rsidRPr="00EA0DC7">
        <w:rPr>
          <w:rFonts w:cs="Arial"/>
          <w:i/>
          <w:vertAlign w:val="superscript"/>
        </w:rPr>
        <w:t>nd</w:t>
      </w:r>
      <w:r w:rsidRPr="00EA0DC7">
        <w:rPr>
          <w:rFonts w:cs="Arial"/>
          <w:i/>
        </w:rPr>
        <w:t xml:space="preserve"> Ed.</w:t>
      </w:r>
      <w:r w:rsidRPr="00EA0DC7">
        <w:rPr>
          <w:rFonts w:cs="Arial"/>
        </w:rPr>
        <w:t xml:space="preserve">). </w:t>
      </w:r>
      <w:r w:rsidRPr="00EA0DC7">
        <w:rPr>
          <w:rFonts w:cs="Arial"/>
          <w:bCs/>
          <w:szCs w:val="24"/>
        </w:rPr>
        <w:t>New York, NY: Guilford.</w:t>
      </w:r>
    </w:p>
    <w:p w14:paraId="620764B0" w14:textId="77777777" w:rsidR="0065163F" w:rsidRPr="00EA0DC7" w:rsidRDefault="0065163F">
      <w:pPr>
        <w:widowControl w:val="0"/>
        <w:spacing w:after="160"/>
        <w:ind w:left="709" w:hanging="709"/>
      </w:pPr>
      <w:r w:rsidRPr="00EA0DC7">
        <w:rPr>
          <w:rFonts w:cs="Arial"/>
          <w:bCs/>
          <w:szCs w:val="24"/>
        </w:rPr>
        <w:t xml:space="preserve">Roth, A. D., Hill, A., &amp; Pilling, S. (2009). </w:t>
      </w:r>
      <w:r w:rsidRPr="00EA0DC7">
        <w:rPr>
          <w:i/>
        </w:rPr>
        <w:t>The competences required to deliver effective Humanistic Psychological Therapies.</w:t>
      </w:r>
      <w:r w:rsidRPr="00EA0DC7">
        <w:t xml:space="preserve"> Retrieved from http://citeseerx.ist.psu.edu/viewdoc/download?doi=10.1.1.572.6986&amp;rep=rep1&amp;type=pdf</w:t>
      </w:r>
    </w:p>
    <w:p w14:paraId="50AEAAB3"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Roth, A. D., &amp; Pilling, S. (2007). </w:t>
      </w:r>
      <w:r w:rsidRPr="00EA0DC7">
        <w:rPr>
          <w:rFonts w:eastAsia="Times New Roman" w:cs="Arial"/>
          <w:i/>
          <w:noProof/>
          <w:szCs w:val="24"/>
        </w:rPr>
        <w:t>A competence framework for the supervision of psychological therapies.</w:t>
      </w:r>
      <w:r w:rsidRPr="00EA0DC7">
        <w:rPr>
          <w:rFonts w:eastAsia="Times New Roman" w:cs="Arial"/>
          <w:noProof/>
          <w:szCs w:val="24"/>
        </w:rPr>
        <w:t xml:space="preserve"> Retrieved April 4, 2016, from http://webcache.googleusercontent.com/search?q=cache:4UgjZrIovkwJ:www.nes.scot.nhs.uk/media/3226173/roth___pilling__2008__supervision_competences.rtf+&amp;cd=4&amp;hl=en&amp;ct=clnk&amp;gl=uk</w:t>
      </w:r>
    </w:p>
    <w:p w14:paraId="57D76B0B" w14:textId="77777777" w:rsidR="0065163F" w:rsidRPr="00EA0DC7" w:rsidRDefault="0065163F">
      <w:pPr>
        <w:widowControl w:val="0"/>
        <w:spacing w:after="160"/>
        <w:ind w:left="709" w:hanging="709"/>
        <w:rPr>
          <w:rFonts w:cs="Arial"/>
          <w:bCs/>
          <w:noProof/>
        </w:rPr>
      </w:pPr>
      <w:r w:rsidRPr="00EA0DC7">
        <w:rPr>
          <w:rFonts w:cs="Arial"/>
          <w:bCs/>
          <w:noProof/>
        </w:rPr>
        <w:t xml:space="preserve">Roth, A. D., Pilling, S., &amp; Turner, J. (2010). Therapist training and supervision in clinical trials: Implications for clinical practice. </w:t>
      </w:r>
      <w:r w:rsidRPr="00EA0DC7">
        <w:rPr>
          <w:rFonts w:cs="Arial"/>
          <w:bCs/>
          <w:i/>
          <w:noProof/>
        </w:rPr>
        <w:t>Behavioural and Cognitive Psychotherapy, 38</w:t>
      </w:r>
      <w:r w:rsidRPr="00EA0DC7">
        <w:rPr>
          <w:rFonts w:cs="Arial"/>
          <w:bCs/>
          <w:noProof/>
        </w:rPr>
        <w:t xml:space="preserve">, 291-302. </w:t>
      </w:r>
    </w:p>
    <w:p w14:paraId="7E3272EA" w14:textId="77777777" w:rsidR="0065163F" w:rsidRPr="00EA0DC7" w:rsidRDefault="0065163F">
      <w:pPr>
        <w:widowControl w:val="0"/>
        <w:spacing w:after="160"/>
        <w:ind w:left="709" w:hanging="709"/>
        <w:rPr>
          <w:rFonts w:cs="Arial"/>
          <w:bCs/>
          <w:noProof/>
        </w:rPr>
      </w:pPr>
      <w:r w:rsidRPr="00EA0DC7">
        <w:rPr>
          <w:rFonts w:eastAsia="Calibri" w:cs="Arial"/>
          <w:noProof/>
          <w:szCs w:val="24"/>
          <w:lang w:eastAsia="en-US"/>
        </w:rPr>
        <w:t xml:space="preserve">Rousmaniere, T. G., Swift, J. K., Babins-Wagner, R., Whipple, J. L., &amp; Berzins, S. (2016). Supervisor variance in psychotherapy outcome in routine practice. </w:t>
      </w:r>
      <w:r w:rsidRPr="00EA0DC7">
        <w:rPr>
          <w:rFonts w:eastAsia="Calibri" w:cs="Arial"/>
          <w:i/>
          <w:iCs/>
          <w:noProof/>
          <w:szCs w:val="24"/>
          <w:lang w:eastAsia="en-US"/>
        </w:rPr>
        <w:t>Psychotherapy Research</w:t>
      </w:r>
      <w:r w:rsidRPr="00EA0DC7">
        <w:rPr>
          <w:rFonts w:eastAsia="Calibri" w:cs="Arial"/>
          <w:noProof/>
          <w:szCs w:val="24"/>
          <w:lang w:eastAsia="en-US"/>
        </w:rPr>
        <w:t xml:space="preserve">, </w:t>
      </w:r>
      <w:r w:rsidRPr="00EA0DC7">
        <w:rPr>
          <w:rFonts w:eastAsia="Calibri" w:cs="Arial"/>
          <w:i/>
          <w:iCs/>
          <w:noProof/>
          <w:szCs w:val="24"/>
          <w:lang w:eastAsia="en-US"/>
        </w:rPr>
        <w:t>26</w:t>
      </w:r>
      <w:r w:rsidRPr="00EA0DC7">
        <w:rPr>
          <w:rFonts w:eastAsia="Calibri" w:cs="Arial"/>
          <w:noProof/>
          <w:szCs w:val="24"/>
          <w:lang w:eastAsia="en-US"/>
        </w:rPr>
        <w:t>, 196–205.</w:t>
      </w:r>
    </w:p>
    <w:p w14:paraId="706F66C1" w14:textId="4EB17FED" w:rsidR="0065163F" w:rsidRPr="00EA0DC7" w:rsidRDefault="0065163F">
      <w:pPr>
        <w:widowControl w:val="0"/>
        <w:spacing w:after="160"/>
        <w:ind w:left="709" w:hanging="709"/>
        <w:rPr>
          <w:rFonts w:cs="Arial"/>
          <w:bCs/>
          <w:szCs w:val="24"/>
        </w:rPr>
      </w:pPr>
      <w:r w:rsidRPr="00EA0DC7">
        <w:rPr>
          <w:rFonts w:cs="Arial"/>
          <w:bCs/>
          <w:szCs w:val="24"/>
        </w:rPr>
        <w:t xml:space="preserve">Rush, A., J., Trivedi, M. H., Wisniewski, S. R., Nierenberg, A. A., Stewart, J. W., Warden, D. … Fava, M. (2006). Acute and longer-term outcomes in depressed outpatients requiring one or several treatment steps: A STAR*D report. </w:t>
      </w:r>
      <w:r w:rsidRPr="00EA0DC7">
        <w:rPr>
          <w:rFonts w:cs="Arial"/>
          <w:bCs/>
          <w:i/>
          <w:szCs w:val="24"/>
        </w:rPr>
        <w:t>American Journal of Psychiatry, 163,</w:t>
      </w:r>
      <w:r w:rsidRPr="00EA0DC7">
        <w:rPr>
          <w:rFonts w:cs="Arial"/>
          <w:bCs/>
          <w:szCs w:val="24"/>
        </w:rPr>
        <w:t xml:space="preserve"> 1905-1917.</w:t>
      </w:r>
    </w:p>
    <w:p w14:paraId="7CC5DBBE" w14:textId="77777777" w:rsidR="0065163F" w:rsidRPr="00EA0DC7" w:rsidRDefault="0065163F">
      <w:pPr>
        <w:widowControl w:val="0"/>
        <w:spacing w:after="160"/>
        <w:ind w:left="709" w:hanging="709"/>
        <w:rPr>
          <w:rFonts w:cs="Arial"/>
          <w:bCs/>
          <w:szCs w:val="24"/>
        </w:rPr>
      </w:pPr>
      <w:r w:rsidRPr="00EA0DC7">
        <w:rPr>
          <w:rFonts w:cs="Arial"/>
          <w:bCs/>
          <w:szCs w:val="24"/>
        </w:rPr>
        <w:t xml:space="preserve">Ryff, C. D. (1989). Happiness is everything or is it? Explorations on the meaning of psychological well-being. </w:t>
      </w:r>
      <w:r w:rsidRPr="00EA0DC7">
        <w:rPr>
          <w:rFonts w:cs="Arial"/>
          <w:bCs/>
          <w:i/>
          <w:iCs/>
          <w:szCs w:val="24"/>
        </w:rPr>
        <w:t>Journal of Personality and Social Psychology</w:t>
      </w:r>
      <w:r w:rsidRPr="00EA0DC7">
        <w:rPr>
          <w:rFonts w:cs="Arial"/>
          <w:bCs/>
          <w:szCs w:val="24"/>
        </w:rPr>
        <w:t xml:space="preserve">, </w:t>
      </w:r>
      <w:r w:rsidRPr="00EA0DC7">
        <w:rPr>
          <w:rFonts w:cs="Arial"/>
          <w:bCs/>
          <w:i/>
          <w:iCs/>
          <w:szCs w:val="24"/>
        </w:rPr>
        <w:t>69</w:t>
      </w:r>
      <w:r w:rsidRPr="00EA0DC7">
        <w:rPr>
          <w:rFonts w:cs="Arial"/>
          <w:bCs/>
          <w:szCs w:val="24"/>
        </w:rPr>
        <w:t>, 1069–1081.</w:t>
      </w:r>
    </w:p>
    <w:p w14:paraId="3C6233B8" w14:textId="7AB5BF19" w:rsidR="004C54F0" w:rsidRDefault="000D3166" w:rsidP="004C54F0">
      <w:pPr>
        <w:widowControl w:val="0"/>
        <w:ind w:left="709" w:hanging="709"/>
        <w:rPr>
          <w:rFonts w:eastAsia="Times New Roman"/>
        </w:rPr>
      </w:pPr>
      <w:r w:rsidRPr="00EA0DC7">
        <w:rPr>
          <w:rFonts w:eastAsia="Times New Roman"/>
        </w:rPr>
        <w:lastRenderedPageBreak/>
        <w:t xml:space="preserve">Safran, J. D., Muran, J. C., Samstag, L. W., </w:t>
      </w:r>
      <w:r w:rsidR="002D603D">
        <w:rPr>
          <w:rFonts w:eastAsia="Times New Roman"/>
        </w:rPr>
        <w:t xml:space="preserve">&amp; </w:t>
      </w:r>
      <w:r w:rsidRPr="00EA0DC7">
        <w:rPr>
          <w:rFonts w:eastAsia="Times New Roman"/>
        </w:rPr>
        <w:t>Stevens, C. (2001). Repairing alliance ruptures</w:t>
      </w:r>
      <w:r w:rsidRPr="00EA0DC7">
        <w:rPr>
          <w:rFonts w:eastAsia="Times New Roman"/>
          <w:i/>
        </w:rPr>
        <w:t>. Psychotherapy: Theory/Research/Practice/Training, 38</w:t>
      </w:r>
      <w:r w:rsidRPr="00EA0DC7">
        <w:rPr>
          <w:rFonts w:eastAsia="Times New Roman"/>
        </w:rPr>
        <w:t>, 406-412.</w:t>
      </w:r>
    </w:p>
    <w:p w14:paraId="287D1A27" w14:textId="27928E1A" w:rsidR="00153AD8" w:rsidRPr="00EA0DC7" w:rsidRDefault="00153AD8" w:rsidP="00F821B4">
      <w:pPr>
        <w:widowControl w:val="0"/>
        <w:ind w:left="709" w:hanging="709"/>
        <w:rPr>
          <w:rFonts w:cs="Arial"/>
        </w:rPr>
      </w:pPr>
      <w:r>
        <w:rPr>
          <w:rFonts w:eastAsia="Times New Roman"/>
        </w:rPr>
        <w:t xml:space="preserve">Salekin, R. T. (2002). Psychopathy and therapeutic pessimism: Clinical lore or clinical reality? </w:t>
      </w:r>
      <w:r w:rsidRPr="0055551C">
        <w:rPr>
          <w:rFonts w:eastAsia="Times New Roman"/>
          <w:i/>
        </w:rPr>
        <w:t xml:space="preserve">Clinical Psychology Review, </w:t>
      </w:r>
      <w:r w:rsidR="00763B76" w:rsidRPr="0055551C">
        <w:rPr>
          <w:rFonts w:eastAsia="Times New Roman"/>
          <w:i/>
        </w:rPr>
        <w:t>22</w:t>
      </w:r>
      <w:r w:rsidR="00763B76">
        <w:rPr>
          <w:rFonts w:eastAsia="Times New Roman"/>
        </w:rPr>
        <w:t>, 79-112.</w:t>
      </w:r>
    </w:p>
    <w:p w14:paraId="4D8BFBF0" w14:textId="77777777" w:rsidR="0065163F" w:rsidRPr="00EA0DC7" w:rsidRDefault="0065163F">
      <w:pPr>
        <w:widowControl w:val="0"/>
        <w:spacing w:after="160"/>
        <w:ind w:left="709" w:hanging="709"/>
        <w:rPr>
          <w:rFonts w:cs="Arial"/>
          <w:bCs/>
          <w:szCs w:val="24"/>
        </w:rPr>
      </w:pPr>
      <w:r w:rsidRPr="00EA0DC7">
        <w:rPr>
          <w:rFonts w:cs="Arial"/>
          <w:bCs/>
          <w:szCs w:val="24"/>
        </w:rPr>
        <w:t xml:space="preserve">Saxon, D., &amp; Barkham, M. (2012). Patterns of therapist variability: Therapist effects and the contribution of patient severity and risk. </w:t>
      </w:r>
      <w:r w:rsidRPr="00EA0DC7">
        <w:rPr>
          <w:rFonts w:cs="Arial"/>
          <w:bCs/>
          <w:i/>
          <w:szCs w:val="24"/>
        </w:rPr>
        <w:t xml:space="preserve">Journal of Consulting and Clinical Psychology, 80, </w:t>
      </w:r>
      <w:r w:rsidRPr="00EA0DC7">
        <w:rPr>
          <w:rFonts w:cs="Arial"/>
          <w:bCs/>
          <w:szCs w:val="24"/>
        </w:rPr>
        <w:t>535-546.</w:t>
      </w:r>
    </w:p>
    <w:p w14:paraId="0E4D0008"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Scaife, J. (2001). </w:t>
      </w:r>
      <w:r w:rsidRPr="00EA0DC7">
        <w:rPr>
          <w:rFonts w:eastAsia="Times New Roman" w:cs="Arial"/>
          <w:i/>
          <w:iCs/>
          <w:noProof/>
          <w:szCs w:val="24"/>
        </w:rPr>
        <w:t>Supervision in the mental health professions: A practitioner’s guide</w:t>
      </w:r>
      <w:r w:rsidRPr="00EA0DC7">
        <w:rPr>
          <w:rFonts w:eastAsia="Times New Roman" w:cs="Arial"/>
          <w:noProof/>
          <w:szCs w:val="24"/>
        </w:rPr>
        <w:t>. Hove, UK: Brunner-Routledge.</w:t>
      </w:r>
    </w:p>
    <w:p w14:paraId="3B06DE37" w14:textId="77777777" w:rsidR="0065163F" w:rsidRPr="00EA0DC7" w:rsidRDefault="0065163F">
      <w:pPr>
        <w:widowControl w:val="0"/>
        <w:spacing w:after="160"/>
        <w:ind w:left="709" w:hanging="709"/>
        <w:rPr>
          <w:rFonts w:cs="Arial"/>
          <w:bCs/>
          <w:noProof/>
          <w:lang w:val="de-DE"/>
        </w:rPr>
      </w:pPr>
      <w:r w:rsidRPr="00EA0DC7">
        <w:rPr>
          <w:rFonts w:cs="Arial"/>
          <w:bCs/>
          <w:noProof/>
        </w:rPr>
        <w:t xml:space="preserve">Schindler, A. C., Hiller, W., &amp; Witthoft, M. (2011). Benchmarking of cognitive-behavioral therapy for depression in efficacy and effectiveness studies - How do exclusion criteria affect treatment outcome? </w:t>
      </w:r>
      <w:r w:rsidRPr="00EA0DC7">
        <w:rPr>
          <w:rFonts w:cs="Arial"/>
          <w:bCs/>
          <w:i/>
          <w:noProof/>
          <w:lang w:val="de-DE"/>
        </w:rPr>
        <w:t>Psychotherapy Research, 21</w:t>
      </w:r>
      <w:r w:rsidRPr="00EA0DC7">
        <w:rPr>
          <w:rFonts w:cs="Arial"/>
          <w:bCs/>
          <w:noProof/>
          <w:lang w:val="de-DE"/>
        </w:rPr>
        <w:t xml:space="preserve">, 644-657. </w:t>
      </w:r>
    </w:p>
    <w:p w14:paraId="1187BD60"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Schoenwald, S. K., Sheidow, A. J., &amp; Chapman, J. E. (2009). Clinical supervision in treatment transport: Effects on adherence and outcomes. </w:t>
      </w:r>
      <w:r w:rsidRPr="00EA0DC7">
        <w:rPr>
          <w:rFonts w:eastAsia="Times New Roman" w:cs="Arial"/>
          <w:i/>
          <w:iCs/>
          <w:noProof/>
          <w:szCs w:val="24"/>
        </w:rPr>
        <w:t>Journal of Consulting and Clinical Psychology</w:t>
      </w:r>
      <w:r w:rsidRPr="00EA0DC7">
        <w:rPr>
          <w:rFonts w:eastAsia="Times New Roman" w:cs="Arial"/>
          <w:noProof/>
          <w:szCs w:val="24"/>
        </w:rPr>
        <w:t xml:space="preserve">, </w:t>
      </w:r>
      <w:r w:rsidRPr="00EA0DC7">
        <w:rPr>
          <w:rFonts w:eastAsia="Times New Roman" w:cs="Arial"/>
          <w:i/>
          <w:iCs/>
          <w:noProof/>
          <w:szCs w:val="24"/>
        </w:rPr>
        <w:t>77</w:t>
      </w:r>
      <w:r w:rsidRPr="00EA0DC7">
        <w:rPr>
          <w:rFonts w:eastAsia="Times New Roman" w:cs="Arial"/>
          <w:noProof/>
          <w:szCs w:val="24"/>
        </w:rPr>
        <w:t xml:space="preserve">, 410–421. </w:t>
      </w:r>
    </w:p>
    <w:p w14:paraId="1605625A" w14:textId="77777777" w:rsidR="000D3166" w:rsidRPr="00EA0DC7" w:rsidRDefault="000D3166" w:rsidP="00F821B4">
      <w:pPr>
        <w:widowControl w:val="0"/>
        <w:ind w:left="709" w:hanging="709"/>
        <w:rPr>
          <w:rFonts w:cs="Arial"/>
        </w:rPr>
      </w:pPr>
      <w:r w:rsidRPr="00EA0DC7">
        <w:rPr>
          <w:rFonts w:cs="Arial"/>
        </w:rPr>
        <w:t>Schumacher, S., Gaudlitz, K., Plag, J., Miller, R., Kirschbaum, C., Fehm, L., … Str</w:t>
      </w:r>
      <w:r w:rsidRPr="00EA0DC7">
        <w:t xml:space="preserve">öhle, A. (2014). Who is stressed? A pilot study of salivary cortisol and alpha-amylase concentrations in agoraphobic patients and their novice therapists undergoing in vivo exposure. </w:t>
      </w:r>
      <w:r w:rsidRPr="00EA0DC7">
        <w:rPr>
          <w:i/>
        </w:rPr>
        <w:t>Psychoneuroendocrinology, 49,</w:t>
      </w:r>
      <w:r w:rsidRPr="00EA0DC7">
        <w:t xml:space="preserve"> 280-289.</w:t>
      </w:r>
    </w:p>
    <w:p w14:paraId="0074E6F1" w14:textId="77777777" w:rsidR="004C54F0" w:rsidRDefault="004C54F0">
      <w:pPr>
        <w:widowControl w:val="0"/>
        <w:spacing w:after="160"/>
        <w:ind w:left="709" w:hanging="709"/>
        <w:rPr>
          <w:rFonts w:cs="Arial"/>
          <w:bCs/>
          <w:szCs w:val="24"/>
        </w:rPr>
      </w:pPr>
    </w:p>
    <w:p w14:paraId="1F78B3BD" w14:textId="57E4D2B9" w:rsidR="0065163F" w:rsidRPr="00EA0DC7" w:rsidRDefault="0065163F">
      <w:pPr>
        <w:widowControl w:val="0"/>
        <w:spacing w:after="160"/>
        <w:ind w:left="709" w:hanging="709"/>
        <w:rPr>
          <w:rFonts w:cs="Arial"/>
          <w:bCs/>
          <w:szCs w:val="24"/>
        </w:rPr>
      </w:pPr>
      <w:r w:rsidRPr="00EA0DC7">
        <w:rPr>
          <w:rFonts w:cs="Arial"/>
          <w:bCs/>
          <w:szCs w:val="24"/>
        </w:rPr>
        <w:lastRenderedPageBreak/>
        <w:t xml:space="preserve">Scott, J., Watkins, E. (2004). Brief psychotherapies for depression: Current status. </w:t>
      </w:r>
      <w:r w:rsidRPr="00EA0DC7">
        <w:rPr>
          <w:rFonts w:cs="Arial"/>
          <w:bCs/>
          <w:i/>
          <w:szCs w:val="24"/>
        </w:rPr>
        <w:t>Current Opinion in Psychiatry, 17,</w:t>
      </w:r>
      <w:r w:rsidRPr="00EA0DC7">
        <w:rPr>
          <w:rFonts w:cs="Arial"/>
          <w:bCs/>
          <w:szCs w:val="24"/>
        </w:rPr>
        <w:t xml:space="preserve"> 3-7.</w:t>
      </w:r>
    </w:p>
    <w:p w14:paraId="74942569" w14:textId="77777777" w:rsidR="0065163F" w:rsidRPr="00EA0DC7" w:rsidRDefault="0065163F">
      <w:pPr>
        <w:widowControl w:val="0"/>
        <w:spacing w:after="160"/>
        <w:ind w:left="709" w:hanging="709"/>
        <w:rPr>
          <w:rFonts w:cs="Arial"/>
          <w:bCs/>
          <w:szCs w:val="24"/>
        </w:rPr>
      </w:pPr>
      <w:r w:rsidRPr="00EA0DC7">
        <w:rPr>
          <w:rFonts w:cs="Arial"/>
          <w:bCs/>
          <w:szCs w:val="24"/>
        </w:rPr>
        <w:t xml:space="preserve">Seligman, M. E. P. (1975). </w:t>
      </w:r>
      <w:r w:rsidRPr="00EA0DC7">
        <w:rPr>
          <w:rFonts w:cs="Arial"/>
          <w:bCs/>
          <w:i/>
          <w:szCs w:val="24"/>
        </w:rPr>
        <w:t>Helplessness: On Depression, Development, and Death.</w:t>
      </w:r>
      <w:r w:rsidRPr="00EA0DC7">
        <w:rPr>
          <w:rFonts w:cs="Arial"/>
          <w:bCs/>
          <w:szCs w:val="24"/>
        </w:rPr>
        <w:t xml:space="preserve"> San Francisco, CA: Freeman.</w:t>
      </w:r>
    </w:p>
    <w:p w14:paraId="726C1F7B" w14:textId="77777777" w:rsidR="0065163F" w:rsidRPr="00EA0DC7" w:rsidRDefault="0065163F">
      <w:pPr>
        <w:widowControl w:val="0"/>
        <w:spacing w:after="160"/>
        <w:ind w:left="709" w:hanging="709"/>
        <w:rPr>
          <w:rFonts w:cs="Arial"/>
          <w:bCs/>
          <w:szCs w:val="24"/>
        </w:rPr>
      </w:pPr>
      <w:r w:rsidRPr="00EA0DC7">
        <w:rPr>
          <w:rFonts w:cs="Arial"/>
          <w:bCs/>
          <w:szCs w:val="24"/>
        </w:rPr>
        <w:t xml:space="preserve">Seligman, M. E. P. (1995). The effectiveness of psychotherapy: The consumer reports study. </w:t>
      </w:r>
      <w:r w:rsidRPr="00EA0DC7">
        <w:rPr>
          <w:rFonts w:cs="Arial"/>
          <w:bCs/>
          <w:i/>
          <w:szCs w:val="24"/>
        </w:rPr>
        <w:t>American Psychologist, 50,</w:t>
      </w:r>
      <w:r w:rsidRPr="00EA0DC7">
        <w:rPr>
          <w:rFonts w:cs="Arial"/>
          <w:bCs/>
          <w:szCs w:val="24"/>
        </w:rPr>
        <w:t xml:space="preserve"> 965-974.</w:t>
      </w:r>
    </w:p>
    <w:p w14:paraId="3900B914" w14:textId="1D2DDC2A" w:rsidR="0065163F" w:rsidRPr="00EA0DC7" w:rsidRDefault="0065163F">
      <w:pPr>
        <w:widowControl w:val="0"/>
        <w:spacing w:after="160"/>
        <w:ind w:left="709" w:hanging="709"/>
        <w:rPr>
          <w:rFonts w:cs="Arial"/>
          <w:bCs/>
          <w:szCs w:val="24"/>
        </w:rPr>
      </w:pPr>
      <w:r w:rsidRPr="00EA0DC7">
        <w:rPr>
          <w:rFonts w:cs="Arial"/>
          <w:bCs/>
          <w:szCs w:val="24"/>
        </w:rPr>
        <w:t xml:space="preserve">Shapiro, D. A., Barkham, M., Rees, A., Hardy, G. E., Reynolds, S., &amp; Startup, M. (1994). Effects of treatment duration and severity of depression on the effectiveness of cognitive–behavioral and psychodynamic-interpersonal psychotherapy. </w:t>
      </w:r>
      <w:r w:rsidRPr="00EA0DC7">
        <w:rPr>
          <w:rFonts w:cs="Arial"/>
          <w:bCs/>
          <w:i/>
          <w:szCs w:val="24"/>
        </w:rPr>
        <w:t>Journal of Consulting and Clinical Psychology, 62,</w:t>
      </w:r>
      <w:r w:rsidRPr="00EA0DC7">
        <w:rPr>
          <w:rFonts w:cs="Arial"/>
          <w:bCs/>
          <w:szCs w:val="24"/>
        </w:rPr>
        <w:t xml:space="preserve"> 522–534.</w:t>
      </w:r>
    </w:p>
    <w:p w14:paraId="0363EE69" w14:textId="0EDCF839" w:rsidR="000D3166" w:rsidRPr="00EA0DC7" w:rsidRDefault="000D3166" w:rsidP="00F821B4">
      <w:pPr>
        <w:widowControl w:val="0"/>
        <w:ind w:left="709" w:hanging="709"/>
        <w:rPr>
          <w:rFonts w:cs="Arial"/>
        </w:rPr>
      </w:pPr>
      <w:r w:rsidRPr="00EA0DC7">
        <w:rPr>
          <w:rFonts w:cs="Arial"/>
        </w:rPr>
        <w:t xml:space="preserve">Shapiro, D. A., &amp; Shapiro, D. (1982). Meta-analysis of comparative therapy outcome studies: A replication and refinement. </w:t>
      </w:r>
      <w:r w:rsidRPr="00EA0DC7">
        <w:rPr>
          <w:rFonts w:cs="Arial"/>
          <w:i/>
        </w:rPr>
        <w:t>Psychological Bulletin, 92,</w:t>
      </w:r>
      <w:r w:rsidRPr="00EA0DC7">
        <w:rPr>
          <w:rFonts w:cs="Arial"/>
        </w:rPr>
        <w:t xml:space="preserve"> 581-604.</w:t>
      </w:r>
    </w:p>
    <w:p w14:paraId="6BC916CB" w14:textId="77777777" w:rsidR="0065163F" w:rsidRPr="00EA0DC7" w:rsidRDefault="0065163F">
      <w:pPr>
        <w:widowControl w:val="0"/>
        <w:spacing w:after="160"/>
        <w:ind w:left="709" w:hanging="709"/>
        <w:rPr>
          <w:rFonts w:cs="Arial"/>
          <w:bCs/>
          <w:szCs w:val="24"/>
        </w:rPr>
      </w:pPr>
      <w:r w:rsidRPr="00EA0DC7">
        <w:rPr>
          <w:rFonts w:cs="Arial"/>
          <w:bCs/>
          <w:szCs w:val="24"/>
        </w:rPr>
        <w:t xml:space="preserve">Shaw, B. F. (1999). How to use the allegiance effect to maximise competence and therapeutic outcomes. </w:t>
      </w:r>
      <w:r w:rsidRPr="00EA0DC7">
        <w:rPr>
          <w:rFonts w:cs="Arial"/>
          <w:bCs/>
          <w:i/>
          <w:szCs w:val="24"/>
        </w:rPr>
        <w:t>Clinical Psychology: Science and Practice, 6,</w:t>
      </w:r>
      <w:r w:rsidRPr="00EA0DC7">
        <w:rPr>
          <w:rFonts w:cs="Arial"/>
          <w:bCs/>
          <w:szCs w:val="24"/>
        </w:rPr>
        <w:t xml:space="preserve"> 131-132.</w:t>
      </w:r>
    </w:p>
    <w:p w14:paraId="1C7C647B" w14:textId="77777777" w:rsidR="0065163F" w:rsidRPr="00EA0DC7" w:rsidRDefault="0065163F">
      <w:pPr>
        <w:widowControl w:val="0"/>
        <w:spacing w:after="160"/>
        <w:ind w:left="709" w:hanging="709"/>
        <w:rPr>
          <w:rFonts w:cs="Arial"/>
          <w:bCs/>
          <w:szCs w:val="24"/>
        </w:rPr>
      </w:pPr>
      <w:r w:rsidRPr="00EA0DC7">
        <w:rPr>
          <w:rFonts w:cs="Arial"/>
          <w:bCs/>
          <w:szCs w:val="24"/>
          <w:lang w:val="de-DE"/>
        </w:rPr>
        <w:t xml:space="preserve">Shea, M. T., Widiger, T. A., &amp; Klein, M. H. (1992). </w:t>
      </w:r>
      <w:r w:rsidRPr="00EA0DC7">
        <w:rPr>
          <w:rFonts w:cs="Arial"/>
          <w:bCs/>
          <w:szCs w:val="24"/>
        </w:rPr>
        <w:t xml:space="preserve">Comorbidity of personality disorders and depression: Implications for treatment. </w:t>
      </w:r>
      <w:r w:rsidRPr="00EA0DC7">
        <w:rPr>
          <w:rFonts w:cs="Arial"/>
          <w:bCs/>
          <w:i/>
          <w:szCs w:val="24"/>
        </w:rPr>
        <w:t xml:space="preserve">Journal of Consulting and Clinical Psychology, 60, </w:t>
      </w:r>
      <w:r w:rsidRPr="00EA0DC7">
        <w:rPr>
          <w:rFonts w:cs="Arial"/>
          <w:bCs/>
          <w:szCs w:val="24"/>
        </w:rPr>
        <w:t>857-868.</w:t>
      </w:r>
    </w:p>
    <w:p w14:paraId="6B278A8A" w14:textId="29D27084" w:rsidR="0065163F"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Sholomskas, D. E., Syracuse-Siewert, G., Rounsaville, B. J., Ball, S. A., Nuro, K. F., &amp; Carroll, K. M. (2005). We don’t train in vain: A dissemination trial of three strategies of training clinicians in cognitive-behavioral </w:t>
      </w:r>
      <w:r w:rsidRPr="00EA0DC7">
        <w:rPr>
          <w:rFonts w:eastAsia="Calibri" w:cs="Arial"/>
          <w:noProof/>
          <w:szCs w:val="24"/>
          <w:lang w:eastAsia="en-US"/>
        </w:rPr>
        <w:lastRenderedPageBreak/>
        <w:t xml:space="preserve">therapy. </w:t>
      </w:r>
      <w:r w:rsidRPr="00EA0DC7">
        <w:rPr>
          <w:rFonts w:eastAsia="Calibri" w:cs="Arial"/>
          <w:i/>
          <w:iCs/>
          <w:noProof/>
          <w:szCs w:val="24"/>
          <w:lang w:eastAsia="en-US"/>
        </w:rPr>
        <w:t>Journal of Consulting and Clinical Psychology</w:t>
      </w:r>
      <w:r w:rsidRPr="00EA0DC7">
        <w:rPr>
          <w:rFonts w:eastAsia="Calibri" w:cs="Arial"/>
          <w:noProof/>
          <w:szCs w:val="24"/>
          <w:lang w:eastAsia="en-US"/>
        </w:rPr>
        <w:t xml:space="preserve">, </w:t>
      </w:r>
      <w:r w:rsidRPr="00EA0DC7">
        <w:rPr>
          <w:rFonts w:eastAsia="Calibri" w:cs="Arial"/>
          <w:i/>
          <w:iCs/>
          <w:noProof/>
          <w:szCs w:val="24"/>
          <w:lang w:eastAsia="en-US"/>
        </w:rPr>
        <w:t>73</w:t>
      </w:r>
      <w:r w:rsidRPr="00EA0DC7">
        <w:rPr>
          <w:rFonts w:eastAsia="Calibri" w:cs="Arial"/>
          <w:noProof/>
          <w:szCs w:val="24"/>
          <w:lang w:eastAsia="en-US"/>
        </w:rPr>
        <w:t>, 106–115.</w:t>
      </w:r>
    </w:p>
    <w:p w14:paraId="093345CF" w14:textId="58CD48D6" w:rsidR="004E0430" w:rsidRDefault="004E0430" w:rsidP="004E0430">
      <w:pPr>
        <w:widowControl w:val="0"/>
        <w:spacing w:after="160"/>
        <w:ind w:left="709" w:hanging="709"/>
        <w:rPr>
          <w:rFonts w:eastAsia="Calibri" w:cs="Arial"/>
          <w:noProof/>
          <w:szCs w:val="24"/>
          <w:lang w:eastAsia="en-US"/>
        </w:rPr>
      </w:pPr>
      <w:r>
        <w:rPr>
          <w:rFonts w:eastAsia="Calibri" w:cs="Arial"/>
          <w:noProof/>
          <w:szCs w:val="24"/>
          <w:lang w:eastAsia="en-US"/>
        </w:rPr>
        <w:t xml:space="preserve">Silverstein, B., Edwards, T., Gamma, A., Ajdacic-Gross, V., Rossler, W., &amp; Angst, J. (2013). </w:t>
      </w:r>
      <w:r w:rsidRPr="004E0430">
        <w:rPr>
          <w:rFonts w:eastAsia="Calibri" w:cs="Arial"/>
          <w:noProof/>
          <w:szCs w:val="24"/>
          <w:lang w:eastAsia="en-US"/>
        </w:rPr>
        <w:t>The role played by dep</w:t>
      </w:r>
      <w:r>
        <w:rPr>
          <w:rFonts w:eastAsia="Calibri" w:cs="Arial"/>
          <w:noProof/>
          <w:szCs w:val="24"/>
          <w:lang w:eastAsia="en-US"/>
        </w:rPr>
        <w:t xml:space="preserve">ression associated with somatic </w:t>
      </w:r>
      <w:r w:rsidRPr="004E0430">
        <w:rPr>
          <w:rFonts w:eastAsia="Calibri" w:cs="Arial"/>
          <w:noProof/>
          <w:szCs w:val="24"/>
          <w:lang w:eastAsia="en-US"/>
        </w:rPr>
        <w:t>symptomatology in accou</w:t>
      </w:r>
      <w:r>
        <w:rPr>
          <w:rFonts w:eastAsia="Calibri" w:cs="Arial"/>
          <w:noProof/>
          <w:szCs w:val="24"/>
          <w:lang w:eastAsia="en-US"/>
        </w:rPr>
        <w:t xml:space="preserve">nting for the gender difference </w:t>
      </w:r>
      <w:r w:rsidRPr="004E0430">
        <w:rPr>
          <w:rFonts w:eastAsia="Calibri" w:cs="Arial"/>
          <w:noProof/>
          <w:szCs w:val="24"/>
          <w:lang w:eastAsia="en-US"/>
        </w:rPr>
        <w:t>in the prevalence of depression</w:t>
      </w:r>
      <w:r>
        <w:rPr>
          <w:rFonts w:eastAsia="Calibri" w:cs="Arial"/>
          <w:noProof/>
          <w:szCs w:val="24"/>
          <w:lang w:eastAsia="en-US"/>
        </w:rPr>
        <w:t xml:space="preserve">. </w:t>
      </w:r>
      <w:r w:rsidRPr="0055551C">
        <w:rPr>
          <w:rFonts w:eastAsia="Calibri" w:cs="Arial"/>
          <w:i/>
          <w:noProof/>
          <w:szCs w:val="24"/>
          <w:lang w:eastAsia="en-US"/>
        </w:rPr>
        <w:t>Social Psychia</w:t>
      </w:r>
      <w:r w:rsidR="002D603D">
        <w:rPr>
          <w:rFonts w:eastAsia="Calibri" w:cs="Arial"/>
          <w:i/>
          <w:noProof/>
          <w:szCs w:val="24"/>
          <w:lang w:eastAsia="en-US"/>
        </w:rPr>
        <w:t>tr</w:t>
      </w:r>
      <w:r w:rsidRPr="0055551C">
        <w:rPr>
          <w:rFonts w:eastAsia="Calibri" w:cs="Arial"/>
          <w:i/>
          <w:noProof/>
          <w:szCs w:val="24"/>
          <w:lang w:eastAsia="en-US"/>
        </w:rPr>
        <w:t xml:space="preserve">y and Psychiatric Epidemiology, 48, </w:t>
      </w:r>
      <w:r>
        <w:rPr>
          <w:rFonts w:eastAsia="Calibri" w:cs="Arial"/>
          <w:noProof/>
          <w:szCs w:val="24"/>
          <w:lang w:eastAsia="en-US"/>
        </w:rPr>
        <w:t>257-263.</w:t>
      </w:r>
    </w:p>
    <w:p w14:paraId="0874E892" w14:textId="0854B240" w:rsidR="004E0430" w:rsidRPr="0055551C" w:rsidRDefault="004E0430" w:rsidP="004E0430">
      <w:pPr>
        <w:widowControl w:val="0"/>
        <w:spacing w:after="160"/>
        <w:ind w:left="709" w:hanging="709"/>
        <w:rPr>
          <w:rFonts w:eastAsia="Calibri" w:cs="Arial"/>
          <w:noProof/>
          <w:szCs w:val="24"/>
          <w:lang w:eastAsia="en-US"/>
        </w:rPr>
      </w:pPr>
      <w:r>
        <w:rPr>
          <w:rFonts w:eastAsia="Calibri" w:cs="Arial"/>
          <w:noProof/>
          <w:szCs w:val="24"/>
          <w:lang w:eastAsia="en-US"/>
        </w:rPr>
        <w:t xml:space="preserve">Silverstein, B., Ajdacic-Gross, V., Rossler, W., &amp; Angst, J. (2017). </w:t>
      </w:r>
      <w:r w:rsidRPr="004E0430">
        <w:rPr>
          <w:rFonts w:eastAsia="Calibri" w:cs="Arial"/>
          <w:noProof/>
          <w:szCs w:val="24"/>
          <w:lang w:eastAsia="en-US"/>
        </w:rPr>
        <w:t>The gender difference in depressive prevalenc</w:t>
      </w:r>
      <w:r>
        <w:rPr>
          <w:rFonts w:eastAsia="Calibri" w:cs="Arial"/>
          <w:noProof/>
          <w:szCs w:val="24"/>
          <w:lang w:eastAsia="en-US"/>
        </w:rPr>
        <w:t xml:space="preserve">e is due to high prevalence of </w:t>
      </w:r>
      <w:r w:rsidRPr="004E0430">
        <w:rPr>
          <w:rFonts w:eastAsia="Calibri" w:cs="Arial"/>
          <w:noProof/>
          <w:szCs w:val="24"/>
          <w:lang w:eastAsia="en-US"/>
        </w:rPr>
        <w:t>somatic depression among women who do not have depressed relatives</w:t>
      </w:r>
      <w:r>
        <w:rPr>
          <w:rFonts w:eastAsia="Calibri" w:cs="Arial"/>
          <w:noProof/>
          <w:szCs w:val="24"/>
          <w:lang w:eastAsia="en-US"/>
        </w:rPr>
        <w:t xml:space="preserve">. </w:t>
      </w:r>
      <w:r w:rsidRPr="0055551C">
        <w:rPr>
          <w:rFonts w:eastAsia="Calibri" w:cs="Arial"/>
          <w:i/>
          <w:noProof/>
          <w:szCs w:val="24"/>
          <w:lang w:eastAsia="en-US"/>
        </w:rPr>
        <w:t>Journal of Affective Disorders, 210</w:t>
      </w:r>
      <w:r>
        <w:rPr>
          <w:rFonts w:eastAsia="Calibri" w:cs="Arial"/>
          <w:noProof/>
          <w:szCs w:val="24"/>
          <w:lang w:eastAsia="en-US"/>
        </w:rPr>
        <w:t>, 269-272.</w:t>
      </w:r>
    </w:p>
    <w:p w14:paraId="66FAB163" w14:textId="77777777" w:rsidR="0065163F" w:rsidRPr="00EA0DC7" w:rsidRDefault="0065163F">
      <w:pPr>
        <w:widowControl w:val="0"/>
        <w:spacing w:after="160"/>
        <w:ind w:left="709" w:hanging="709"/>
        <w:rPr>
          <w:rFonts w:cs="Arial"/>
          <w:bCs/>
          <w:szCs w:val="24"/>
        </w:rPr>
      </w:pPr>
      <w:r w:rsidRPr="00EA0DC7">
        <w:rPr>
          <w:rFonts w:cs="Arial"/>
          <w:bCs/>
          <w:szCs w:val="24"/>
        </w:rPr>
        <w:t xml:space="preserve">Simons, A. D., Gordon, J. S., Monroe, S. M., &amp; Thase, M. E. (1995). Toward an integration of psychological, social, and biologic factors in depression: effects on outcome and course of cognitive therapy. </w:t>
      </w:r>
      <w:r w:rsidRPr="00EA0DC7">
        <w:rPr>
          <w:rFonts w:cs="Arial"/>
          <w:bCs/>
          <w:i/>
          <w:szCs w:val="24"/>
        </w:rPr>
        <w:t xml:space="preserve">Journal of Consulting and Clinical Psychology, 63, </w:t>
      </w:r>
      <w:r w:rsidRPr="00EA0DC7">
        <w:rPr>
          <w:rFonts w:cs="Arial"/>
          <w:bCs/>
          <w:szCs w:val="24"/>
        </w:rPr>
        <w:t>369–377.</w:t>
      </w:r>
    </w:p>
    <w:p w14:paraId="3A741A7A" w14:textId="1CF0698B" w:rsidR="0065163F" w:rsidRPr="00EA0DC7" w:rsidRDefault="0065163F">
      <w:pPr>
        <w:widowControl w:val="0"/>
        <w:spacing w:after="160"/>
        <w:ind w:left="709" w:hanging="709"/>
      </w:pPr>
      <w:bookmarkStart w:id="208" w:name="_ENREF_25"/>
      <w:r w:rsidRPr="00EA0DC7">
        <w:rPr>
          <w:rFonts w:cs="Arial"/>
        </w:rPr>
        <w:t xml:space="preserve">Simpson-Southward, C., Waller, G., </w:t>
      </w:r>
      <w:r w:rsidR="00570278" w:rsidRPr="00EA0DC7">
        <w:rPr>
          <w:rFonts w:cs="Arial"/>
        </w:rPr>
        <w:t>&amp;</w:t>
      </w:r>
      <w:r w:rsidRPr="00EA0DC7">
        <w:rPr>
          <w:rFonts w:cs="Arial"/>
        </w:rPr>
        <w:t xml:space="preserve"> Hardy, G. </w:t>
      </w:r>
      <w:r w:rsidR="00241F48" w:rsidRPr="00EA0DC7">
        <w:rPr>
          <w:rFonts w:cs="Arial"/>
        </w:rPr>
        <w:t xml:space="preserve">E. </w:t>
      </w:r>
      <w:r w:rsidRPr="00EA0DC7">
        <w:rPr>
          <w:rFonts w:cs="Arial"/>
        </w:rPr>
        <w:t>(</w:t>
      </w:r>
      <w:r w:rsidRPr="00EA0DC7">
        <w:rPr>
          <w:rFonts w:cs="Arial"/>
          <w:bCs/>
        </w:rPr>
        <w:t>2016). Supervision for treatment of depression: An experimental study of the role of therapist gender and anxiety</w:t>
      </w:r>
      <w:r w:rsidRPr="00EA0DC7">
        <w:rPr>
          <w:rFonts w:cs="Arial"/>
          <w:bCs/>
          <w:i/>
        </w:rPr>
        <w:t>. Behaviour Research and Therapy, 77</w:t>
      </w:r>
      <w:r w:rsidRPr="00EA0DC7">
        <w:rPr>
          <w:rFonts w:cs="Arial"/>
          <w:bCs/>
        </w:rPr>
        <w:t>, 17 – 22.</w:t>
      </w:r>
      <w:r w:rsidRPr="00EA0DC7">
        <w:rPr>
          <w:rFonts w:cs="Arial"/>
          <w:noProof/>
        </w:rPr>
        <w:t xml:space="preserve"> </w:t>
      </w:r>
      <w:bookmarkEnd w:id="208"/>
    </w:p>
    <w:p w14:paraId="1328894C" w14:textId="7CB8C748"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Simpson-Southward, C., Waller, G., &amp; Hardy, G. E. (2017). How do we know what makes for “best practice” in clinical supervision for psychological therapists? A content analysis of supervisory models and approaches. </w:t>
      </w:r>
      <w:r w:rsidRPr="00EA0DC7">
        <w:rPr>
          <w:rFonts w:eastAsia="Calibri" w:cs="Arial"/>
          <w:i/>
          <w:iCs/>
          <w:noProof/>
          <w:szCs w:val="24"/>
          <w:lang w:eastAsia="en-US"/>
        </w:rPr>
        <w:t>Clinical Psychology and Psychotherapy</w:t>
      </w:r>
      <w:r w:rsidRPr="00EA0DC7">
        <w:rPr>
          <w:rFonts w:eastAsia="Calibri" w:cs="Arial"/>
          <w:noProof/>
          <w:szCs w:val="24"/>
          <w:lang w:eastAsia="en-US"/>
        </w:rPr>
        <w:t xml:space="preserve">, </w:t>
      </w:r>
      <w:r w:rsidRPr="00EA0DC7">
        <w:rPr>
          <w:rFonts w:eastAsia="Calibri" w:cs="Arial"/>
          <w:i/>
          <w:iCs/>
          <w:noProof/>
          <w:szCs w:val="24"/>
          <w:lang w:eastAsia="en-US"/>
        </w:rPr>
        <w:t>24</w:t>
      </w:r>
      <w:r w:rsidRPr="00EA0DC7">
        <w:rPr>
          <w:rFonts w:eastAsia="Calibri" w:cs="Arial"/>
          <w:noProof/>
          <w:szCs w:val="24"/>
          <w:lang w:eastAsia="en-US"/>
        </w:rPr>
        <w:t>, 1228–1245.</w:t>
      </w:r>
    </w:p>
    <w:p w14:paraId="57C222EB" w14:textId="4C617354" w:rsidR="00584A06" w:rsidRPr="00EA0DC7" w:rsidRDefault="00584A06">
      <w:pPr>
        <w:widowControl w:val="0"/>
        <w:autoSpaceDE w:val="0"/>
        <w:autoSpaceDN w:val="0"/>
        <w:adjustRightInd w:val="0"/>
        <w:spacing w:after="160"/>
        <w:ind w:left="709" w:hanging="709"/>
        <w:rPr>
          <w:rFonts w:cs="Arial"/>
          <w:i/>
          <w:noProof/>
          <w:szCs w:val="24"/>
        </w:rPr>
      </w:pPr>
      <w:r w:rsidRPr="00EA0DC7">
        <w:rPr>
          <w:rFonts w:cs="Arial"/>
          <w:noProof/>
          <w:szCs w:val="24"/>
        </w:rPr>
        <w:t xml:space="preserve">Simpson-Southward, C., Waller, G., &amp; Hardy, G. </w:t>
      </w:r>
      <w:r w:rsidR="00241F48" w:rsidRPr="00EA0DC7">
        <w:rPr>
          <w:rFonts w:cs="Arial"/>
          <w:noProof/>
          <w:szCs w:val="24"/>
        </w:rPr>
        <w:t xml:space="preserve">E. </w:t>
      </w:r>
      <w:r w:rsidRPr="00EA0DC7">
        <w:rPr>
          <w:rFonts w:cs="Arial"/>
          <w:noProof/>
          <w:szCs w:val="24"/>
        </w:rPr>
        <w:t xml:space="preserve">(2018). Supervisor practice when guiding therapists working with depression: The impact of supervisor and patient characteristics. </w:t>
      </w:r>
      <w:r w:rsidRPr="00EA0DC7">
        <w:rPr>
          <w:rFonts w:cs="Arial"/>
          <w:i/>
          <w:noProof/>
          <w:szCs w:val="24"/>
        </w:rPr>
        <w:t xml:space="preserve">The Cognitive Behaviour </w:t>
      </w:r>
      <w:r w:rsidRPr="00EA0DC7">
        <w:rPr>
          <w:rFonts w:cs="Arial"/>
          <w:i/>
          <w:noProof/>
          <w:szCs w:val="24"/>
        </w:rPr>
        <w:lastRenderedPageBreak/>
        <w:t xml:space="preserve">Therapist, 11, </w:t>
      </w:r>
      <w:r w:rsidRPr="00EA0DC7">
        <w:rPr>
          <w:rFonts w:cs="Arial"/>
          <w:noProof/>
          <w:szCs w:val="24"/>
        </w:rPr>
        <w:t>E9.</w:t>
      </w:r>
    </w:p>
    <w:p w14:paraId="1527ED52" w14:textId="49FEC6A1" w:rsidR="0065163F" w:rsidRPr="00EA0DC7" w:rsidRDefault="0065163F">
      <w:pPr>
        <w:widowControl w:val="0"/>
        <w:spacing w:after="160"/>
        <w:ind w:left="709" w:hanging="709"/>
        <w:rPr>
          <w:rFonts w:cs="Arial"/>
          <w:bCs/>
          <w:szCs w:val="24"/>
        </w:rPr>
      </w:pPr>
      <w:r w:rsidRPr="00EA0DC7">
        <w:rPr>
          <w:rFonts w:eastAsia="Calibri" w:cs="Arial"/>
          <w:noProof/>
          <w:szCs w:val="24"/>
          <w:lang w:eastAsia="en-US"/>
        </w:rPr>
        <w:t xml:space="preserve">Singo, W. E. (1991). </w:t>
      </w:r>
      <w:r w:rsidRPr="00EA0DC7">
        <w:rPr>
          <w:rFonts w:eastAsia="Calibri" w:cs="Arial"/>
          <w:i/>
          <w:iCs/>
          <w:noProof/>
          <w:szCs w:val="24"/>
          <w:lang w:eastAsia="en-US"/>
        </w:rPr>
        <w:t>The effects of peer group supervision and individual supervision on the anxiety, self-efficacy, and basic skill competency of counselor trainees in prac</w:t>
      </w:r>
      <w:r w:rsidR="00F821B4" w:rsidRPr="00EA0DC7">
        <w:rPr>
          <w:rFonts w:eastAsia="Calibri" w:cs="Arial"/>
          <w:i/>
          <w:iCs/>
          <w:noProof/>
          <w:szCs w:val="24"/>
          <w:lang w:eastAsia="en-US"/>
        </w:rPr>
        <w:t>t</w:t>
      </w:r>
      <w:r w:rsidRPr="00EA0DC7">
        <w:rPr>
          <w:rFonts w:eastAsia="Calibri" w:cs="Arial"/>
          <w:i/>
          <w:iCs/>
          <w:noProof/>
          <w:szCs w:val="24"/>
          <w:lang w:eastAsia="en-US"/>
        </w:rPr>
        <w:t>icum</w:t>
      </w:r>
      <w:r w:rsidRPr="00EA0DC7">
        <w:rPr>
          <w:rFonts w:eastAsia="Calibri" w:cs="Arial"/>
          <w:iCs/>
          <w:noProof/>
          <w:szCs w:val="24"/>
          <w:lang w:eastAsia="en-US"/>
        </w:rPr>
        <w:t xml:space="preserve"> (Unpublished doctoral dissertation)</w:t>
      </w:r>
      <w:r w:rsidRPr="00EA0DC7">
        <w:rPr>
          <w:rFonts w:eastAsia="Calibri" w:cs="Arial"/>
          <w:noProof/>
          <w:szCs w:val="24"/>
          <w:lang w:eastAsia="en-US"/>
        </w:rPr>
        <w:t>. Wayne State University, Detroit, MI.</w:t>
      </w:r>
    </w:p>
    <w:p w14:paraId="37C82BEB" w14:textId="666C03D3" w:rsidR="0065163F" w:rsidRPr="00EA0DC7" w:rsidRDefault="0065163F">
      <w:pPr>
        <w:widowControl w:val="0"/>
        <w:spacing w:after="160"/>
        <w:ind w:left="709" w:hanging="709"/>
        <w:rPr>
          <w:rFonts w:cs="Arial"/>
          <w:bCs/>
          <w:szCs w:val="24"/>
        </w:rPr>
      </w:pPr>
      <w:r w:rsidRPr="00EA0DC7">
        <w:rPr>
          <w:rFonts w:cs="Arial"/>
          <w:bCs/>
          <w:szCs w:val="24"/>
          <w:lang w:val="de-DE"/>
        </w:rPr>
        <w:t xml:space="preserve">Sobin, C., &amp; Sackeim, H. A. (1997). </w:t>
      </w:r>
      <w:r w:rsidRPr="00EA0DC7">
        <w:rPr>
          <w:rFonts w:cs="Arial"/>
          <w:bCs/>
          <w:szCs w:val="24"/>
        </w:rPr>
        <w:t xml:space="preserve">Psychomotor symptoms of depression. </w:t>
      </w:r>
      <w:r w:rsidRPr="00EA0DC7">
        <w:rPr>
          <w:rFonts w:cs="Arial"/>
          <w:bCs/>
          <w:i/>
          <w:szCs w:val="24"/>
        </w:rPr>
        <w:t>American Journal of Psychiatry, 154,</w:t>
      </w:r>
      <w:r w:rsidRPr="00EA0DC7">
        <w:rPr>
          <w:rFonts w:cs="Arial"/>
          <w:bCs/>
          <w:szCs w:val="24"/>
        </w:rPr>
        <w:t xml:space="preserve"> 4-17.</w:t>
      </w:r>
    </w:p>
    <w:p w14:paraId="1549BB01" w14:textId="77777777" w:rsidR="0065163F" w:rsidRPr="00EA0DC7" w:rsidRDefault="0065163F">
      <w:pPr>
        <w:widowControl w:val="0"/>
        <w:spacing w:after="160"/>
        <w:ind w:left="709" w:hanging="709"/>
        <w:rPr>
          <w:rFonts w:cs="Arial"/>
          <w:bCs/>
          <w:szCs w:val="24"/>
        </w:rPr>
      </w:pPr>
      <w:r w:rsidRPr="00EA0DC7">
        <w:rPr>
          <w:rFonts w:cs="Arial"/>
          <w:bCs/>
          <w:szCs w:val="24"/>
          <w:lang w:val="it-IT"/>
        </w:rPr>
        <w:t xml:space="preserve">Solomon, D. A., Keller, M. B., Leon, A. C., Mueller, T. I.,  Lavori, P. W., Shea, M. T., … </w:t>
      </w:r>
      <w:r w:rsidRPr="00EA0DC7">
        <w:rPr>
          <w:rFonts w:cs="Arial"/>
          <w:bCs/>
          <w:szCs w:val="24"/>
        </w:rPr>
        <w:t xml:space="preserve">Endicott, J. (2000). Multiple recurrences of major depressive disorder. </w:t>
      </w:r>
      <w:r w:rsidRPr="00EA0DC7">
        <w:rPr>
          <w:rFonts w:cs="Arial"/>
          <w:bCs/>
          <w:i/>
          <w:szCs w:val="24"/>
        </w:rPr>
        <w:t xml:space="preserve">American Journal of Psychiatry, 157, </w:t>
      </w:r>
      <w:r w:rsidRPr="00EA0DC7">
        <w:rPr>
          <w:rFonts w:cs="Arial"/>
          <w:bCs/>
          <w:szCs w:val="24"/>
        </w:rPr>
        <w:t>229-233.</w:t>
      </w:r>
    </w:p>
    <w:p w14:paraId="4897C6AA" w14:textId="77777777" w:rsidR="0065163F" w:rsidRPr="00EA0DC7" w:rsidRDefault="0065163F">
      <w:pPr>
        <w:widowControl w:val="0"/>
        <w:spacing w:after="160"/>
        <w:ind w:left="709" w:hanging="709"/>
        <w:rPr>
          <w:rFonts w:cs="Arial"/>
          <w:bCs/>
          <w:szCs w:val="24"/>
        </w:rPr>
      </w:pPr>
      <w:r w:rsidRPr="00EA0DC7">
        <w:rPr>
          <w:rFonts w:cs="Arial"/>
          <w:bCs/>
          <w:szCs w:val="24"/>
        </w:rPr>
        <w:t xml:space="preserve">Sotsky, S. M., Glass, D. R., Shea, M. T., Pilkonis, P. A., Collins, J. F., Elkin, I., … &amp; Oliveri, M. E. (1991). Patient predictors of response to psychotherapy and pharmacotherapy: finding in the NIMH Treatment of Depression Collaborative Research Program. </w:t>
      </w:r>
      <w:r w:rsidRPr="00EA0DC7">
        <w:rPr>
          <w:rFonts w:cs="Arial"/>
          <w:bCs/>
          <w:i/>
          <w:szCs w:val="24"/>
        </w:rPr>
        <w:t>American Journal of Psychiatry, 148,</w:t>
      </w:r>
      <w:r w:rsidRPr="00EA0DC7">
        <w:rPr>
          <w:rFonts w:cs="Arial"/>
          <w:bCs/>
          <w:szCs w:val="24"/>
        </w:rPr>
        <w:t xml:space="preserve"> 997–1008.</w:t>
      </w:r>
    </w:p>
    <w:p w14:paraId="01AD5588"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Spence, S. H., Wilson, J., Kavanagh, D., Strong, J., &amp; Worrall, L. (2001). Clinical supervision in four mental health professions: A review of the evidence. </w:t>
      </w:r>
      <w:r w:rsidRPr="00EA0DC7">
        <w:rPr>
          <w:rFonts w:eastAsia="Times New Roman" w:cs="Arial"/>
          <w:i/>
          <w:iCs/>
          <w:noProof/>
          <w:szCs w:val="24"/>
        </w:rPr>
        <w:t>Behaviour Change</w:t>
      </w:r>
      <w:r w:rsidRPr="00EA0DC7">
        <w:rPr>
          <w:rFonts w:eastAsia="Times New Roman" w:cs="Arial"/>
          <w:noProof/>
          <w:szCs w:val="24"/>
        </w:rPr>
        <w:t xml:space="preserve">, </w:t>
      </w:r>
      <w:r w:rsidRPr="00EA0DC7">
        <w:rPr>
          <w:rFonts w:eastAsia="Times New Roman" w:cs="Arial"/>
          <w:i/>
          <w:iCs/>
          <w:noProof/>
          <w:szCs w:val="24"/>
        </w:rPr>
        <w:t>18</w:t>
      </w:r>
      <w:r w:rsidRPr="00EA0DC7">
        <w:rPr>
          <w:rFonts w:eastAsia="Times New Roman" w:cs="Arial"/>
          <w:noProof/>
          <w:szCs w:val="24"/>
        </w:rPr>
        <w:t>, 135–155.</w:t>
      </w:r>
    </w:p>
    <w:p w14:paraId="71B6F9DA" w14:textId="77777777" w:rsidR="0065163F" w:rsidRPr="00EA0DC7" w:rsidRDefault="0065163F">
      <w:pPr>
        <w:widowControl w:val="0"/>
        <w:spacing w:after="160"/>
        <w:ind w:left="709" w:hanging="709"/>
        <w:rPr>
          <w:rFonts w:cs="Arial"/>
          <w:bCs/>
          <w:szCs w:val="24"/>
        </w:rPr>
      </w:pPr>
      <w:r w:rsidRPr="00EA0DC7">
        <w:rPr>
          <w:rFonts w:cs="Arial"/>
          <w:bCs/>
          <w:szCs w:val="24"/>
        </w:rPr>
        <w:t>Spielmans, G., I., Berman, M. I., &amp; Usitalo, A. N. (2011). Psychotherapy versus second-generation antidepressants in the treatment of depression: A meta-analysis.</w:t>
      </w:r>
      <w:r w:rsidRPr="00EA0DC7">
        <w:rPr>
          <w:rFonts w:cs="Arial"/>
          <w:bCs/>
          <w:i/>
          <w:szCs w:val="24"/>
        </w:rPr>
        <w:t xml:space="preserve"> Journal of Nervous and Mental Disease, 199, </w:t>
      </w:r>
      <w:r w:rsidRPr="00EA0DC7">
        <w:rPr>
          <w:rFonts w:cs="Arial"/>
          <w:bCs/>
          <w:szCs w:val="24"/>
        </w:rPr>
        <w:t>142-149.</w:t>
      </w:r>
    </w:p>
    <w:p w14:paraId="139C09ED" w14:textId="77777777" w:rsidR="0065163F" w:rsidRPr="00EA0DC7" w:rsidRDefault="0065163F">
      <w:pPr>
        <w:widowControl w:val="0"/>
        <w:spacing w:after="160"/>
        <w:ind w:left="709" w:hanging="709"/>
        <w:rPr>
          <w:rFonts w:cs="Arial"/>
          <w:bCs/>
          <w:szCs w:val="24"/>
        </w:rPr>
      </w:pPr>
      <w:r w:rsidRPr="00EA0DC7">
        <w:rPr>
          <w:rFonts w:cs="Arial"/>
          <w:bCs/>
          <w:szCs w:val="24"/>
        </w:rPr>
        <w:t xml:space="preserve">Squire, L. (1974). Amnesia for remote events following electroconvulsive therapy. </w:t>
      </w:r>
      <w:r w:rsidRPr="00EA0DC7">
        <w:rPr>
          <w:rFonts w:cs="Arial"/>
          <w:bCs/>
          <w:i/>
          <w:szCs w:val="24"/>
        </w:rPr>
        <w:t>Behavioral Biology, 12,</w:t>
      </w:r>
      <w:r w:rsidRPr="00EA0DC7">
        <w:rPr>
          <w:rFonts w:cs="Arial"/>
          <w:bCs/>
          <w:szCs w:val="24"/>
        </w:rPr>
        <w:t xml:space="preserve"> 119-125.</w:t>
      </w:r>
    </w:p>
    <w:p w14:paraId="07C27DC7" w14:textId="304436C2" w:rsidR="004C54F0" w:rsidRPr="004C54F0" w:rsidRDefault="000D3166" w:rsidP="004C54F0">
      <w:pPr>
        <w:widowControl w:val="0"/>
        <w:ind w:left="709" w:hanging="709"/>
        <w:rPr>
          <w:rFonts w:cs="Arial"/>
        </w:rPr>
      </w:pPr>
      <w:r w:rsidRPr="00EA0DC7">
        <w:rPr>
          <w:rFonts w:cs="Arial"/>
        </w:rPr>
        <w:lastRenderedPageBreak/>
        <w:t xml:space="preserve">Staczan, P., Schmuecher, R., Koehler, M., Berglar, J., Crameri, A., von Wyl, A., … Tschuschke, V. (2017). Effects of sex and gender in ten types of psychotherapy. </w:t>
      </w:r>
      <w:r w:rsidRPr="00EA0DC7">
        <w:rPr>
          <w:rFonts w:cs="Arial"/>
          <w:i/>
        </w:rPr>
        <w:t>Psychotherapy Research, 27</w:t>
      </w:r>
      <w:r w:rsidR="004C54F0">
        <w:rPr>
          <w:rFonts w:cs="Arial"/>
        </w:rPr>
        <w:t>, 74-88.</w:t>
      </w:r>
    </w:p>
    <w:p w14:paraId="64357886" w14:textId="5246F8C5" w:rsidR="0065163F" w:rsidRPr="00EA0DC7" w:rsidRDefault="0065163F">
      <w:pPr>
        <w:widowControl w:val="0"/>
        <w:spacing w:after="160"/>
        <w:ind w:left="709" w:hanging="709"/>
        <w:rPr>
          <w:rFonts w:cs="Arial"/>
          <w:bCs/>
          <w:noProof/>
          <w:lang w:val="de-DE"/>
        </w:rPr>
      </w:pPr>
      <w:r w:rsidRPr="00EA0DC7">
        <w:rPr>
          <w:rFonts w:cs="Arial"/>
          <w:bCs/>
          <w:noProof/>
          <w:lang w:val="de-DE"/>
        </w:rPr>
        <w:t xml:space="preserve">Steinpreis, R. E., Anders, K. A., &amp; Ritzke, D. (1999). </w:t>
      </w:r>
      <w:r w:rsidRPr="00EA0DC7">
        <w:rPr>
          <w:rFonts w:cs="Arial"/>
          <w:bCs/>
          <w:noProof/>
        </w:rPr>
        <w:t xml:space="preserve">The impact of gender on the review of the curricula vitae of job aplicants and tenure candidates: A national empirical study. </w:t>
      </w:r>
      <w:r w:rsidRPr="00EA0DC7">
        <w:rPr>
          <w:rFonts w:cs="Arial"/>
          <w:bCs/>
          <w:i/>
          <w:noProof/>
          <w:lang w:val="de-DE"/>
        </w:rPr>
        <w:t>Sex Roles, 41</w:t>
      </w:r>
      <w:r w:rsidRPr="00EA0DC7">
        <w:rPr>
          <w:rFonts w:cs="Arial"/>
          <w:bCs/>
          <w:noProof/>
          <w:lang w:val="de-DE"/>
        </w:rPr>
        <w:t>, 509-528.</w:t>
      </w:r>
    </w:p>
    <w:p w14:paraId="725DAC0E"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Stenack, R. J., &amp; Dye, H. A. (1982). Behavioural descriptions of counseling supervision roles.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21</w:t>
      </w:r>
      <w:r w:rsidRPr="00EA0DC7">
        <w:rPr>
          <w:rFonts w:eastAsia="Times New Roman" w:cs="Arial"/>
          <w:noProof/>
          <w:szCs w:val="24"/>
        </w:rPr>
        <w:t>, 295–304.</w:t>
      </w:r>
    </w:p>
    <w:p w14:paraId="0E9E8D33" w14:textId="77777777" w:rsidR="0065163F" w:rsidRPr="00EA0DC7" w:rsidRDefault="0065163F">
      <w:pPr>
        <w:widowControl w:val="0"/>
        <w:spacing w:after="160"/>
        <w:ind w:left="709" w:hanging="709"/>
        <w:rPr>
          <w:rFonts w:cs="Arial"/>
          <w:bCs/>
          <w:szCs w:val="24"/>
        </w:rPr>
      </w:pPr>
      <w:r w:rsidRPr="00EA0DC7">
        <w:rPr>
          <w:rFonts w:cs="Arial"/>
          <w:bCs/>
          <w:szCs w:val="24"/>
        </w:rPr>
        <w:t xml:space="preserve">Stewart, R. E., Stirman, S. W., &amp; Chambless, D. L. (2012). A qualitative investigation of practicing psychologists' attitudes toward research-informed practice: Implications for dissemination strategies. </w:t>
      </w:r>
      <w:r w:rsidRPr="00EA0DC7">
        <w:rPr>
          <w:rFonts w:cs="Arial"/>
          <w:bCs/>
          <w:i/>
          <w:szCs w:val="24"/>
        </w:rPr>
        <w:t xml:space="preserve">Profession Psychology: Research and Practice, 43, </w:t>
      </w:r>
      <w:r w:rsidRPr="00EA0DC7">
        <w:rPr>
          <w:rFonts w:cs="Arial"/>
          <w:bCs/>
          <w:szCs w:val="24"/>
        </w:rPr>
        <w:t>100-109.</w:t>
      </w:r>
    </w:p>
    <w:p w14:paraId="739B9798" w14:textId="77777777" w:rsidR="0065163F" w:rsidRPr="00EA0DC7" w:rsidRDefault="0065163F">
      <w:pPr>
        <w:widowControl w:val="0"/>
        <w:spacing w:after="160"/>
        <w:ind w:left="709" w:hanging="709"/>
        <w:rPr>
          <w:rFonts w:cs="Arial"/>
          <w:bCs/>
          <w:szCs w:val="24"/>
        </w:rPr>
      </w:pPr>
      <w:r w:rsidRPr="00EA0DC7">
        <w:rPr>
          <w:rFonts w:cs="Arial"/>
          <w:bCs/>
          <w:szCs w:val="24"/>
          <w:lang w:val="de-DE"/>
        </w:rPr>
        <w:t xml:space="preserve">Stewart, W. F., Ricci, J. A., Chee, E., Hahn, S. R., &amp; Morganstein, D. (2003). </w:t>
      </w:r>
      <w:r w:rsidRPr="00EA0DC7">
        <w:rPr>
          <w:rFonts w:cs="Arial"/>
          <w:bCs/>
          <w:szCs w:val="24"/>
        </w:rPr>
        <w:t xml:space="preserve">Cost of lost productive work time among US workers with depression. </w:t>
      </w:r>
      <w:r w:rsidRPr="00EA0DC7">
        <w:rPr>
          <w:rFonts w:cs="Arial"/>
          <w:bCs/>
          <w:i/>
          <w:szCs w:val="24"/>
        </w:rPr>
        <w:t>Journal of the American Medical Association, 289,</w:t>
      </w:r>
      <w:r w:rsidRPr="00EA0DC7">
        <w:rPr>
          <w:rFonts w:cs="Arial"/>
          <w:bCs/>
          <w:szCs w:val="24"/>
        </w:rPr>
        <w:t xml:space="preserve"> 3135-3144.</w:t>
      </w:r>
    </w:p>
    <w:p w14:paraId="331399A8" w14:textId="77777777" w:rsidR="0065163F" w:rsidRPr="00EA0DC7" w:rsidRDefault="0065163F">
      <w:pPr>
        <w:widowControl w:val="0"/>
        <w:tabs>
          <w:tab w:val="left" w:pos="2745"/>
        </w:tabs>
        <w:spacing w:after="160"/>
        <w:ind w:left="709" w:hanging="709"/>
        <w:rPr>
          <w:rFonts w:cs="Arial"/>
          <w:bCs/>
          <w:szCs w:val="24"/>
        </w:rPr>
      </w:pPr>
      <w:r w:rsidRPr="00EA0DC7">
        <w:rPr>
          <w:rFonts w:cs="Arial"/>
          <w:bCs/>
          <w:szCs w:val="24"/>
        </w:rPr>
        <w:t xml:space="preserve">Stiles, W. B. (2009). </w:t>
      </w:r>
      <w:r w:rsidRPr="00EA0DC7">
        <w:t xml:space="preserve">Responsiveness as an obstacle for psychotherapy outcome research: It's worse than you think. </w:t>
      </w:r>
      <w:r w:rsidRPr="00EA0DC7">
        <w:rPr>
          <w:i/>
        </w:rPr>
        <w:t>Clinical Psychology: Science and Practice, 16,</w:t>
      </w:r>
      <w:r w:rsidRPr="00EA0DC7">
        <w:t xml:space="preserve"> 86-91.</w:t>
      </w:r>
    </w:p>
    <w:p w14:paraId="11FA8A31" w14:textId="77777777" w:rsidR="0065163F" w:rsidRPr="00EA0DC7" w:rsidRDefault="0065163F">
      <w:pPr>
        <w:widowControl w:val="0"/>
        <w:spacing w:after="160"/>
        <w:ind w:left="709" w:hanging="709"/>
        <w:rPr>
          <w:rFonts w:cs="Arial"/>
          <w:bCs/>
          <w:noProof/>
        </w:rPr>
      </w:pPr>
      <w:r w:rsidRPr="00EA0DC7">
        <w:rPr>
          <w:rFonts w:cs="Arial"/>
          <w:bCs/>
          <w:noProof/>
        </w:rPr>
        <w:t xml:space="preserve">Stirman, S. W., DeRubeis, R. J., Crits-Christoph, P., &amp; Brody, P. E. (2003). Are samples in randomized controlled trials of psychotherapy representative of community outpatients? A new methodology and initial findings. </w:t>
      </w:r>
      <w:r w:rsidRPr="00EA0DC7">
        <w:rPr>
          <w:rFonts w:cs="Arial"/>
          <w:bCs/>
          <w:i/>
          <w:noProof/>
        </w:rPr>
        <w:t>Journal of Consulting and Clinical Psychology, 71</w:t>
      </w:r>
      <w:r w:rsidRPr="00EA0DC7">
        <w:rPr>
          <w:rFonts w:cs="Arial"/>
          <w:bCs/>
          <w:noProof/>
        </w:rPr>
        <w:t xml:space="preserve">, 963-972. </w:t>
      </w:r>
    </w:p>
    <w:p w14:paraId="53942A34" w14:textId="77777777" w:rsidR="0065163F" w:rsidRPr="00EA0DC7" w:rsidRDefault="0065163F">
      <w:pPr>
        <w:widowControl w:val="0"/>
        <w:spacing w:after="160"/>
        <w:ind w:left="709" w:hanging="709"/>
        <w:rPr>
          <w:rFonts w:cs="Arial"/>
          <w:bCs/>
          <w:noProof/>
        </w:rPr>
      </w:pPr>
      <w:r w:rsidRPr="00EA0DC7">
        <w:rPr>
          <w:rFonts w:cs="Arial"/>
          <w:bCs/>
          <w:noProof/>
        </w:rPr>
        <w:lastRenderedPageBreak/>
        <w:t xml:space="preserve">Stirman, S. W., DeRubeis, R. J., Crits-Christoph, P., &amp; Rothman, A. (2005). Can the randomized controlled trial literature generalize to nonrandomized patients? </w:t>
      </w:r>
      <w:r w:rsidRPr="00EA0DC7">
        <w:rPr>
          <w:rFonts w:cs="Arial"/>
          <w:bCs/>
          <w:i/>
          <w:noProof/>
        </w:rPr>
        <w:t>Journal of Consulting and Clinical Psychology, 73</w:t>
      </w:r>
      <w:r w:rsidRPr="00EA0DC7">
        <w:rPr>
          <w:rFonts w:cs="Arial"/>
          <w:bCs/>
          <w:noProof/>
        </w:rPr>
        <w:t xml:space="preserve">, 127-135. </w:t>
      </w:r>
    </w:p>
    <w:p w14:paraId="7623F3C4" w14:textId="3F3B8278" w:rsidR="0065163F" w:rsidRPr="00EA0DC7" w:rsidRDefault="0065163F">
      <w:pPr>
        <w:widowControl w:val="0"/>
        <w:spacing w:after="160"/>
        <w:ind w:left="709" w:hanging="709"/>
        <w:rPr>
          <w:rFonts w:cs="Arial"/>
        </w:rPr>
      </w:pPr>
      <w:r w:rsidRPr="00EA0DC7">
        <w:rPr>
          <w:rFonts w:cs="Arial"/>
        </w:rPr>
        <w:t xml:space="preserve">Stobie, B., Taylor, T., Quigley, A., Ewing, S., &amp; Salkovskis, P. M. (2007). “Contents may vary”: A pilot study of treatment histories of OCD patients. </w:t>
      </w:r>
      <w:r w:rsidRPr="00EA0DC7">
        <w:rPr>
          <w:rFonts w:cs="Arial"/>
          <w:i/>
        </w:rPr>
        <w:t>Behavioural and Cognitive Psychotherapy, 35,</w:t>
      </w:r>
      <w:r w:rsidRPr="00EA0DC7">
        <w:rPr>
          <w:rFonts w:cs="Arial"/>
        </w:rPr>
        <w:t xml:space="preserve"> 273-282.</w:t>
      </w:r>
    </w:p>
    <w:p w14:paraId="5C4B8F1A" w14:textId="41CEF4CB" w:rsidR="0065163F" w:rsidRPr="00EA0DC7" w:rsidRDefault="0065163F">
      <w:pPr>
        <w:widowControl w:val="0"/>
        <w:spacing w:after="160"/>
        <w:ind w:left="709" w:hanging="709"/>
        <w:rPr>
          <w:rFonts w:cs="Arial"/>
        </w:rPr>
      </w:pPr>
      <w:r w:rsidRPr="00EA0DC7">
        <w:rPr>
          <w:rFonts w:cs="Arial"/>
        </w:rPr>
        <w:t xml:space="preserve">Stoltenberg, C. (1981). Approaching supervision from a developmental perspective: The counselor complexity model. </w:t>
      </w:r>
      <w:r w:rsidRPr="00EA0DC7">
        <w:rPr>
          <w:rFonts w:cs="Arial"/>
          <w:i/>
          <w:iCs/>
        </w:rPr>
        <w:t>Journal of Counseling Psychology</w:t>
      </w:r>
      <w:r w:rsidRPr="00EA0DC7">
        <w:rPr>
          <w:rFonts w:cs="Arial"/>
        </w:rPr>
        <w:t xml:space="preserve">, </w:t>
      </w:r>
      <w:r w:rsidRPr="00EA0DC7">
        <w:rPr>
          <w:rFonts w:cs="Arial"/>
          <w:i/>
          <w:iCs/>
        </w:rPr>
        <w:t>28</w:t>
      </w:r>
      <w:r w:rsidRPr="00EA0DC7">
        <w:rPr>
          <w:rFonts w:cs="Arial"/>
        </w:rPr>
        <w:t>, 59–65.</w:t>
      </w:r>
    </w:p>
    <w:p w14:paraId="59BDBDAC" w14:textId="630CD235" w:rsidR="0065163F" w:rsidRPr="00EA0DC7" w:rsidRDefault="0065163F">
      <w:pPr>
        <w:widowControl w:val="0"/>
        <w:spacing w:after="160"/>
        <w:ind w:left="709" w:hanging="709"/>
        <w:rPr>
          <w:rFonts w:cs="Arial"/>
          <w:bCs/>
          <w:szCs w:val="24"/>
        </w:rPr>
      </w:pPr>
      <w:r w:rsidRPr="00EA0DC7">
        <w:rPr>
          <w:rFonts w:cs="Arial"/>
          <w:bCs/>
          <w:szCs w:val="24"/>
        </w:rPr>
        <w:t xml:space="preserve">Stoltenberg, C. D., &amp; Delworth, U. (1987). </w:t>
      </w:r>
      <w:r w:rsidRPr="00EA0DC7">
        <w:rPr>
          <w:rFonts w:cs="Arial"/>
          <w:bCs/>
          <w:i/>
          <w:szCs w:val="24"/>
        </w:rPr>
        <w:t xml:space="preserve">Supervising counselors and therapists. </w:t>
      </w:r>
      <w:r w:rsidRPr="00EA0DC7">
        <w:rPr>
          <w:rFonts w:cs="Arial"/>
          <w:bCs/>
          <w:szCs w:val="24"/>
        </w:rPr>
        <w:t>San Francisco, CA: Jossey-Bass.</w:t>
      </w:r>
    </w:p>
    <w:p w14:paraId="7DE924E6" w14:textId="2B33664C" w:rsidR="00483831" w:rsidRPr="00EA0DC7" w:rsidRDefault="00483831">
      <w:pPr>
        <w:widowControl w:val="0"/>
        <w:spacing w:after="160"/>
        <w:ind w:left="709" w:hanging="709"/>
        <w:rPr>
          <w:rFonts w:cs="Arial"/>
          <w:bCs/>
          <w:szCs w:val="24"/>
        </w:rPr>
      </w:pPr>
      <w:r w:rsidRPr="00EA0DC7">
        <w:rPr>
          <w:rFonts w:cs="Arial"/>
          <w:bCs/>
          <w:szCs w:val="24"/>
        </w:rPr>
        <w:t xml:space="preserve">Stoltenberg, C., McNell, B. W., Crethar, H. C. (1994). Changes in supervision as counsellors and therapists gain experience: A review. </w:t>
      </w:r>
      <w:r w:rsidRPr="00EA0DC7">
        <w:rPr>
          <w:rFonts w:cs="Arial"/>
          <w:bCs/>
          <w:i/>
          <w:szCs w:val="24"/>
        </w:rPr>
        <w:t>Professional Psychology: Research and Practice, 25</w:t>
      </w:r>
      <w:r w:rsidRPr="00EA0DC7">
        <w:rPr>
          <w:rFonts w:cs="Arial"/>
          <w:bCs/>
          <w:szCs w:val="24"/>
        </w:rPr>
        <w:t>, 416-449.</w:t>
      </w:r>
    </w:p>
    <w:p w14:paraId="5F225888"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Stoltenberg, C., Pierce, R. A., &amp; McNeill, B. W. (1987). Effects of experience on counselor trainees’ needs. </w:t>
      </w:r>
      <w:r w:rsidRPr="00EA0DC7">
        <w:rPr>
          <w:rFonts w:eastAsia="Times New Roman" w:cs="Arial"/>
          <w:i/>
          <w:iCs/>
          <w:noProof/>
          <w:szCs w:val="24"/>
        </w:rPr>
        <w:t>The Clinical Supervisor</w:t>
      </w:r>
      <w:r w:rsidRPr="00EA0DC7">
        <w:rPr>
          <w:rFonts w:eastAsia="Times New Roman" w:cs="Arial"/>
          <w:noProof/>
          <w:szCs w:val="24"/>
        </w:rPr>
        <w:t xml:space="preserve">, </w:t>
      </w:r>
      <w:r w:rsidRPr="00EA0DC7">
        <w:rPr>
          <w:rFonts w:eastAsia="Times New Roman" w:cs="Arial"/>
          <w:i/>
          <w:iCs/>
          <w:noProof/>
          <w:szCs w:val="24"/>
        </w:rPr>
        <w:t>5</w:t>
      </w:r>
      <w:r w:rsidRPr="00EA0DC7">
        <w:rPr>
          <w:rFonts w:eastAsia="Times New Roman" w:cs="Arial"/>
          <w:noProof/>
          <w:szCs w:val="24"/>
        </w:rPr>
        <w:t>, 23–32.</w:t>
      </w:r>
    </w:p>
    <w:p w14:paraId="43AB4C92"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Stoltenberg, C., Solomon, G. S., &amp; Ogden, L. (1986). Comparing supervisee and superviseor initial perceptions of supervision: Do they agree? </w:t>
      </w:r>
      <w:r w:rsidRPr="00EA0DC7">
        <w:rPr>
          <w:rFonts w:eastAsia="Times New Roman" w:cs="Arial"/>
          <w:i/>
          <w:iCs/>
          <w:noProof/>
          <w:szCs w:val="24"/>
        </w:rPr>
        <w:t>The Clinical Supervisor</w:t>
      </w:r>
      <w:r w:rsidRPr="00EA0DC7">
        <w:rPr>
          <w:rFonts w:eastAsia="Times New Roman" w:cs="Arial"/>
          <w:noProof/>
          <w:szCs w:val="24"/>
        </w:rPr>
        <w:t xml:space="preserve">, </w:t>
      </w:r>
      <w:r w:rsidRPr="00EA0DC7">
        <w:rPr>
          <w:rFonts w:eastAsia="Times New Roman" w:cs="Arial"/>
          <w:i/>
          <w:iCs/>
          <w:noProof/>
          <w:szCs w:val="24"/>
        </w:rPr>
        <w:t>4</w:t>
      </w:r>
      <w:r w:rsidRPr="00EA0DC7">
        <w:rPr>
          <w:rFonts w:eastAsia="Times New Roman" w:cs="Arial"/>
          <w:noProof/>
          <w:szCs w:val="24"/>
        </w:rPr>
        <w:t>, 53–61.</w:t>
      </w:r>
    </w:p>
    <w:p w14:paraId="1DA55DD9" w14:textId="5AF0D99F" w:rsidR="0065163F" w:rsidRPr="00EA0DC7" w:rsidRDefault="0065163F">
      <w:pPr>
        <w:widowControl w:val="0"/>
        <w:spacing w:after="160"/>
        <w:ind w:left="709" w:hanging="709"/>
        <w:rPr>
          <w:rFonts w:cs="Arial"/>
          <w:bCs/>
          <w:szCs w:val="24"/>
        </w:rPr>
      </w:pPr>
      <w:r w:rsidRPr="00EA0DC7">
        <w:rPr>
          <w:rFonts w:cs="Arial"/>
          <w:bCs/>
          <w:szCs w:val="24"/>
        </w:rPr>
        <w:t xml:space="preserve">Sullivan, H. S. (1953). </w:t>
      </w:r>
      <w:r w:rsidRPr="00EA0DC7">
        <w:rPr>
          <w:rFonts w:cs="Arial"/>
          <w:bCs/>
          <w:i/>
          <w:szCs w:val="24"/>
        </w:rPr>
        <w:t>The interpersonal theory of psychiatry.</w:t>
      </w:r>
      <w:r w:rsidRPr="00EA0DC7">
        <w:rPr>
          <w:rFonts w:cs="Arial"/>
          <w:bCs/>
          <w:szCs w:val="24"/>
        </w:rPr>
        <w:t xml:space="preserve"> New York</w:t>
      </w:r>
      <w:r w:rsidR="002D603D">
        <w:rPr>
          <w:rFonts w:cs="Arial"/>
          <w:bCs/>
          <w:szCs w:val="24"/>
        </w:rPr>
        <w:t>, NY</w:t>
      </w:r>
      <w:r w:rsidRPr="00EA0DC7">
        <w:rPr>
          <w:rFonts w:cs="Arial"/>
          <w:bCs/>
          <w:szCs w:val="24"/>
        </w:rPr>
        <w:t>: Norton.</w:t>
      </w:r>
    </w:p>
    <w:p w14:paraId="451451DB" w14:textId="77777777" w:rsidR="004C54F0" w:rsidRDefault="004C54F0" w:rsidP="00A4032D">
      <w:pPr>
        <w:widowControl w:val="0"/>
        <w:ind w:left="709" w:hanging="709"/>
      </w:pPr>
    </w:p>
    <w:p w14:paraId="506ED558" w14:textId="7B960394" w:rsidR="00B473AD" w:rsidRPr="00EA0DC7" w:rsidRDefault="00B473AD" w:rsidP="00A4032D">
      <w:pPr>
        <w:widowControl w:val="0"/>
        <w:ind w:left="709" w:hanging="709"/>
      </w:pPr>
      <w:r w:rsidRPr="00EA0DC7">
        <w:lastRenderedPageBreak/>
        <w:t xml:space="preserve">Suurmond R, van Rhee, H, &amp; Hak T. (2017). Introduction, comparison and validation of Meta-Essentials: A free and simple tool for meta-analysis. </w:t>
      </w:r>
      <w:r w:rsidRPr="00EA0DC7">
        <w:rPr>
          <w:i/>
        </w:rPr>
        <w:t>Research Synthesis Methods, 8,</w:t>
      </w:r>
      <w:r w:rsidRPr="00EA0DC7">
        <w:t xml:space="preserve"> 537-553.</w:t>
      </w:r>
    </w:p>
    <w:p w14:paraId="6C0E1B61" w14:textId="77777777" w:rsidR="0065163F" w:rsidRPr="00EA0DC7" w:rsidRDefault="0065163F">
      <w:pPr>
        <w:widowControl w:val="0"/>
        <w:spacing w:after="160"/>
        <w:ind w:left="709" w:hanging="709"/>
        <w:rPr>
          <w:rFonts w:cs="Arial"/>
        </w:rPr>
      </w:pPr>
      <w:r w:rsidRPr="00EA0DC7">
        <w:rPr>
          <w:rFonts w:cs="Arial"/>
        </w:rPr>
        <w:t xml:space="preserve">Szabadi, E., Bradshaw, C. M., &amp; Besson, J. A. (1976). Elongation of pause-time in speech: a simple, objective measure of motor retardation in depression. </w:t>
      </w:r>
      <w:r w:rsidRPr="00EA0DC7">
        <w:rPr>
          <w:rFonts w:cs="Arial"/>
          <w:i/>
        </w:rPr>
        <w:t>British Journal of Psychiatry, 129,</w:t>
      </w:r>
      <w:r w:rsidRPr="00EA0DC7">
        <w:rPr>
          <w:rFonts w:cs="Arial"/>
        </w:rPr>
        <w:t xml:space="preserve"> 592-597.</w:t>
      </w:r>
    </w:p>
    <w:p w14:paraId="743D585D" w14:textId="109CDAF2"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Tanner, M. A., Gray, J. J., &amp; Haaga, D. A. F. (2012). Association of cotherapy supervision with client outcomes, attrition, and trainee effectiveness in a psychotherapy training clinic. </w:t>
      </w:r>
      <w:r w:rsidRPr="00EA0DC7">
        <w:rPr>
          <w:rFonts w:eastAsia="Calibri" w:cs="Arial"/>
          <w:i/>
          <w:iCs/>
          <w:noProof/>
          <w:szCs w:val="24"/>
          <w:lang w:eastAsia="en-US"/>
        </w:rPr>
        <w:t>Journal of Clinical Psychology</w:t>
      </w:r>
      <w:r w:rsidRPr="00EA0DC7">
        <w:rPr>
          <w:rFonts w:eastAsia="Calibri" w:cs="Arial"/>
          <w:noProof/>
          <w:szCs w:val="24"/>
          <w:lang w:eastAsia="en-US"/>
        </w:rPr>
        <w:t xml:space="preserve">, </w:t>
      </w:r>
      <w:r w:rsidRPr="00EA0DC7">
        <w:rPr>
          <w:rFonts w:eastAsia="Calibri" w:cs="Arial"/>
          <w:i/>
          <w:iCs/>
          <w:noProof/>
          <w:szCs w:val="24"/>
          <w:lang w:eastAsia="en-US"/>
        </w:rPr>
        <w:t>68</w:t>
      </w:r>
      <w:r w:rsidRPr="00EA0DC7">
        <w:rPr>
          <w:rFonts w:eastAsia="Calibri" w:cs="Arial"/>
          <w:noProof/>
          <w:szCs w:val="24"/>
          <w:lang w:eastAsia="en-US"/>
        </w:rPr>
        <w:t>, 1241–1252.</w:t>
      </w:r>
    </w:p>
    <w:p w14:paraId="6C8821E5" w14:textId="2FCA062D" w:rsidR="00B473AD" w:rsidRPr="00EA0DC7" w:rsidRDefault="00B473AD">
      <w:pPr>
        <w:widowControl w:val="0"/>
        <w:spacing w:after="160"/>
        <w:ind w:left="709" w:hanging="709"/>
      </w:pPr>
      <w:r w:rsidRPr="00EA0DC7">
        <w:t xml:space="preserve">Terrin, N, Schmid, C. H., Lau, J., &amp; Olkin, I. (2003). Adjusting for publication bias in the presence of heterogeneity. </w:t>
      </w:r>
      <w:r w:rsidRPr="00EA0DC7">
        <w:rPr>
          <w:i/>
        </w:rPr>
        <w:t>Statistics in Medicine, 22</w:t>
      </w:r>
      <w:r w:rsidRPr="00EA0DC7">
        <w:t>, 2113-2126.</w:t>
      </w:r>
    </w:p>
    <w:p w14:paraId="7073D900" w14:textId="77777777" w:rsidR="0065163F" w:rsidRPr="00EA0DC7" w:rsidRDefault="0065163F">
      <w:pPr>
        <w:widowControl w:val="0"/>
        <w:spacing w:after="160"/>
        <w:ind w:left="709" w:hanging="709"/>
        <w:rPr>
          <w:rFonts w:cs="Arial"/>
        </w:rPr>
      </w:pPr>
      <w:r w:rsidRPr="00EA0DC7">
        <w:rPr>
          <w:rFonts w:cs="Arial"/>
        </w:rPr>
        <w:t xml:space="preserve">Thase, M. E., Greenhouse, J. B., Frank, E., Reynolds, C. F., Pilkonis, P. A., Hurley, K., … Kupfer, D. J. (1997). Treatment of major depression with psychotherapy or psychotherapy-pharmacotherapy combinations. </w:t>
      </w:r>
      <w:r w:rsidRPr="00EA0DC7">
        <w:rPr>
          <w:rFonts w:cs="Arial"/>
          <w:i/>
        </w:rPr>
        <w:t xml:space="preserve">Archives of General Psychiatry, 54, </w:t>
      </w:r>
      <w:r w:rsidRPr="00EA0DC7">
        <w:rPr>
          <w:rFonts w:cs="Arial"/>
        </w:rPr>
        <w:t>1009-1015.</w:t>
      </w:r>
    </w:p>
    <w:p w14:paraId="2758C086" w14:textId="77777777" w:rsidR="0065163F" w:rsidRPr="00EA0DC7" w:rsidRDefault="0065163F">
      <w:pPr>
        <w:widowControl w:val="0"/>
        <w:spacing w:after="160"/>
        <w:ind w:left="709" w:hanging="709"/>
        <w:rPr>
          <w:rFonts w:cs="Arial"/>
        </w:rPr>
      </w:pPr>
      <w:r w:rsidRPr="00EA0DC7">
        <w:rPr>
          <w:rFonts w:cs="Arial"/>
        </w:rPr>
        <w:t xml:space="preserve">Thase, M. E., Reynolds, C. F., Frank, E., Simons, A. D., Garamoni, G. D., McGeary, … &amp; Cahalane, J. F. (1994). Response to cognitive–behavioral therapy in chronic depression. </w:t>
      </w:r>
      <w:r w:rsidRPr="00EA0DC7">
        <w:rPr>
          <w:rFonts w:cs="Arial"/>
          <w:i/>
        </w:rPr>
        <w:t>Journal of Psychotherapy Practice and Research, 3,</w:t>
      </w:r>
      <w:r w:rsidRPr="00EA0DC7">
        <w:rPr>
          <w:rFonts w:cs="Arial"/>
        </w:rPr>
        <w:t xml:space="preserve"> 204–214.</w:t>
      </w:r>
    </w:p>
    <w:p w14:paraId="12DEA156" w14:textId="18C44107"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Thomas, F. N. (1994). Solution-oriented supervision: The coaxing of expertise. </w:t>
      </w:r>
      <w:r w:rsidRPr="00EA0DC7">
        <w:rPr>
          <w:rFonts w:eastAsia="Times New Roman" w:cs="Arial"/>
          <w:i/>
          <w:iCs/>
          <w:noProof/>
          <w:szCs w:val="24"/>
        </w:rPr>
        <w:t>The Family Journal: Counseling and Therapy for Couples and Families</w:t>
      </w:r>
      <w:r w:rsidRPr="00EA0DC7">
        <w:rPr>
          <w:rFonts w:eastAsia="Times New Roman" w:cs="Arial"/>
          <w:noProof/>
          <w:szCs w:val="24"/>
        </w:rPr>
        <w:t xml:space="preserve">, </w:t>
      </w:r>
      <w:r w:rsidRPr="00EA0DC7">
        <w:rPr>
          <w:rFonts w:eastAsia="Times New Roman" w:cs="Arial"/>
          <w:i/>
          <w:iCs/>
          <w:noProof/>
          <w:szCs w:val="24"/>
        </w:rPr>
        <w:lastRenderedPageBreak/>
        <w:t>2</w:t>
      </w:r>
      <w:r w:rsidRPr="00EA0DC7">
        <w:rPr>
          <w:rFonts w:eastAsia="Times New Roman" w:cs="Arial"/>
          <w:noProof/>
          <w:szCs w:val="24"/>
        </w:rPr>
        <w:t>, 11–18.</w:t>
      </w:r>
    </w:p>
    <w:p w14:paraId="3BFF60D7" w14:textId="6197D5F3" w:rsidR="00D50016" w:rsidRPr="00EA0DC7" w:rsidRDefault="00D50016" w:rsidP="00A4032D">
      <w:pPr>
        <w:widowControl w:val="0"/>
        <w:ind w:left="709" w:hanging="709"/>
        <w:rPr>
          <w:i/>
        </w:rPr>
      </w:pPr>
      <w:r w:rsidRPr="00EA0DC7">
        <w:t xml:space="preserve">Thorndike, E. L. (1920). A constant error in psychological ratings. </w:t>
      </w:r>
      <w:r w:rsidRPr="00EA0DC7">
        <w:rPr>
          <w:i/>
        </w:rPr>
        <w:t>Journal of Applied Psychology, 4,</w:t>
      </w:r>
      <w:r w:rsidRPr="00EA0DC7">
        <w:t xml:space="preserve"> 25-29.</w:t>
      </w:r>
    </w:p>
    <w:p w14:paraId="01E00CC1" w14:textId="3728925C" w:rsidR="0065163F" w:rsidRPr="00EA0DC7" w:rsidRDefault="0065163F">
      <w:pPr>
        <w:widowControl w:val="0"/>
        <w:spacing w:after="160"/>
        <w:ind w:left="709" w:hanging="709"/>
        <w:rPr>
          <w:rFonts w:cs="Arial"/>
          <w:bCs/>
          <w:noProof/>
        </w:rPr>
      </w:pPr>
      <w:r w:rsidRPr="00EA0DC7">
        <w:rPr>
          <w:rFonts w:cs="Arial"/>
          <w:bCs/>
          <w:noProof/>
        </w:rPr>
        <w:t xml:space="preserve">Tracey, T. J. G., Bludworth, J., &amp; Glidden-Tracey, C. E. (2012). Are there parallel processes in psychotherapy supervision? An empirical examination. </w:t>
      </w:r>
      <w:r w:rsidRPr="00EA0DC7">
        <w:rPr>
          <w:rFonts w:cs="Arial"/>
          <w:bCs/>
          <w:i/>
          <w:noProof/>
        </w:rPr>
        <w:t>Psychotherapy, 49</w:t>
      </w:r>
      <w:r w:rsidRPr="00EA0DC7">
        <w:rPr>
          <w:rFonts w:cs="Arial"/>
          <w:bCs/>
          <w:noProof/>
        </w:rPr>
        <w:t xml:space="preserve">, 330-343. </w:t>
      </w:r>
    </w:p>
    <w:p w14:paraId="0B55F78C" w14:textId="77777777" w:rsidR="0065163F" w:rsidRPr="00EA0DC7" w:rsidRDefault="0065163F">
      <w:pPr>
        <w:widowControl w:val="0"/>
        <w:spacing w:after="160"/>
        <w:ind w:left="709" w:hanging="709"/>
        <w:rPr>
          <w:rFonts w:cs="Arial"/>
        </w:rPr>
      </w:pPr>
      <w:r w:rsidRPr="00EA0DC7">
        <w:rPr>
          <w:rFonts w:cs="Arial"/>
        </w:rPr>
        <w:t xml:space="preserve">Trepka, C., Rees, A., Shapiro, D. A., Hardy, G. E., &amp; Barkham, M. (2004). Therapist competence and outcome of cognitive therapy for depression. </w:t>
      </w:r>
      <w:r w:rsidRPr="00EA0DC7">
        <w:rPr>
          <w:rFonts w:cs="Arial"/>
          <w:i/>
        </w:rPr>
        <w:t>Cognitive Therapy and Research, 28,</w:t>
      </w:r>
      <w:r w:rsidRPr="00EA0DC7">
        <w:rPr>
          <w:rFonts w:cs="Arial"/>
        </w:rPr>
        <w:t xml:space="preserve"> 143-157.</w:t>
      </w:r>
    </w:p>
    <w:p w14:paraId="7C066883" w14:textId="77777777" w:rsidR="0065163F" w:rsidRPr="00EA0DC7" w:rsidRDefault="0065163F">
      <w:pPr>
        <w:widowControl w:val="0"/>
        <w:spacing w:after="160"/>
        <w:ind w:left="709" w:hanging="709"/>
        <w:rPr>
          <w:rFonts w:cs="Arial"/>
        </w:rPr>
      </w:pPr>
      <w:r w:rsidRPr="00EA0DC7">
        <w:rPr>
          <w:rFonts w:cs="Arial"/>
        </w:rPr>
        <w:t xml:space="preserve">Trivedi, M. H., Rush, A. J., Wisniewski, S. R., Nierenberg, A. A., Warden, D., Ritz, L. … Fava, M. (2006). Evaluation of outcomes with citalopram for depression using measurement-based care in STAR*D: implications for clinical practice. </w:t>
      </w:r>
      <w:r w:rsidRPr="00EA0DC7">
        <w:rPr>
          <w:rFonts w:cs="Arial"/>
          <w:i/>
        </w:rPr>
        <w:t>The American Journal of Psychiatry, 163,</w:t>
      </w:r>
      <w:r w:rsidRPr="00EA0DC7">
        <w:rPr>
          <w:rFonts w:cs="Arial"/>
        </w:rPr>
        <w:t xml:space="preserve"> 28-40.</w:t>
      </w:r>
    </w:p>
    <w:p w14:paraId="1CE45255" w14:textId="66F08522" w:rsidR="0065163F" w:rsidRPr="00EA0DC7" w:rsidRDefault="0065163F">
      <w:pPr>
        <w:widowControl w:val="0"/>
        <w:spacing w:after="160"/>
        <w:ind w:left="709" w:hanging="709"/>
        <w:rPr>
          <w:rFonts w:cs="Arial"/>
          <w:noProof/>
        </w:rPr>
      </w:pPr>
      <w:r w:rsidRPr="00EA0DC7">
        <w:rPr>
          <w:rFonts w:cs="Arial"/>
          <w:noProof/>
        </w:rPr>
        <w:t xml:space="preserve">Turner, H., Tatham, M., Lant, M., Mountford, V. A., </w:t>
      </w:r>
      <w:r w:rsidR="00570278" w:rsidRPr="00EA0DC7">
        <w:rPr>
          <w:rFonts w:cs="Arial"/>
          <w:noProof/>
        </w:rPr>
        <w:t xml:space="preserve">&amp; </w:t>
      </w:r>
      <w:r w:rsidRPr="00EA0DC7">
        <w:rPr>
          <w:rFonts w:cs="Arial"/>
          <w:noProof/>
        </w:rPr>
        <w:t xml:space="preserve">Waller, G. (2014). Clinicians' concerns about delivering cognitive-behavioural therapy for eating disorders. </w:t>
      </w:r>
      <w:r w:rsidRPr="00EA0DC7">
        <w:rPr>
          <w:rFonts w:cs="Arial"/>
          <w:i/>
          <w:noProof/>
        </w:rPr>
        <w:t>Behaviour Research and Therapy, 57</w:t>
      </w:r>
      <w:r w:rsidRPr="00EA0DC7">
        <w:rPr>
          <w:rFonts w:cs="Arial"/>
          <w:noProof/>
        </w:rPr>
        <w:t>, 38-42.</w:t>
      </w:r>
    </w:p>
    <w:p w14:paraId="7E374F08" w14:textId="13BBDF37" w:rsidR="0065163F" w:rsidRPr="00EA0DC7" w:rsidRDefault="0065163F">
      <w:pPr>
        <w:widowControl w:val="0"/>
        <w:spacing w:after="160"/>
        <w:ind w:left="709" w:hanging="709"/>
        <w:rPr>
          <w:rFonts w:cs="Arial"/>
        </w:rPr>
      </w:pPr>
      <w:r w:rsidRPr="00EA0DC7">
        <w:rPr>
          <w:rFonts w:cs="Arial"/>
        </w:rPr>
        <w:t xml:space="preserve">UK ECT Review Group (2003). Efficacy and safety of electroconvulsive therapy in depressive disorders: a systematic review and meta-analysis. </w:t>
      </w:r>
      <w:r w:rsidRPr="00EA0DC7">
        <w:rPr>
          <w:rFonts w:cs="Arial"/>
          <w:i/>
        </w:rPr>
        <w:t>Lancet, 361,</w:t>
      </w:r>
      <w:r w:rsidRPr="00EA0DC7">
        <w:rPr>
          <w:rFonts w:cs="Arial"/>
        </w:rPr>
        <w:t xml:space="preserve"> 799-808.</w:t>
      </w:r>
    </w:p>
    <w:p w14:paraId="00D21517" w14:textId="56436C84" w:rsidR="002512CD" w:rsidRPr="00EA0DC7" w:rsidRDefault="002512CD">
      <w:pPr>
        <w:widowControl w:val="0"/>
        <w:spacing w:after="160"/>
        <w:ind w:left="709" w:hanging="709"/>
        <w:rPr>
          <w:rFonts w:cs="Arial"/>
        </w:rPr>
      </w:pPr>
      <w:r w:rsidRPr="00EA0DC7">
        <w:t xml:space="preserve">van Minnen, A., Hendriks, L., &amp; Olff, M. (2010). When do trauma experts choose exposure therapy for PTSD patients? A controlled study of therapist and patient factors. </w:t>
      </w:r>
      <w:r w:rsidRPr="00EA0DC7">
        <w:rPr>
          <w:i/>
        </w:rPr>
        <w:t>Behaviour Research and Therapy, 48,</w:t>
      </w:r>
      <w:r w:rsidRPr="00EA0DC7">
        <w:t xml:space="preserve"> 312–320.</w:t>
      </w:r>
    </w:p>
    <w:p w14:paraId="2ADFE30A" w14:textId="77777777" w:rsidR="0065163F" w:rsidRPr="00EA0DC7" w:rsidRDefault="0065163F">
      <w:pPr>
        <w:widowControl w:val="0"/>
        <w:spacing w:after="160"/>
        <w:ind w:left="709" w:hanging="709"/>
        <w:rPr>
          <w:rFonts w:cs="Arial"/>
          <w:bCs/>
          <w:noProof/>
        </w:rPr>
      </w:pPr>
      <w:r w:rsidRPr="00EA0DC7">
        <w:rPr>
          <w:rFonts w:cs="Arial"/>
          <w:bCs/>
          <w:noProof/>
        </w:rPr>
        <w:lastRenderedPageBreak/>
        <w:t xml:space="preserve">van Ooijen, E. (2000). </w:t>
      </w:r>
      <w:r w:rsidRPr="00EA0DC7">
        <w:rPr>
          <w:rFonts w:cs="Arial"/>
          <w:bCs/>
          <w:i/>
          <w:noProof/>
        </w:rPr>
        <w:t>Clinical supervision: A practical guide</w:t>
      </w:r>
      <w:r w:rsidRPr="00EA0DC7">
        <w:rPr>
          <w:rFonts w:cs="Arial"/>
          <w:bCs/>
          <w:noProof/>
        </w:rPr>
        <w:t>. London, UK: Harcourt.</w:t>
      </w:r>
    </w:p>
    <w:p w14:paraId="55A38D22" w14:textId="62F3DBA7" w:rsidR="0012654F" w:rsidRPr="0012654F" w:rsidRDefault="0065163F" w:rsidP="0012654F">
      <w:pPr>
        <w:widowControl w:val="0"/>
        <w:spacing w:after="160"/>
        <w:ind w:left="709" w:hanging="709"/>
      </w:pPr>
      <w:r w:rsidRPr="00EA0DC7">
        <w:rPr>
          <w:rFonts w:cs="Arial"/>
        </w:rPr>
        <w:t xml:space="preserve">Wakefield, J. (2016). </w:t>
      </w:r>
      <w:r w:rsidRPr="00EA0DC7">
        <w:t xml:space="preserve">Diagnostic issues and controversies in DSM-5: Return of the false positives problem. </w:t>
      </w:r>
      <w:r w:rsidRPr="00EA0DC7">
        <w:rPr>
          <w:i/>
        </w:rPr>
        <w:t>Annual Review of Clinical Psychology, 12,</w:t>
      </w:r>
      <w:r w:rsidRPr="00EA0DC7">
        <w:t xml:space="preserve"> 105-132.</w:t>
      </w:r>
    </w:p>
    <w:p w14:paraId="5E25AF15" w14:textId="77777777" w:rsidR="0065163F" w:rsidRPr="00EA0DC7" w:rsidRDefault="0065163F">
      <w:pPr>
        <w:widowControl w:val="0"/>
        <w:spacing w:after="160"/>
        <w:ind w:left="709" w:hanging="709"/>
        <w:rPr>
          <w:rFonts w:cs="Arial"/>
          <w:bCs/>
          <w:noProof/>
        </w:rPr>
      </w:pPr>
      <w:r w:rsidRPr="00EA0DC7">
        <w:rPr>
          <w:rFonts w:cs="Arial"/>
          <w:bCs/>
          <w:noProof/>
        </w:rPr>
        <w:t xml:space="preserve">Waller, G. (2009). Evidence-based treatment and therapist drift. </w:t>
      </w:r>
      <w:r w:rsidRPr="00EA0DC7">
        <w:rPr>
          <w:rFonts w:cs="Arial"/>
          <w:bCs/>
          <w:i/>
          <w:noProof/>
        </w:rPr>
        <w:t>Behaviour Research and Therapy, 47</w:t>
      </w:r>
      <w:r w:rsidRPr="00EA0DC7">
        <w:rPr>
          <w:rFonts w:cs="Arial"/>
          <w:bCs/>
          <w:noProof/>
        </w:rPr>
        <w:t xml:space="preserve">, 119-127. </w:t>
      </w:r>
    </w:p>
    <w:p w14:paraId="66BA959D" w14:textId="0EFD3D29" w:rsidR="0065163F" w:rsidRPr="00EA0DC7" w:rsidRDefault="0065163F">
      <w:pPr>
        <w:widowControl w:val="0"/>
        <w:spacing w:after="160"/>
        <w:ind w:left="709" w:hanging="709"/>
        <w:rPr>
          <w:rFonts w:cs="Arial"/>
          <w:noProof/>
        </w:rPr>
      </w:pPr>
      <w:bookmarkStart w:id="209" w:name="_ENREF_31"/>
      <w:r w:rsidRPr="00EA0DC7">
        <w:rPr>
          <w:rFonts w:cs="Arial"/>
          <w:noProof/>
        </w:rPr>
        <w:t xml:space="preserve">Waller, G., Mountford, V. A., Tatham, M., Turner, H., Gabriel, C., </w:t>
      </w:r>
      <w:r w:rsidR="00570278" w:rsidRPr="00EA0DC7">
        <w:rPr>
          <w:rFonts w:cs="Arial"/>
          <w:noProof/>
        </w:rPr>
        <w:t xml:space="preserve">&amp; </w:t>
      </w:r>
      <w:r w:rsidRPr="00EA0DC7">
        <w:rPr>
          <w:rFonts w:cs="Arial"/>
          <w:noProof/>
        </w:rPr>
        <w:t xml:space="preserve">Webber, R. (2013). Attitudes towards psychotherapy manuals among clinicians treating eating disorders. </w:t>
      </w:r>
      <w:r w:rsidRPr="00EA0DC7">
        <w:rPr>
          <w:rFonts w:cs="Arial"/>
          <w:i/>
          <w:noProof/>
        </w:rPr>
        <w:t>Behaviour Research and Therapy, 51</w:t>
      </w:r>
      <w:r w:rsidRPr="00EA0DC7">
        <w:rPr>
          <w:rFonts w:cs="Arial"/>
          <w:noProof/>
        </w:rPr>
        <w:t xml:space="preserve">, 840-844. </w:t>
      </w:r>
      <w:bookmarkEnd w:id="209"/>
    </w:p>
    <w:p w14:paraId="1F0A91D6" w14:textId="381DAFAB" w:rsidR="0065163F" w:rsidRPr="00EA0DC7" w:rsidRDefault="0065163F">
      <w:pPr>
        <w:widowControl w:val="0"/>
        <w:spacing w:after="160"/>
        <w:ind w:left="709" w:hanging="709"/>
        <w:rPr>
          <w:rFonts w:cs="Arial"/>
          <w:bCs/>
          <w:noProof/>
        </w:rPr>
      </w:pPr>
      <w:r w:rsidRPr="00EA0DC7">
        <w:rPr>
          <w:rFonts w:cs="Arial"/>
          <w:bCs/>
          <w:noProof/>
        </w:rPr>
        <w:t xml:space="preserve">Waller, G., Stringer, H., &amp; Meyer, C. (2012). What cognitive behavioral techniques do therapists report using when delivering cognitive behavioral therapy for the eating disorders? </w:t>
      </w:r>
      <w:r w:rsidRPr="00EA0DC7">
        <w:rPr>
          <w:rFonts w:cs="Arial"/>
          <w:bCs/>
          <w:i/>
          <w:noProof/>
        </w:rPr>
        <w:t>Journal of Consulting and Clinical Psychology, 80</w:t>
      </w:r>
      <w:r w:rsidRPr="00EA0DC7">
        <w:rPr>
          <w:rFonts w:cs="Arial"/>
          <w:bCs/>
          <w:noProof/>
        </w:rPr>
        <w:t xml:space="preserve">, 171-175. </w:t>
      </w:r>
    </w:p>
    <w:p w14:paraId="70A6FDD4" w14:textId="6FFCFE56" w:rsidR="00482A11" w:rsidRDefault="00482A11" w:rsidP="00F821B4">
      <w:pPr>
        <w:widowControl w:val="0"/>
        <w:ind w:left="709" w:hanging="709"/>
        <w:rPr>
          <w:rFonts w:cs="Arial"/>
        </w:rPr>
      </w:pPr>
      <w:r w:rsidRPr="00EA0DC7">
        <w:rPr>
          <w:rFonts w:cs="Arial"/>
        </w:rPr>
        <w:t xml:space="preserve">Waller, G., &amp; Turner, H. (2016). Therapist drift redux: Why well-meaning clinicians fail to deliver evidence-based therapy, and how to get back on track. </w:t>
      </w:r>
      <w:r w:rsidRPr="00EA0DC7">
        <w:rPr>
          <w:rFonts w:cs="Arial"/>
          <w:i/>
        </w:rPr>
        <w:t>Behaviour Research and Therapy, 77</w:t>
      </w:r>
      <w:r w:rsidRPr="00EA0DC7">
        <w:rPr>
          <w:rFonts w:cs="Arial"/>
        </w:rPr>
        <w:t>, 129-137.</w:t>
      </w:r>
    </w:p>
    <w:p w14:paraId="57B60BEC" w14:textId="22E506BA" w:rsidR="0012654F" w:rsidRPr="00EA0DC7" w:rsidRDefault="0012654F" w:rsidP="00F821B4">
      <w:pPr>
        <w:widowControl w:val="0"/>
        <w:ind w:left="709" w:hanging="709"/>
        <w:rPr>
          <w:rFonts w:cs="Arial"/>
        </w:rPr>
      </w:pPr>
      <w:r>
        <w:rPr>
          <w:rFonts w:cs="Arial"/>
        </w:rPr>
        <w:t xml:space="preserve">Walsh, B. B., Gillespie, C. K., Greer, J. M., &amp; Eanes, B. E. (2003). Influence of dyadic mutuality on counsellor trainee willingness to self-disclose clinical mistakes to supervisors. </w:t>
      </w:r>
      <w:r w:rsidRPr="0055551C">
        <w:rPr>
          <w:rFonts w:cs="Arial"/>
          <w:i/>
        </w:rPr>
        <w:t xml:space="preserve">The Clinical </w:t>
      </w:r>
      <w:r w:rsidR="0046158B" w:rsidRPr="0055551C">
        <w:rPr>
          <w:rFonts w:cs="Arial"/>
          <w:i/>
        </w:rPr>
        <w:t>Supervisor</w:t>
      </w:r>
      <w:r w:rsidRPr="0055551C">
        <w:rPr>
          <w:rFonts w:cs="Arial"/>
          <w:i/>
        </w:rPr>
        <w:t xml:space="preserve">, </w:t>
      </w:r>
      <w:r w:rsidR="0046158B" w:rsidRPr="0055551C">
        <w:rPr>
          <w:rFonts w:cs="Arial"/>
          <w:i/>
        </w:rPr>
        <w:t>21</w:t>
      </w:r>
      <w:r w:rsidR="0046158B">
        <w:rPr>
          <w:rFonts w:cs="Arial"/>
        </w:rPr>
        <w:t>, 83-98.</w:t>
      </w:r>
    </w:p>
    <w:p w14:paraId="65E8F222" w14:textId="73AB2D83" w:rsidR="00317E5F" w:rsidRPr="00EA0DC7" w:rsidRDefault="00317E5F">
      <w:pPr>
        <w:widowControl w:val="0"/>
        <w:spacing w:after="160"/>
        <w:ind w:left="709" w:hanging="709"/>
        <w:rPr>
          <w:rFonts w:cs="Arial"/>
          <w:bCs/>
          <w:noProof/>
        </w:rPr>
      </w:pPr>
      <w:r w:rsidRPr="00EA0DC7">
        <w:rPr>
          <w:rFonts w:cs="Arial"/>
          <w:bCs/>
          <w:noProof/>
        </w:rPr>
        <w:t xml:space="preserve">Waltz, J., Addis, M., Koerner, K., &amp; Jacobson, N.S. (1993). </w:t>
      </w:r>
      <w:r w:rsidRPr="00EA0DC7">
        <w:t xml:space="preserve">Testing the integrity of a psychotherapy protocol: Assessment of adherence and </w:t>
      </w:r>
      <w:r w:rsidRPr="00EA0DC7">
        <w:lastRenderedPageBreak/>
        <w:t xml:space="preserve">competence. </w:t>
      </w:r>
      <w:r w:rsidRPr="00EA0DC7">
        <w:rPr>
          <w:i/>
        </w:rPr>
        <w:t>Journal of Consulting and Clinical Psychology, 61,</w:t>
      </w:r>
      <w:r w:rsidRPr="00EA0DC7">
        <w:t xml:space="preserve"> 620-630.</w:t>
      </w:r>
    </w:p>
    <w:p w14:paraId="714E2204" w14:textId="722C7DF3" w:rsidR="004C54F0" w:rsidRDefault="0065163F">
      <w:pPr>
        <w:widowControl w:val="0"/>
        <w:spacing w:after="160"/>
        <w:ind w:left="709" w:hanging="709"/>
        <w:rPr>
          <w:rFonts w:cs="Arial"/>
        </w:rPr>
      </w:pPr>
      <w:r w:rsidRPr="00EA0DC7">
        <w:rPr>
          <w:rFonts w:cs="Arial"/>
          <w:bCs/>
          <w:noProof/>
        </w:rPr>
        <w:t xml:space="preserve">Wampold, B. E., &amp; Holloway, E. L. (1997). Methodology, design, and evaluation in psychotherapy supervision research. In C. E. Watkins (Ed.), </w:t>
      </w:r>
      <w:r w:rsidRPr="00EA0DC7">
        <w:rPr>
          <w:rFonts w:cs="Arial"/>
          <w:bCs/>
          <w:i/>
          <w:noProof/>
        </w:rPr>
        <w:t>Handbook of psychotherapy supervision</w:t>
      </w:r>
      <w:r w:rsidRPr="00EA0DC7">
        <w:rPr>
          <w:rFonts w:cs="Arial"/>
          <w:bCs/>
          <w:noProof/>
        </w:rPr>
        <w:t xml:space="preserve"> (pp. 11-27). New York, NY: Wiley.</w:t>
      </w:r>
    </w:p>
    <w:p w14:paraId="7DAD0075" w14:textId="4D55D80C" w:rsidR="0065163F" w:rsidRPr="00EA0DC7" w:rsidRDefault="0065163F">
      <w:pPr>
        <w:widowControl w:val="0"/>
        <w:spacing w:after="160"/>
        <w:ind w:left="709" w:hanging="709"/>
        <w:rPr>
          <w:rFonts w:cs="Arial"/>
        </w:rPr>
      </w:pPr>
      <w:r w:rsidRPr="00EA0DC7">
        <w:rPr>
          <w:rFonts w:cs="Arial"/>
        </w:rPr>
        <w:t xml:space="preserve">Wampold, B. E., Minami, T., Baskin, T. W., &amp; Callen-Tierney, S. (2002). A meta-(re)analysis of the effects of cognitive therapy versus ‘other therapies’ for depression. </w:t>
      </w:r>
      <w:r w:rsidRPr="00EA0DC7">
        <w:rPr>
          <w:rFonts w:cs="Arial"/>
          <w:i/>
        </w:rPr>
        <w:t>Journal of Affective Disorders, 68</w:t>
      </w:r>
      <w:r w:rsidRPr="00EA0DC7">
        <w:rPr>
          <w:rFonts w:cs="Arial"/>
        </w:rPr>
        <w:t>, 159-165.</w:t>
      </w:r>
    </w:p>
    <w:p w14:paraId="70F78050" w14:textId="77777777" w:rsidR="0065163F" w:rsidRPr="00EA0DC7" w:rsidRDefault="0065163F">
      <w:pPr>
        <w:widowControl w:val="0"/>
        <w:spacing w:after="160"/>
        <w:ind w:left="709" w:hanging="709"/>
        <w:rPr>
          <w:rStyle w:val="Hyperlink"/>
          <w:rFonts w:cs="Arial"/>
          <w:bCs/>
          <w:color w:val="auto"/>
          <w:szCs w:val="24"/>
          <w:u w:val="none"/>
        </w:rPr>
      </w:pPr>
      <w:r w:rsidRPr="00EA0DC7">
        <w:rPr>
          <w:rFonts w:cs="Arial"/>
        </w:rPr>
        <w:t xml:space="preserve">Wang, J. L. (2004). Rural – urban differences in the prevalence on major depression and associated impairment. </w:t>
      </w:r>
      <w:r w:rsidRPr="00EA0DC7">
        <w:rPr>
          <w:rStyle w:val="Hyperlink"/>
          <w:rFonts w:cs="Arial"/>
          <w:bCs/>
          <w:i/>
          <w:color w:val="auto"/>
          <w:szCs w:val="24"/>
          <w:u w:val="none"/>
        </w:rPr>
        <w:t xml:space="preserve">Social Psychiatry and Psychiatric Epidemiology, 39, </w:t>
      </w:r>
      <w:r w:rsidRPr="00EA0DC7">
        <w:rPr>
          <w:rStyle w:val="Hyperlink"/>
          <w:rFonts w:cs="Arial"/>
          <w:bCs/>
          <w:color w:val="auto"/>
          <w:szCs w:val="24"/>
          <w:u w:val="none"/>
        </w:rPr>
        <w:t>19-25.</w:t>
      </w:r>
    </w:p>
    <w:p w14:paraId="620267FC" w14:textId="77777777" w:rsidR="0065163F" w:rsidRPr="00EA0DC7" w:rsidRDefault="0065163F">
      <w:pPr>
        <w:widowControl w:val="0"/>
        <w:spacing w:after="160"/>
        <w:ind w:left="709" w:hanging="709"/>
        <w:rPr>
          <w:rStyle w:val="Hyperlink"/>
          <w:rFonts w:cs="Arial"/>
          <w:noProof/>
          <w:color w:val="auto"/>
          <w:u w:val="none"/>
        </w:rPr>
      </w:pPr>
      <w:bookmarkStart w:id="210" w:name="_ENREF_34"/>
      <w:r w:rsidRPr="00EA0DC7">
        <w:rPr>
          <w:rFonts w:cs="Arial"/>
          <w:noProof/>
        </w:rPr>
        <w:t xml:space="preserve">Wang, P. S., Demler, O., and Kessler, R. C. (2002). Adequacy of treatment for serious mental illness in the United States. </w:t>
      </w:r>
      <w:r w:rsidRPr="00EA0DC7">
        <w:rPr>
          <w:rFonts w:cs="Arial"/>
          <w:i/>
          <w:noProof/>
        </w:rPr>
        <w:t>American Journal of Public Health, 92</w:t>
      </w:r>
      <w:r w:rsidRPr="00EA0DC7">
        <w:rPr>
          <w:rFonts w:cs="Arial"/>
          <w:noProof/>
        </w:rPr>
        <w:t xml:space="preserve">, 92-98. </w:t>
      </w:r>
      <w:bookmarkEnd w:id="210"/>
    </w:p>
    <w:p w14:paraId="115C102E" w14:textId="77777777" w:rsidR="0065163F" w:rsidRPr="00EA0DC7" w:rsidRDefault="0065163F">
      <w:pPr>
        <w:widowControl w:val="0"/>
        <w:spacing w:after="160"/>
        <w:ind w:left="709" w:hanging="709"/>
        <w:rPr>
          <w:rFonts w:eastAsia="Times New Roman" w:cs="Arial"/>
          <w:noProof/>
          <w:szCs w:val="24"/>
        </w:rPr>
      </w:pPr>
      <w:r w:rsidRPr="00EA0DC7">
        <w:rPr>
          <w:rFonts w:eastAsia="Times New Roman" w:cs="Arial"/>
          <w:noProof/>
          <w:szCs w:val="24"/>
        </w:rPr>
        <w:t xml:space="preserve">Ward, C. C., &amp; House, R. M. (1998). Counseling supervision: A reflective model. </w:t>
      </w:r>
      <w:r w:rsidRPr="00EA0DC7">
        <w:rPr>
          <w:rFonts w:eastAsia="Times New Roman" w:cs="Arial"/>
          <w:i/>
          <w:iCs/>
          <w:noProof/>
          <w:szCs w:val="24"/>
        </w:rPr>
        <w:t>Counselor Education and Supervision</w:t>
      </w:r>
      <w:r w:rsidRPr="00EA0DC7">
        <w:rPr>
          <w:rFonts w:eastAsia="Times New Roman" w:cs="Arial"/>
          <w:noProof/>
          <w:szCs w:val="24"/>
        </w:rPr>
        <w:t xml:space="preserve">, </w:t>
      </w:r>
      <w:r w:rsidRPr="00EA0DC7">
        <w:rPr>
          <w:rFonts w:eastAsia="Times New Roman" w:cs="Arial"/>
          <w:i/>
          <w:iCs/>
          <w:noProof/>
          <w:szCs w:val="24"/>
        </w:rPr>
        <w:t>38</w:t>
      </w:r>
      <w:r w:rsidRPr="00EA0DC7">
        <w:rPr>
          <w:rFonts w:eastAsia="Times New Roman" w:cs="Arial"/>
          <w:noProof/>
          <w:szCs w:val="24"/>
        </w:rPr>
        <w:t>, 23–33.</w:t>
      </w:r>
    </w:p>
    <w:p w14:paraId="13E58231"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Times New Roman" w:cs="Arial"/>
          <w:noProof/>
          <w:szCs w:val="24"/>
        </w:rPr>
        <w:t xml:space="preserve">Watkins, C. E. (1990). Development of the psychotherapy supervisor. </w:t>
      </w:r>
      <w:r w:rsidRPr="00EA0DC7">
        <w:rPr>
          <w:rFonts w:eastAsia="Times New Roman" w:cs="Arial"/>
          <w:i/>
          <w:iCs/>
          <w:noProof/>
          <w:szCs w:val="24"/>
        </w:rPr>
        <w:t>Psychotherapy: Theory, Research &amp; Practice</w:t>
      </w:r>
      <w:r w:rsidRPr="00EA0DC7">
        <w:rPr>
          <w:rFonts w:eastAsia="Times New Roman" w:cs="Arial"/>
          <w:noProof/>
          <w:szCs w:val="24"/>
        </w:rPr>
        <w:t xml:space="preserve">, </w:t>
      </w:r>
      <w:r w:rsidRPr="00EA0DC7">
        <w:rPr>
          <w:rFonts w:eastAsia="Times New Roman" w:cs="Arial"/>
          <w:i/>
          <w:iCs/>
          <w:noProof/>
          <w:szCs w:val="24"/>
        </w:rPr>
        <w:t>4</w:t>
      </w:r>
      <w:r w:rsidRPr="00EA0DC7">
        <w:rPr>
          <w:rFonts w:eastAsia="Times New Roman" w:cs="Arial"/>
          <w:noProof/>
          <w:szCs w:val="24"/>
        </w:rPr>
        <w:t>, 553–560.</w:t>
      </w:r>
    </w:p>
    <w:p w14:paraId="66C03E3B" w14:textId="77777777" w:rsidR="0065163F" w:rsidRPr="00EA0DC7" w:rsidRDefault="0065163F">
      <w:pPr>
        <w:widowControl w:val="0"/>
        <w:spacing w:after="160"/>
        <w:ind w:left="709" w:hanging="709"/>
        <w:rPr>
          <w:rFonts w:cs="Arial"/>
          <w:bCs/>
          <w:szCs w:val="24"/>
        </w:rPr>
      </w:pPr>
      <w:r w:rsidRPr="00EA0DC7">
        <w:rPr>
          <w:rStyle w:val="Hyperlink"/>
          <w:rFonts w:cs="Arial"/>
          <w:bCs/>
          <w:color w:val="auto"/>
          <w:szCs w:val="24"/>
          <w:u w:val="none"/>
        </w:rPr>
        <w:t>Watkins, C. E. Jr. (1998). Psychotherapy supervision in the 21</w:t>
      </w:r>
      <w:r w:rsidRPr="00EA0DC7">
        <w:rPr>
          <w:rStyle w:val="Hyperlink"/>
          <w:rFonts w:cs="Arial"/>
          <w:bCs/>
          <w:color w:val="auto"/>
          <w:szCs w:val="24"/>
          <w:u w:val="none"/>
          <w:vertAlign w:val="superscript"/>
        </w:rPr>
        <w:t>st</w:t>
      </w:r>
      <w:r w:rsidRPr="00EA0DC7">
        <w:rPr>
          <w:rStyle w:val="Hyperlink"/>
          <w:rFonts w:cs="Arial"/>
          <w:bCs/>
          <w:color w:val="auto"/>
          <w:szCs w:val="24"/>
          <w:u w:val="none"/>
        </w:rPr>
        <w:t xml:space="preserve"> century: Some pressing needs and impressing possibilities. </w:t>
      </w:r>
      <w:r w:rsidRPr="00EA0DC7">
        <w:rPr>
          <w:rStyle w:val="Hyperlink"/>
          <w:rFonts w:cs="Arial"/>
          <w:bCs/>
          <w:i/>
          <w:color w:val="auto"/>
          <w:szCs w:val="24"/>
          <w:u w:val="none"/>
        </w:rPr>
        <w:t>The Journal of Psychotherapy Practice and Research, 7,</w:t>
      </w:r>
      <w:r w:rsidRPr="00EA0DC7">
        <w:rPr>
          <w:rStyle w:val="Hyperlink"/>
          <w:rFonts w:cs="Arial"/>
          <w:bCs/>
          <w:color w:val="auto"/>
          <w:szCs w:val="24"/>
          <w:u w:val="none"/>
        </w:rPr>
        <w:t xml:space="preserve"> 93-101.</w:t>
      </w:r>
    </w:p>
    <w:p w14:paraId="7820529E" w14:textId="77777777" w:rsidR="0065163F" w:rsidRPr="00EA0DC7" w:rsidRDefault="0065163F">
      <w:pPr>
        <w:widowControl w:val="0"/>
        <w:spacing w:after="160"/>
        <w:ind w:left="709" w:hanging="709"/>
        <w:rPr>
          <w:rFonts w:cs="Arial"/>
          <w:bCs/>
          <w:noProof/>
        </w:rPr>
      </w:pPr>
      <w:r w:rsidRPr="00EA0DC7">
        <w:rPr>
          <w:rFonts w:cs="Arial"/>
          <w:bCs/>
          <w:noProof/>
        </w:rPr>
        <w:t xml:space="preserve">Watkins, C. E. (2011). Does psychotherapy supervision contribute to patient </w:t>
      </w:r>
      <w:r w:rsidRPr="00EA0DC7">
        <w:rPr>
          <w:rFonts w:cs="Arial"/>
          <w:bCs/>
          <w:noProof/>
        </w:rPr>
        <w:lastRenderedPageBreak/>
        <w:t xml:space="preserve">outcomes? Considering thirty years of research. </w:t>
      </w:r>
      <w:r w:rsidRPr="00EA0DC7">
        <w:rPr>
          <w:rFonts w:cs="Arial"/>
          <w:bCs/>
          <w:i/>
          <w:noProof/>
        </w:rPr>
        <w:t>The Clinical Supervisor, 30</w:t>
      </w:r>
      <w:r w:rsidRPr="00EA0DC7">
        <w:rPr>
          <w:rFonts w:cs="Arial"/>
          <w:bCs/>
          <w:noProof/>
        </w:rPr>
        <w:t xml:space="preserve">, 235-256. </w:t>
      </w:r>
    </w:p>
    <w:p w14:paraId="0B0E7AE7" w14:textId="77777777" w:rsidR="0065163F" w:rsidRPr="00EA0DC7" w:rsidRDefault="0065163F">
      <w:pPr>
        <w:widowControl w:val="0"/>
        <w:spacing w:after="160"/>
        <w:ind w:left="709" w:hanging="709"/>
        <w:rPr>
          <w:rStyle w:val="Hyperlink"/>
          <w:rFonts w:cs="Arial"/>
          <w:bCs/>
          <w:color w:val="auto"/>
          <w:szCs w:val="24"/>
          <w:u w:val="none"/>
        </w:rPr>
      </w:pPr>
      <w:r w:rsidRPr="00EA0DC7">
        <w:rPr>
          <w:rStyle w:val="Hyperlink"/>
          <w:rFonts w:cs="Arial"/>
          <w:bCs/>
          <w:color w:val="auto"/>
          <w:szCs w:val="24"/>
          <w:u w:val="none"/>
        </w:rPr>
        <w:t xml:space="preserve">Webb, C. A., DeRubeis, R. J., Amsterdam, J. D., Shelton, R. C., Hollon, S. D., &amp; Dimidjian, S. (2011). Two aspects of the therapeutic alliance: Differential relations with depressive symptom change. </w:t>
      </w:r>
      <w:r w:rsidRPr="00EA0DC7">
        <w:rPr>
          <w:rStyle w:val="Hyperlink"/>
          <w:rFonts w:cs="Arial"/>
          <w:bCs/>
          <w:i/>
          <w:color w:val="auto"/>
          <w:szCs w:val="24"/>
          <w:u w:val="none"/>
        </w:rPr>
        <w:t xml:space="preserve">Journal of Consulting and Clinical Psychology, 79, </w:t>
      </w:r>
      <w:r w:rsidRPr="00EA0DC7">
        <w:rPr>
          <w:rStyle w:val="Hyperlink"/>
          <w:rFonts w:cs="Arial"/>
          <w:bCs/>
          <w:color w:val="auto"/>
          <w:szCs w:val="24"/>
          <w:u w:val="none"/>
        </w:rPr>
        <w:t>279-283.</w:t>
      </w:r>
    </w:p>
    <w:p w14:paraId="458D9B00" w14:textId="77777777" w:rsidR="0065163F" w:rsidRPr="00EA0DC7" w:rsidRDefault="0065163F">
      <w:pPr>
        <w:widowControl w:val="0"/>
        <w:spacing w:after="160"/>
        <w:ind w:left="709" w:hanging="709"/>
        <w:rPr>
          <w:rFonts w:eastAsia="Calibri" w:cs="Arial"/>
          <w:noProof/>
          <w:szCs w:val="24"/>
          <w:lang w:eastAsia="en-US"/>
        </w:rPr>
      </w:pPr>
      <w:r w:rsidRPr="00EA0DC7">
        <w:rPr>
          <w:rFonts w:eastAsia="Calibri" w:cs="Arial"/>
          <w:noProof/>
          <w:szCs w:val="24"/>
          <w:lang w:eastAsia="en-US"/>
        </w:rPr>
        <w:t xml:space="preserve">Weck, F., Hautzinger, M., Heidenreich, T., &amp; Stangier, U. (2010). Erfassung psychotherapeutischer Kompetenzen: Validierung einer deutschsprachigen version der Cognitive Therapy Scale. </w:t>
      </w:r>
      <w:r w:rsidRPr="00EA0DC7">
        <w:rPr>
          <w:rFonts w:eastAsia="Calibri" w:cs="Arial"/>
          <w:i/>
          <w:iCs/>
          <w:noProof/>
          <w:szCs w:val="24"/>
          <w:lang w:eastAsia="en-US"/>
        </w:rPr>
        <w:t>Zeitschrift Fur Klinische Psychologie Und Psychotherapie</w:t>
      </w:r>
      <w:r w:rsidRPr="00EA0DC7">
        <w:rPr>
          <w:rFonts w:eastAsia="Calibri" w:cs="Arial"/>
          <w:noProof/>
          <w:szCs w:val="24"/>
          <w:lang w:eastAsia="en-US"/>
        </w:rPr>
        <w:t xml:space="preserve">, </w:t>
      </w:r>
      <w:r w:rsidRPr="00EA0DC7">
        <w:rPr>
          <w:rFonts w:eastAsia="Calibri" w:cs="Arial"/>
          <w:i/>
          <w:iCs/>
          <w:noProof/>
          <w:szCs w:val="24"/>
          <w:lang w:eastAsia="en-US"/>
        </w:rPr>
        <w:t>39</w:t>
      </w:r>
      <w:r w:rsidRPr="00EA0DC7">
        <w:rPr>
          <w:rFonts w:eastAsia="Calibri" w:cs="Arial"/>
          <w:noProof/>
          <w:szCs w:val="24"/>
          <w:lang w:eastAsia="en-US"/>
        </w:rPr>
        <w:t>, 244–250.</w:t>
      </w:r>
    </w:p>
    <w:p w14:paraId="648039D9" w14:textId="77777777" w:rsidR="0065163F" w:rsidRPr="00EA0DC7" w:rsidRDefault="0065163F">
      <w:pPr>
        <w:widowControl w:val="0"/>
        <w:spacing w:after="160"/>
        <w:ind w:left="709" w:hanging="709"/>
        <w:rPr>
          <w:rStyle w:val="Hyperlink"/>
          <w:rFonts w:cs="Arial"/>
          <w:bCs/>
          <w:color w:val="auto"/>
          <w:szCs w:val="24"/>
          <w:u w:val="none"/>
        </w:rPr>
      </w:pPr>
      <w:r w:rsidRPr="00EA0DC7">
        <w:rPr>
          <w:rFonts w:eastAsia="Calibri" w:cs="Arial"/>
          <w:noProof/>
          <w:szCs w:val="24"/>
          <w:lang w:eastAsia="en-US"/>
        </w:rPr>
        <w:t xml:space="preserve">Weck, F., Jakob, M., Neng, J. M. B., Höfling, V., Grikscheit, F., &amp; Bohus, M. (2016). The effects of bug-in-the-eye supervision on therapeutic alliance and therapist competence in cognitive-behavioural therapy: A randomized controlled trial. </w:t>
      </w:r>
      <w:r w:rsidRPr="00EA0DC7">
        <w:rPr>
          <w:rFonts w:eastAsia="Calibri" w:cs="Arial"/>
          <w:i/>
          <w:iCs/>
          <w:noProof/>
          <w:szCs w:val="24"/>
          <w:lang w:eastAsia="en-US"/>
        </w:rPr>
        <w:t>Clinical Psychology and Psychotherapy</w:t>
      </w:r>
      <w:r w:rsidRPr="00EA0DC7">
        <w:rPr>
          <w:rFonts w:eastAsia="Calibri" w:cs="Arial"/>
          <w:noProof/>
          <w:szCs w:val="24"/>
          <w:lang w:eastAsia="en-US"/>
        </w:rPr>
        <w:t xml:space="preserve">, </w:t>
      </w:r>
      <w:r w:rsidRPr="00EA0DC7">
        <w:rPr>
          <w:rFonts w:eastAsia="Calibri" w:cs="Arial"/>
          <w:i/>
          <w:iCs/>
          <w:noProof/>
          <w:szCs w:val="24"/>
          <w:lang w:eastAsia="en-US"/>
        </w:rPr>
        <w:t>23</w:t>
      </w:r>
      <w:r w:rsidRPr="00EA0DC7">
        <w:rPr>
          <w:rFonts w:eastAsia="Calibri" w:cs="Arial"/>
          <w:noProof/>
          <w:szCs w:val="24"/>
          <w:lang w:eastAsia="en-US"/>
        </w:rPr>
        <w:t>, 386–396.</w:t>
      </w:r>
    </w:p>
    <w:p w14:paraId="2638146C" w14:textId="77777777" w:rsidR="0065163F" w:rsidRPr="00EA0DC7" w:rsidRDefault="0065163F">
      <w:pPr>
        <w:widowControl w:val="0"/>
        <w:spacing w:after="160"/>
        <w:ind w:left="709" w:hanging="709"/>
        <w:rPr>
          <w:rFonts w:cs="Arial"/>
        </w:rPr>
      </w:pPr>
      <w:r w:rsidRPr="00EA0DC7">
        <w:rPr>
          <w:rFonts w:cs="Arial"/>
        </w:rPr>
        <w:t xml:space="preserve">Weich, S., Nazroo, J., Sproston, K., McManus, S., Blanchard, M., Erens, B., … Tyrer, P. (2004). Common mental disorders and ethnicity in England: the EMPIRIC study. </w:t>
      </w:r>
      <w:r w:rsidRPr="00EA0DC7">
        <w:rPr>
          <w:rFonts w:cs="Arial"/>
          <w:i/>
        </w:rPr>
        <w:t xml:space="preserve">Psychological Medicine, 34, </w:t>
      </w:r>
      <w:r w:rsidRPr="00EA0DC7">
        <w:rPr>
          <w:rFonts w:cs="Arial"/>
        </w:rPr>
        <w:t>1543-1551.</w:t>
      </w:r>
    </w:p>
    <w:p w14:paraId="50743DDD" w14:textId="77777777" w:rsidR="0065163F" w:rsidRPr="00EA0DC7" w:rsidRDefault="0065163F">
      <w:pPr>
        <w:widowControl w:val="0"/>
        <w:spacing w:after="160"/>
        <w:ind w:left="709" w:hanging="709"/>
        <w:rPr>
          <w:rFonts w:cs="Arial"/>
        </w:rPr>
      </w:pPr>
      <w:r w:rsidRPr="00EA0DC7">
        <w:rPr>
          <w:rFonts w:eastAsia="Times New Roman" w:cs="Arial"/>
          <w:noProof/>
          <w:szCs w:val="24"/>
        </w:rPr>
        <w:t xml:space="preserve">Wessler, R. L., &amp; Ellis, A. (1983). Supervision in counseling: Rational-emotive therapy. </w:t>
      </w:r>
      <w:r w:rsidRPr="00EA0DC7">
        <w:rPr>
          <w:rFonts w:eastAsia="Times New Roman" w:cs="Arial"/>
          <w:i/>
          <w:iCs/>
          <w:noProof/>
          <w:szCs w:val="24"/>
        </w:rPr>
        <w:t>The Counseling Psychologist</w:t>
      </w:r>
      <w:r w:rsidRPr="00EA0DC7">
        <w:rPr>
          <w:rFonts w:eastAsia="Times New Roman" w:cs="Arial"/>
          <w:noProof/>
          <w:szCs w:val="24"/>
        </w:rPr>
        <w:t xml:space="preserve">, </w:t>
      </w:r>
      <w:r w:rsidRPr="00EA0DC7">
        <w:rPr>
          <w:rFonts w:eastAsia="Times New Roman" w:cs="Arial"/>
          <w:i/>
          <w:iCs/>
          <w:noProof/>
          <w:szCs w:val="24"/>
        </w:rPr>
        <w:t>11</w:t>
      </w:r>
      <w:r w:rsidRPr="00EA0DC7">
        <w:rPr>
          <w:rFonts w:eastAsia="Times New Roman" w:cs="Arial"/>
          <w:noProof/>
          <w:szCs w:val="24"/>
        </w:rPr>
        <w:t>, 43–49.</w:t>
      </w:r>
    </w:p>
    <w:p w14:paraId="16761DD5" w14:textId="77777777" w:rsidR="0065163F" w:rsidRPr="00EA0DC7" w:rsidRDefault="0065163F">
      <w:pPr>
        <w:widowControl w:val="0"/>
        <w:spacing w:after="160"/>
        <w:ind w:left="709" w:hanging="709"/>
        <w:rPr>
          <w:rFonts w:cs="Arial"/>
          <w:bCs/>
          <w:noProof/>
        </w:rPr>
      </w:pPr>
      <w:r w:rsidRPr="00EA0DC7">
        <w:rPr>
          <w:rFonts w:cs="Arial"/>
          <w:bCs/>
          <w:noProof/>
        </w:rPr>
        <w:t xml:space="preserve">Westen, D., &amp; Morrison, K. (2001). A multidimensional meta-analysis of treatments for depression, panic, and generalised anxiety disorder: An empirical examination of the status of empirically supported therapies. </w:t>
      </w:r>
      <w:r w:rsidRPr="00EA0DC7">
        <w:rPr>
          <w:rFonts w:cs="Arial"/>
          <w:bCs/>
          <w:i/>
          <w:noProof/>
        </w:rPr>
        <w:t>Journal of Consulting and Clinical Psychology, 69</w:t>
      </w:r>
      <w:r w:rsidRPr="00EA0DC7">
        <w:rPr>
          <w:rFonts w:cs="Arial"/>
          <w:bCs/>
          <w:noProof/>
        </w:rPr>
        <w:t xml:space="preserve">, 875-899. </w:t>
      </w:r>
    </w:p>
    <w:p w14:paraId="4C631FFD" w14:textId="77777777" w:rsidR="0065163F" w:rsidRPr="00EA0DC7" w:rsidRDefault="0065163F">
      <w:pPr>
        <w:widowControl w:val="0"/>
        <w:spacing w:after="160"/>
        <w:ind w:left="709" w:hanging="709"/>
        <w:rPr>
          <w:rFonts w:cs="Arial"/>
          <w:bCs/>
        </w:rPr>
      </w:pPr>
      <w:r w:rsidRPr="00EA0DC7">
        <w:rPr>
          <w:rFonts w:cs="Arial"/>
          <w:bCs/>
        </w:rPr>
        <w:lastRenderedPageBreak/>
        <w:t xml:space="preserve">Westen, D., Novotny, C. M., &amp; Thompson-Brenner, H. (2004). The empirical status of empirically supported psychotherapies: Assumptions, findings, and reporting in controlled clinical trials. </w:t>
      </w:r>
      <w:r w:rsidRPr="00EA0DC7">
        <w:rPr>
          <w:rFonts w:cs="Arial"/>
          <w:bCs/>
          <w:i/>
        </w:rPr>
        <w:t>Psychological Bulletin, 130,</w:t>
      </w:r>
      <w:r w:rsidRPr="00EA0DC7">
        <w:rPr>
          <w:rFonts w:cs="Arial"/>
          <w:bCs/>
        </w:rPr>
        <w:t xml:space="preserve"> 631-663.</w:t>
      </w:r>
    </w:p>
    <w:p w14:paraId="11CEFBD0" w14:textId="77777777" w:rsidR="0065163F" w:rsidRPr="00EA0DC7" w:rsidRDefault="0065163F">
      <w:pPr>
        <w:widowControl w:val="0"/>
        <w:spacing w:after="160"/>
        <w:ind w:left="709" w:hanging="709"/>
        <w:rPr>
          <w:rFonts w:cs="Arial"/>
          <w:bCs/>
        </w:rPr>
      </w:pPr>
      <w:r w:rsidRPr="00EA0DC7">
        <w:rPr>
          <w:rFonts w:cs="Arial"/>
          <w:bCs/>
        </w:rPr>
        <w:t xml:space="preserve">Wetchler, J. L. (1990). Solution-focused supervision. </w:t>
      </w:r>
      <w:r w:rsidRPr="00EA0DC7">
        <w:rPr>
          <w:rFonts w:cs="Arial"/>
          <w:bCs/>
          <w:i/>
          <w:iCs/>
        </w:rPr>
        <w:t>Family Therapy</w:t>
      </w:r>
      <w:r w:rsidRPr="00EA0DC7">
        <w:rPr>
          <w:rFonts w:cs="Arial"/>
          <w:bCs/>
        </w:rPr>
        <w:t xml:space="preserve">, </w:t>
      </w:r>
      <w:r w:rsidRPr="00EA0DC7">
        <w:rPr>
          <w:rFonts w:cs="Arial"/>
          <w:bCs/>
          <w:i/>
          <w:iCs/>
        </w:rPr>
        <w:t>17</w:t>
      </w:r>
      <w:r w:rsidRPr="00EA0DC7">
        <w:rPr>
          <w:rFonts w:cs="Arial"/>
          <w:bCs/>
        </w:rPr>
        <w:t>, 129–138.</w:t>
      </w:r>
    </w:p>
    <w:p w14:paraId="4C9F184E" w14:textId="7BF8B5CF" w:rsidR="0065163F" w:rsidRPr="00EA0DC7" w:rsidRDefault="0065163F">
      <w:pPr>
        <w:widowControl w:val="0"/>
        <w:spacing w:after="160"/>
        <w:ind w:left="709" w:hanging="709"/>
        <w:rPr>
          <w:rFonts w:cs="Arial"/>
          <w:bCs/>
        </w:rPr>
      </w:pPr>
      <w:r w:rsidRPr="00EA0DC7">
        <w:rPr>
          <w:rFonts w:cs="Arial"/>
          <w:bCs/>
        </w:rPr>
        <w:t xml:space="preserve">Wheeler, S., &amp; Richards, K. (2007). The impact of clinical supervision on counsellors and therapists, their practice and their clients. A systematic review of the literature. </w:t>
      </w:r>
      <w:r w:rsidRPr="00EA0DC7">
        <w:rPr>
          <w:rFonts w:cs="Arial"/>
          <w:bCs/>
          <w:i/>
          <w:iCs/>
        </w:rPr>
        <w:t>Counselling and Psychotherapy Research</w:t>
      </w:r>
      <w:r w:rsidRPr="00EA0DC7">
        <w:rPr>
          <w:rFonts w:cs="Arial"/>
          <w:bCs/>
        </w:rPr>
        <w:t xml:space="preserve">, </w:t>
      </w:r>
      <w:r w:rsidRPr="00EA0DC7">
        <w:rPr>
          <w:rFonts w:cs="Arial"/>
          <w:bCs/>
          <w:i/>
          <w:iCs/>
        </w:rPr>
        <w:t>7</w:t>
      </w:r>
      <w:r w:rsidRPr="00EA0DC7">
        <w:rPr>
          <w:rFonts w:cs="Arial"/>
          <w:bCs/>
        </w:rPr>
        <w:t>, 54–65.</w:t>
      </w:r>
    </w:p>
    <w:p w14:paraId="0E743597" w14:textId="77777777" w:rsidR="0065163F" w:rsidRPr="00EA0DC7" w:rsidRDefault="0065163F">
      <w:pPr>
        <w:widowControl w:val="0"/>
        <w:spacing w:after="160"/>
        <w:ind w:left="709" w:hanging="709"/>
        <w:rPr>
          <w:rFonts w:cs="Arial"/>
          <w:bCs/>
          <w:noProof/>
        </w:rPr>
      </w:pPr>
      <w:bookmarkStart w:id="211" w:name="_ENREF_39"/>
      <w:r w:rsidRPr="00EA0DC7">
        <w:rPr>
          <w:rFonts w:cs="Arial"/>
          <w:bCs/>
          <w:noProof/>
        </w:rPr>
        <w:t xml:space="preserve">White, E., &amp; Winstanley, J. (2010). A randomised controlled trial of clinical supervision: Selected findings from a novel Australian attempt to establish the evidence base for causal relationships with quality of care and patient outcomes, as an informed contribution to mental health nursing practice development. </w:t>
      </w:r>
      <w:r w:rsidRPr="00EA0DC7">
        <w:rPr>
          <w:rFonts w:cs="Arial"/>
          <w:bCs/>
          <w:i/>
          <w:noProof/>
        </w:rPr>
        <w:t>Journal of Research in Nursing, 15</w:t>
      </w:r>
      <w:r w:rsidRPr="00EA0DC7">
        <w:rPr>
          <w:rFonts w:cs="Arial"/>
          <w:bCs/>
          <w:noProof/>
        </w:rPr>
        <w:t xml:space="preserve">, 151-167. </w:t>
      </w:r>
      <w:bookmarkEnd w:id="211"/>
    </w:p>
    <w:p w14:paraId="1B389FC0" w14:textId="77777777"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Wiley, M. O., &amp; Ray, P. B. (1986). Counseling supervision by developmental level. </w:t>
      </w:r>
      <w:r w:rsidRPr="00EA0DC7">
        <w:rPr>
          <w:rFonts w:eastAsia="Times New Roman" w:cs="Arial"/>
          <w:i/>
          <w:iCs/>
          <w:noProof/>
          <w:szCs w:val="24"/>
        </w:rPr>
        <w:t>Journal of Counseling Psychology</w:t>
      </w:r>
      <w:r w:rsidRPr="00EA0DC7">
        <w:rPr>
          <w:rFonts w:eastAsia="Times New Roman" w:cs="Arial"/>
          <w:noProof/>
          <w:szCs w:val="24"/>
        </w:rPr>
        <w:t xml:space="preserve">, </w:t>
      </w:r>
      <w:r w:rsidRPr="00EA0DC7">
        <w:rPr>
          <w:rFonts w:eastAsia="Times New Roman" w:cs="Arial"/>
          <w:i/>
          <w:iCs/>
          <w:noProof/>
          <w:szCs w:val="24"/>
        </w:rPr>
        <w:t>33</w:t>
      </w:r>
      <w:r w:rsidRPr="00EA0DC7">
        <w:rPr>
          <w:rFonts w:eastAsia="Times New Roman" w:cs="Arial"/>
          <w:noProof/>
          <w:szCs w:val="24"/>
        </w:rPr>
        <w:t xml:space="preserve">, 439–445. </w:t>
      </w:r>
    </w:p>
    <w:p w14:paraId="66553D93" w14:textId="77777777" w:rsidR="0065163F" w:rsidRPr="00EA0DC7" w:rsidRDefault="0065163F">
      <w:pPr>
        <w:widowControl w:val="0"/>
        <w:spacing w:after="160"/>
        <w:ind w:left="709" w:hanging="709"/>
        <w:rPr>
          <w:rFonts w:cs="Arial"/>
          <w:bCs/>
          <w:szCs w:val="24"/>
        </w:rPr>
      </w:pPr>
      <w:r w:rsidRPr="00EA0DC7">
        <w:rPr>
          <w:rFonts w:cs="Arial"/>
          <w:bCs/>
          <w:szCs w:val="24"/>
        </w:rPr>
        <w:t xml:space="preserve">Willner, P. (1984). Cognitive functioning in depression: a review of theory and research. </w:t>
      </w:r>
      <w:r w:rsidRPr="00EA0DC7">
        <w:rPr>
          <w:rFonts w:cs="Arial"/>
          <w:bCs/>
          <w:i/>
          <w:szCs w:val="24"/>
        </w:rPr>
        <w:t>Psychological Medicine, 14,</w:t>
      </w:r>
      <w:r w:rsidRPr="00EA0DC7">
        <w:rPr>
          <w:rFonts w:cs="Arial"/>
          <w:bCs/>
          <w:szCs w:val="24"/>
        </w:rPr>
        <w:t xml:space="preserve"> 807-823.</w:t>
      </w:r>
    </w:p>
    <w:p w14:paraId="6F280C69" w14:textId="0472A83C" w:rsidR="0065163F" w:rsidRPr="00EA0DC7" w:rsidRDefault="0065163F">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Wilson, G. T. (1996). Manual-based treatments: the clinical application of research findings. </w:t>
      </w:r>
      <w:r w:rsidRPr="00EA0DC7">
        <w:rPr>
          <w:rFonts w:eastAsia="Times New Roman" w:cs="Arial"/>
          <w:i/>
          <w:iCs/>
          <w:noProof/>
          <w:szCs w:val="24"/>
        </w:rPr>
        <w:t>Behaviour Research and Therapy</w:t>
      </w:r>
      <w:r w:rsidRPr="00EA0DC7">
        <w:rPr>
          <w:rFonts w:eastAsia="Times New Roman" w:cs="Arial"/>
          <w:noProof/>
          <w:szCs w:val="24"/>
        </w:rPr>
        <w:t xml:space="preserve">, </w:t>
      </w:r>
      <w:r w:rsidRPr="00EA0DC7">
        <w:rPr>
          <w:rFonts w:eastAsia="Times New Roman" w:cs="Arial"/>
          <w:i/>
          <w:iCs/>
          <w:noProof/>
          <w:szCs w:val="24"/>
        </w:rPr>
        <w:t>34</w:t>
      </w:r>
      <w:r w:rsidRPr="00EA0DC7">
        <w:rPr>
          <w:rFonts w:eastAsia="Times New Roman" w:cs="Arial"/>
          <w:noProof/>
          <w:szCs w:val="24"/>
        </w:rPr>
        <w:t xml:space="preserve">, 295–314. </w:t>
      </w:r>
    </w:p>
    <w:p w14:paraId="3DACB0E2" w14:textId="6A9BEDE9" w:rsidR="001D7E1D" w:rsidRPr="00EA0DC7" w:rsidRDefault="001D7E1D">
      <w:pPr>
        <w:widowControl w:val="0"/>
        <w:autoSpaceDE w:val="0"/>
        <w:autoSpaceDN w:val="0"/>
        <w:adjustRightInd w:val="0"/>
        <w:spacing w:after="160"/>
        <w:ind w:left="709" w:hanging="709"/>
        <w:rPr>
          <w:rFonts w:eastAsia="Times New Roman" w:cs="Arial"/>
          <w:noProof/>
          <w:szCs w:val="24"/>
        </w:rPr>
      </w:pPr>
      <w:r w:rsidRPr="00EA0DC7">
        <w:rPr>
          <w:rFonts w:eastAsia="Times New Roman" w:cs="Arial"/>
          <w:noProof/>
          <w:szCs w:val="24"/>
        </w:rPr>
        <w:t xml:space="preserve">Witteman, C. L. M., &amp; van den Bercken, J. H. L. (2007). Intermediate effects </w:t>
      </w:r>
      <w:r w:rsidRPr="00EA0DC7">
        <w:rPr>
          <w:rFonts w:eastAsia="Times New Roman" w:cs="Arial"/>
          <w:noProof/>
          <w:szCs w:val="24"/>
        </w:rPr>
        <w:lastRenderedPageBreak/>
        <w:t xml:space="preserve">in psychodiagnostic classification. </w:t>
      </w:r>
      <w:r w:rsidRPr="00EA0DC7">
        <w:rPr>
          <w:rFonts w:eastAsia="Times New Roman" w:cs="Arial"/>
          <w:i/>
          <w:noProof/>
          <w:szCs w:val="24"/>
        </w:rPr>
        <w:t>European Journal of Psychological Assessment, 23</w:t>
      </w:r>
      <w:r w:rsidRPr="00EA0DC7">
        <w:rPr>
          <w:rFonts w:eastAsia="Times New Roman" w:cs="Arial"/>
          <w:noProof/>
          <w:szCs w:val="24"/>
        </w:rPr>
        <w:t>, 56-61.</w:t>
      </w:r>
    </w:p>
    <w:p w14:paraId="00176045" w14:textId="5BB90CD7" w:rsidR="005B1758" w:rsidRPr="00EA0DC7" w:rsidRDefault="005B1758" w:rsidP="00F821B4">
      <w:pPr>
        <w:widowControl w:val="0"/>
        <w:spacing w:after="160"/>
        <w:ind w:left="709" w:hanging="709"/>
        <w:jc w:val="left"/>
        <w:rPr>
          <w:rFonts w:cs="Arial"/>
          <w:bCs/>
          <w:szCs w:val="24"/>
        </w:rPr>
      </w:pPr>
      <w:r w:rsidRPr="00EA0DC7">
        <w:rPr>
          <w:rFonts w:cs="Arial"/>
          <w:bCs/>
          <w:szCs w:val="24"/>
        </w:rPr>
        <w:t xml:space="preserve">World Health Organisation (2003). </w:t>
      </w:r>
      <w:r w:rsidRPr="00EA0DC7">
        <w:rPr>
          <w:rFonts w:cs="Arial"/>
          <w:bCs/>
          <w:i/>
          <w:szCs w:val="24"/>
        </w:rPr>
        <w:t xml:space="preserve">Adherence to long-term therapies: Evidence for action. </w:t>
      </w:r>
      <w:r w:rsidRPr="00EA0DC7">
        <w:rPr>
          <w:rFonts w:cs="Arial"/>
          <w:bCs/>
          <w:szCs w:val="24"/>
        </w:rPr>
        <w:t>Retrieved 29/08/18 from http://www.who.int/chp/knowledge/publications/adherence_full_report.pdf?ua=1</w:t>
      </w:r>
    </w:p>
    <w:p w14:paraId="6E711A71" w14:textId="75FD1AB8" w:rsidR="0065163F" w:rsidRPr="00EA0DC7" w:rsidRDefault="0065163F" w:rsidP="00F821B4">
      <w:pPr>
        <w:widowControl w:val="0"/>
        <w:spacing w:after="160"/>
        <w:ind w:left="709" w:hanging="709"/>
        <w:jc w:val="left"/>
        <w:rPr>
          <w:rFonts w:cs="Arial"/>
          <w:bCs/>
          <w:szCs w:val="24"/>
        </w:rPr>
      </w:pPr>
      <w:r w:rsidRPr="00EA0DC7">
        <w:rPr>
          <w:rFonts w:cs="Arial"/>
          <w:bCs/>
          <w:szCs w:val="24"/>
        </w:rPr>
        <w:t xml:space="preserve">World Health Organisation. (2012a). </w:t>
      </w:r>
      <w:r w:rsidRPr="00EA0DC7">
        <w:rPr>
          <w:rFonts w:cs="Arial"/>
          <w:bCs/>
          <w:i/>
          <w:szCs w:val="24"/>
        </w:rPr>
        <w:t>Depression (Fact sheet No. 369)</w:t>
      </w:r>
      <w:r w:rsidRPr="00EA0DC7">
        <w:rPr>
          <w:rFonts w:cs="Arial"/>
          <w:bCs/>
          <w:szCs w:val="24"/>
        </w:rPr>
        <w:t>.   Retrieved</w:t>
      </w:r>
      <w:r w:rsidR="00570278" w:rsidRPr="00EA0DC7">
        <w:rPr>
          <w:rFonts w:cs="Arial"/>
          <w:bCs/>
          <w:szCs w:val="24"/>
        </w:rPr>
        <w:t xml:space="preserve"> </w:t>
      </w:r>
      <w:r w:rsidRPr="00EA0DC7">
        <w:rPr>
          <w:rFonts w:cs="Arial"/>
          <w:bCs/>
          <w:szCs w:val="24"/>
        </w:rPr>
        <w:t>30/09/14, from</w:t>
      </w:r>
      <w:r w:rsidR="00EF466B" w:rsidRPr="00EA0DC7">
        <w:rPr>
          <w:rFonts w:cs="Arial"/>
          <w:bCs/>
          <w:szCs w:val="24"/>
        </w:rPr>
        <w:t xml:space="preserve"> </w:t>
      </w:r>
      <w:r w:rsidRPr="00EA0DC7">
        <w:rPr>
          <w:rFonts w:cs="Arial"/>
          <w:bCs/>
          <w:szCs w:val="24"/>
        </w:rPr>
        <w:t>http://www.who.int/mediacentre/factsheets/fs369/en/</w:t>
      </w:r>
    </w:p>
    <w:p w14:paraId="04105C76" w14:textId="77777777" w:rsidR="0065163F" w:rsidRPr="00EA0DC7" w:rsidRDefault="0065163F" w:rsidP="00F821B4">
      <w:pPr>
        <w:widowControl w:val="0"/>
        <w:spacing w:after="160"/>
        <w:ind w:left="709" w:hanging="709"/>
        <w:jc w:val="left"/>
        <w:rPr>
          <w:rFonts w:cs="Arial"/>
          <w:bCs/>
          <w:szCs w:val="24"/>
        </w:rPr>
      </w:pPr>
      <w:r w:rsidRPr="00EA0DC7">
        <w:rPr>
          <w:rFonts w:cs="Arial"/>
          <w:bCs/>
          <w:szCs w:val="24"/>
        </w:rPr>
        <w:t xml:space="preserve">World Health Organisation. (2012b). </w:t>
      </w:r>
      <w:r w:rsidRPr="00EA0DC7">
        <w:rPr>
          <w:rFonts w:cs="Arial"/>
          <w:bCs/>
          <w:i/>
          <w:szCs w:val="24"/>
        </w:rPr>
        <w:t>World suicide prevention day.</w:t>
      </w:r>
      <w:r w:rsidRPr="00EA0DC7">
        <w:rPr>
          <w:rFonts w:cs="Arial"/>
          <w:bCs/>
          <w:szCs w:val="24"/>
        </w:rPr>
        <w:t xml:space="preserve"> Retrieved 07/10/15, from https://www.iasp.info/wspd/pdf/2012_wspd_press_package.pdf</w:t>
      </w:r>
    </w:p>
    <w:p w14:paraId="02B7D4A4" w14:textId="77777777" w:rsidR="0065163F" w:rsidRPr="00EA0DC7" w:rsidRDefault="0065163F" w:rsidP="00F821B4">
      <w:pPr>
        <w:widowControl w:val="0"/>
        <w:spacing w:after="160"/>
        <w:ind w:left="709" w:hanging="709"/>
        <w:jc w:val="left"/>
        <w:rPr>
          <w:rFonts w:cs="Arial"/>
          <w:bCs/>
          <w:szCs w:val="24"/>
        </w:rPr>
      </w:pPr>
      <w:r w:rsidRPr="00EA0DC7">
        <w:rPr>
          <w:rFonts w:cs="Arial"/>
          <w:bCs/>
          <w:szCs w:val="24"/>
        </w:rPr>
        <w:t xml:space="preserve">World Health Organisation. (2014). </w:t>
      </w:r>
      <w:r w:rsidRPr="00EA0DC7">
        <w:rPr>
          <w:rFonts w:cs="Arial"/>
          <w:bCs/>
          <w:i/>
          <w:szCs w:val="24"/>
        </w:rPr>
        <w:t>Preventing suicide: A global imperative.</w:t>
      </w:r>
      <w:r w:rsidRPr="00EA0DC7">
        <w:rPr>
          <w:rFonts w:cs="Arial"/>
          <w:bCs/>
          <w:szCs w:val="24"/>
        </w:rPr>
        <w:t xml:space="preserve"> Retrieved 07/10/15, from http://apps.who.int/iris/bitstream/10665/131056/1/9789241564779_eng.pdf?ua=1&amp;ua=1</w:t>
      </w:r>
    </w:p>
    <w:p w14:paraId="61654CC7" w14:textId="77777777" w:rsidR="0065163F" w:rsidRPr="00EA0DC7" w:rsidRDefault="0065163F">
      <w:pPr>
        <w:widowControl w:val="0"/>
        <w:spacing w:after="160"/>
        <w:ind w:left="709" w:hanging="709"/>
        <w:rPr>
          <w:rFonts w:cs="Arial"/>
          <w:noProof/>
        </w:rPr>
      </w:pPr>
      <w:bookmarkStart w:id="212" w:name="_ENREF_37"/>
      <w:r w:rsidRPr="00EA0DC7">
        <w:rPr>
          <w:rFonts w:cs="Arial"/>
          <w:noProof/>
        </w:rPr>
        <w:t xml:space="preserve">Worthington, E. L. (1987). Changes in supervision as counselors and supervisors gain experience: A review. </w:t>
      </w:r>
      <w:r w:rsidRPr="00EA0DC7">
        <w:rPr>
          <w:rFonts w:cs="Arial"/>
          <w:i/>
          <w:noProof/>
        </w:rPr>
        <w:t>Professional Psychology, 18</w:t>
      </w:r>
      <w:r w:rsidRPr="00EA0DC7">
        <w:rPr>
          <w:rFonts w:cs="Arial"/>
          <w:noProof/>
        </w:rPr>
        <w:t xml:space="preserve">, 189-208. </w:t>
      </w:r>
      <w:bookmarkEnd w:id="212"/>
    </w:p>
    <w:p w14:paraId="448B6B5B" w14:textId="77777777" w:rsidR="0065163F" w:rsidRPr="00EA0DC7" w:rsidRDefault="0065163F">
      <w:pPr>
        <w:widowControl w:val="0"/>
        <w:spacing w:after="160"/>
        <w:ind w:left="709" w:hanging="709"/>
        <w:rPr>
          <w:rFonts w:cs="Arial"/>
          <w:bCs/>
          <w:szCs w:val="24"/>
        </w:rPr>
      </w:pPr>
      <w:r w:rsidRPr="00EA0DC7">
        <w:rPr>
          <w:rFonts w:eastAsia="Times New Roman" w:cs="Arial"/>
          <w:noProof/>
          <w:szCs w:val="24"/>
        </w:rPr>
        <w:t xml:space="preserve">Yogev, S. (1982). An eclectic model of supervision: A developmental sequence for beginning psychotherapy students. </w:t>
      </w:r>
      <w:r w:rsidRPr="00EA0DC7">
        <w:rPr>
          <w:rFonts w:eastAsia="Times New Roman" w:cs="Arial"/>
          <w:i/>
          <w:iCs/>
          <w:noProof/>
          <w:szCs w:val="24"/>
        </w:rPr>
        <w:t>Professional Psychology</w:t>
      </w:r>
      <w:r w:rsidRPr="00EA0DC7">
        <w:rPr>
          <w:rFonts w:eastAsia="Times New Roman" w:cs="Arial"/>
          <w:noProof/>
          <w:szCs w:val="24"/>
        </w:rPr>
        <w:t xml:space="preserve">, </w:t>
      </w:r>
      <w:r w:rsidRPr="00EA0DC7">
        <w:rPr>
          <w:rFonts w:eastAsia="Times New Roman" w:cs="Arial"/>
          <w:i/>
          <w:iCs/>
          <w:noProof/>
          <w:szCs w:val="24"/>
        </w:rPr>
        <w:t>13</w:t>
      </w:r>
      <w:r w:rsidRPr="00EA0DC7">
        <w:rPr>
          <w:rFonts w:eastAsia="Times New Roman" w:cs="Arial"/>
          <w:noProof/>
          <w:szCs w:val="24"/>
        </w:rPr>
        <w:t>, 236–243.</w:t>
      </w:r>
    </w:p>
    <w:p w14:paraId="33A24FD6" w14:textId="77777777" w:rsidR="0065163F" w:rsidRPr="00EA0DC7" w:rsidRDefault="0065163F">
      <w:pPr>
        <w:widowControl w:val="0"/>
        <w:spacing w:after="160"/>
        <w:ind w:left="709" w:hanging="709"/>
        <w:rPr>
          <w:rFonts w:cs="Arial"/>
          <w:bCs/>
          <w:szCs w:val="24"/>
        </w:rPr>
      </w:pPr>
      <w:r w:rsidRPr="00EA0DC7">
        <w:rPr>
          <w:rFonts w:cs="Arial"/>
          <w:bCs/>
          <w:szCs w:val="24"/>
        </w:rPr>
        <w:t>Zetzel, E. R. (1956). Current concepts of transference.</w:t>
      </w:r>
      <w:r w:rsidRPr="00EA0DC7">
        <w:rPr>
          <w:rFonts w:cs="Arial"/>
          <w:bCs/>
          <w:i/>
          <w:szCs w:val="24"/>
        </w:rPr>
        <w:t xml:space="preserve"> International Journal of </w:t>
      </w:r>
      <w:r w:rsidRPr="00EA0DC7">
        <w:rPr>
          <w:rFonts w:cs="Arial"/>
          <w:bCs/>
          <w:i/>
          <w:szCs w:val="24"/>
        </w:rPr>
        <w:lastRenderedPageBreak/>
        <w:t>Psychoanalysis, 37,</w:t>
      </w:r>
      <w:r w:rsidRPr="00EA0DC7">
        <w:rPr>
          <w:rFonts w:cs="Arial"/>
          <w:bCs/>
          <w:szCs w:val="24"/>
        </w:rPr>
        <w:t xml:space="preserve"> 369-376. </w:t>
      </w:r>
    </w:p>
    <w:p w14:paraId="74DD8D0C" w14:textId="77777777" w:rsidR="0065163F" w:rsidRPr="00EA0DC7" w:rsidRDefault="0065163F">
      <w:pPr>
        <w:widowControl w:val="0"/>
        <w:spacing w:after="160"/>
        <w:ind w:left="709" w:hanging="709"/>
        <w:rPr>
          <w:rFonts w:cs="Arial"/>
          <w:bCs/>
          <w:szCs w:val="24"/>
        </w:rPr>
      </w:pPr>
      <w:r w:rsidRPr="00EA0DC7">
        <w:rPr>
          <w:rFonts w:cs="Arial"/>
          <w:bCs/>
          <w:szCs w:val="24"/>
        </w:rPr>
        <w:t xml:space="preserve">Zimmerman, M., McDermut, W., &amp; Mattia, J. I. (2000). Frequency of anxiety disorders in psychiatric outpatients with major depressive disorder. American </w:t>
      </w:r>
      <w:r w:rsidRPr="00EA0DC7">
        <w:rPr>
          <w:rFonts w:cs="Arial"/>
          <w:bCs/>
          <w:i/>
          <w:szCs w:val="24"/>
        </w:rPr>
        <w:t xml:space="preserve">Journal of Psychiatry, 157, </w:t>
      </w:r>
      <w:r w:rsidRPr="00EA0DC7">
        <w:rPr>
          <w:rFonts w:cs="Arial"/>
          <w:bCs/>
          <w:szCs w:val="24"/>
        </w:rPr>
        <w:t>1337-1340.</w:t>
      </w:r>
    </w:p>
    <w:p w14:paraId="3AC2451A" w14:textId="77777777" w:rsidR="00FD2A1D" w:rsidRPr="00EA0DC7" w:rsidRDefault="00FD2A1D" w:rsidP="00F821B4">
      <w:pPr>
        <w:widowControl w:val="0"/>
        <w:rPr>
          <w:rFonts w:cs="Arial"/>
          <w:b/>
          <w:bCs/>
          <w:lang w:val="de-DE"/>
        </w:rPr>
      </w:pPr>
    </w:p>
    <w:p w14:paraId="65192457" w14:textId="77777777" w:rsidR="00584A06" w:rsidRPr="00EA0DC7" w:rsidRDefault="00584A06">
      <w:pPr>
        <w:spacing w:line="276" w:lineRule="auto"/>
        <w:jc w:val="left"/>
        <w:rPr>
          <w:rFonts w:eastAsia="Times New Roman" w:cs="Arial"/>
          <w:szCs w:val="24"/>
        </w:rPr>
      </w:pPr>
      <w:r w:rsidRPr="00EA0DC7">
        <w:rPr>
          <w:rFonts w:eastAsia="Times New Roman" w:cs="Arial"/>
          <w:szCs w:val="24"/>
        </w:rPr>
        <w:br w:type="page"/>
      </w:r>
    </w:p>
    <w:p w14:paraId="703CEEBC" w14:textId="77777777" w:rsidR="003F0CDB" w:rsidRPr="00EA0DC7" w:rsidRDefault="003F0CDB" w:rsidP="001027B1">
      <w:pPr>
        <w:pStyle w:val="Heading1"/>
        <w:numPr>
          <w:ilvl w:val="0"/>
          <w:numId w:val="0"/>
        </w:numPr>
      </w:pPr>
      <w:bookmarkStart w:id="213" w:name="_Toc47039879"/>
      <w:r w:rsidRPr="00EA0DC7">
        <w:lastRenderedPageBreak/>
        <w:t>Appendices</w:t>
      </w:r>
      <w:bookmarkEnd w:id="213"/>
    </w:p>
    <w:p w14:paraId="6C9F92C3" w14:textId="438ADEF4" w:rsidR="003F0CDB" w:rsidRPr="00EA0DC7" w:rsidRDefault="003F0CDB" w:rsidP="006B3274">
      <w:pPr>
        <w:pStyle w:val="Heading2"/>
      </w:pPr>
      <w:bookmarkStart w:id="214" w:name="_Toc23881299"/>
      <w:bookmarkStart w:id="215" w:name="_Toc24548590"/>
      <w:bookmarkStart w:id="216" w:name="_Toc24548693"/>
      <w:bookmarkStart w:id="217" w:name="_Toc47039880"/>
      <w:r w:rsidRPr="00EA0DC7">
        <w:t xml:space="preserve">Appendix </w:t>
      </w:r>
      <w:r w:rsidR="00D247AC" w:rsidRPr="00EA0DC7">
        <w:t>2</w:t>
      </w:r>
      <w:r w:rsidR="006B3274" w:rsidRPr="00EA0DC7">
        <w:t>A.</w:t>
      </w:r>
      <w:r w:rsidRPr="00EA0DC7">
        <w:t xml:space="preserve"> Definitions and examples of content variables.</w:t>
      </w:r>
      <w:bookmarkEnd w:id="214"/>
      <w:bookmarkEnd w:id="215"/>
      <w:bookmarkEnd w:id="216"/>
      <w:bookmarkEnd w:id="217"/>
    </w:p>
    <w:p w14:paraId="40CE3568"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Formative content</w:t>
      </w:r>
      <w:r w:rsidRPr="00EA0DC7">
        <w:rPr>
          <w:rFonts w:eastAsia="Calibri" w:cs="Arial"/>
          <w:szCs w:val="24"/>
          <w:lang w:eastAsia="en-US"/>
        </w:rPr>
        <w:t xml:space="preserve"> – mention of the learning and/or development of the supervisee </w:t>
      </w:r>
      <w:r w:rsidRPr="00EA0DC7">
        <w:rPr>
          <w:rFonts w:eastAsia="Calibri" w:cs="Arial"/>
          <w:i/>
          <w:szCs w:val="24"/>
          <w:lang w:eastAsia="en-US"/>
        </w:rPr>
        <w:t>(functions; f)</w:t>
      </w:r>
    </w:p>
    <w:p w14:paraId="41E3A648"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The second early stage in the development of beginning therapists focuses on the acquisition and mastery of skills and knowledge.</w:t>
      </w:r>
      <w:r w:rsidRPr="00EA0DC7">
        <w:rPr>
          <w:rFonts w:eastAsia="Calibri" w:cs="Arial"/>
          <w:szCs w:val="24"/>
          <w:lang w:eastAsia="en-US"/>
        </w:rPr>
        <w:t>’ (Yogev, 1982, p. 241)</w:t>
      </w:r>
    </w:p>
    <w:p w14:paraId="556EE748"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Normative content</w:t>
      </w:r>
      <w:r w:rsidRPr="00EA0DC7">
        <w:rPr>
          <w:rFonts w:eastAsia="Calibri" w:cs="Arial"/>
          <w:szCs w:val="24"/>
          <w:lang w:eastAsia="en-US"/>
        </w:rPr>
        <w:t xml:space="preserve"> – mention of managerial and/or ethical responsibilities in the supervision process (</w:t>
      </w:r>
      <w:r w:rsidRPr="00EA0DC7">
        <w:rPr>
          <w:rFonts w:eastAsia="Calibri" w:cs="Arial"/>
          <w:i/>
          <w:szCs w:val="24"/>
          <w:lang w:eastAsia="en-US"/>
        </w:rPr>
        <w:t>f)</w:t>
      </w:r>
    </w:p>
    <w:p w14:paraId="1AAB87C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These </w:t>
      </w:r>
      <w:r w:rsidRPr="00EA0DC7">
        <w:rPr>
          <w:rFonts w:eastAsia="Calibri" w:cs="Arial"/>
          <w:szCs w:val="24"/>
          <w:lang w:eastAsia="en-US"/>
        </w:rPr>
        <w:t>[professional issues]</w:t>
      </w:r>
      <w:r w:rsidRPr="00EA0DC7">
        <w:rPr>
          <w:rFonts w:eastAsia="Calibri" w:cs="Arial"/>
          <w:i/>
          <w:szCs w:val="24"/>
          <w:lang w:eastAsia="en-US"/>
        </w:rPr>
        <w:t xml:space="preserve"> may include the exploration of ethical, legal, or other standards…</w:t>
      </w:r>
      <w:r w:rsidRPr="00EA0DC7">
        <w:rPr>
          <w:rFonts w:eastAsia="Calibri" w:cs="Arial"/>
          <w:szCs w:val="24"/>
          <w:lang w:eastAsia="en-US"/>
        </w:rPr>
        <w:t>’ (Morgan &amp; Sprenkle, 2007, p. 9)</w:t>
      </w:r>
    </w:p>
    <w:p w14:paraId="4185AAB9"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Restorative content</w:t>
      </w:r>
      <w:r w:rsidRPr="00EA0DC7">
        <w:rPr>
          <w:rFonts w:eastAsia="Calibri" w:cs="Arial"/>
          <w:szCs w:val="24"/>
          <w:lang w:eastAsia="en-US"/>
        </w:rPr>
        <w:t xml:space="preserve"> – recognition of the emotional effects of work (</w:t>
      </w:r>
      <w:r w:rsidRPr="00EA0DC7">
        <w:rPr>
          <w:rFonts w:eastAsia="Calibri" w:cs="Arial"/>
          <w:i/>
          <w:szCs w:val="24"/>
          <w:lang w:eastAsia="en-US"/>
        </w:rPr>
        <w:t>f)</w:t>
      </w:r>
    </w:p>
    <w:p w14:paraId="3FF36096"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supervisor has the responsibility for creating a working alliance, through which the counsellor is supported…</w:t>
      </w:r>
      <w:r w:rsidRPr="00EA0DC7">
        <w:rPr>
          <w:rFonts w:eastAsia="Calibri" w:cs="Arial"/>
          <w:szCs w:val="24"/>
          <w:lang w:eastAsia="en-US"/>
        </w:rPr>
        <w:t>’ (Inskipp &amp; Proctor, 2009, p. 9)</w:t>
      </w:r>
    </w:p>
    <w:p w14:paraId="76CD2B1D" w14:textId="5686D183" w:rsidR="003F0CDB" w:rsidRPr="00EA0DC7" w:rsidRDefault="003F0CDB" w:rsidP="003F0CDB">
      <w:pPr>
        <w:numPr>
          <w:ilvl w:val="0"/>
          <w:numId w:val="7"/>
        </w:numPr>
        <w:spacing w:after="160"/>
        <w:contextualSpacing/>
        <w:rPr>
          <w:rFonts w:eastAsia="Calibri" w:cs="Arial"/>
          <w:b/>
          <w:szCs w:val="24"/>
          <w:lang w:eastAsia="en-US"/>
        </w:rPr>
      </w:pPr>
      <w:r w:rsidRPr="00EA0DC7">
        <w:rPr>
          <w:rFonts w:eastAsia="Calibri" w:cs="Arial"/>
          <w:b/>
          <w:szCs w:val="24"/>
          <w:lang w:eastAsia="en-US"/>
        </w:rPr>
        <w:t xml:space="preserve">Focus on supervisor </w:t>
      </w:r>
      <w:r w:rsidRPr="00EA0DC7">
        <w:rPr>
          <w:rFonts w:eastAsia="Calibri" w:cs="Arial"/>
          <w:szCs w:val="24"/>
          <w:lang w:eastAsia="en-US"/>
        </w:rPr>
        <w:t xml:space="preserve">– any specific focus on the supervisor e.g. their characteristics or their responsibilities </w:t>
      </w:r>
      <w:r w:rsidR="00D66C4F" w:rsidRPr="00EA0DC7">
        <w:rPr>
          <w:rFonts w:eastAsia="Calibri" w:cs="Arial"/>
          <w:szCs w:val="24"/>
          <w:u w:val="single"/>
          <w:lang w:eastAsia="en-US"/>
        </w:rPr>
        <w:t>not</w:t>
      </w:r>
      <w:r w:rsidRPr="00EA0DC7">
        <w:rPr>
          <w:rFonts w:eastAsia="Calibri" w:cs="Arial"/>
          <w:szCs w:val="24"/>
          <w:lang w:eastAsia="en-US"/>
        </w:rPr>
        <w:t xml:space="preserve"> just a mention of the existence of supervisors</w:t>
      </w:r>
      <w:r w:rsidRPr="00EA0DC7">
        <w:rPr>
          <w:rFonts w:eastAsia="Calibri" w:cs="Arial"/>
          <w:i/>
          <w:szCs w:val="24"/>
          <w:lang w:eastAsia="en-US"/>
        </w:rPr>
        <w:t xml:space="preserve"> (people; p)</w:t>
      </w:r>
    </w:p>
    <w:p w14:paraId="37FBE275"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During this stage, it is helpful for school supervisors to primarily assume both a teaching and a counseling role.</w:t>
      </w:r>
      <w:r w:rsidRPr="00EA0DC7">
        <w:rPr>
          <w:rFonts w:eastAsia="Calibri" w:cs="Arial"/>
          <w:szCs w:val="24"/>
          <w:lang w:eastAsia="en-US"/>
        </w:rPr>
        <w:t>’ (Nelson &amp; Johnson, 1999, p. 94)</w:t>
      </w:r>
    </w:p>
    <w:p w14:paraId="552B842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lastRenderedPageBreak/>
        <w:t>Supervisor's personal characteristics</w:t>
      </w:r>
      <w:r w:rsidRPr="00EA0DC7">
        <w:rPr>
          <w:rFonts w:eastAsia="Calibri" w:cs="Arial"/>
          <w:szCs w:val="24"/>
          <w:lang w:eastAsia="en-US"/>
        </w:rPr>
        <w:t xml:space="preserve"> – any mention of any personal characteristics that are be attributed to the supervisor e.g. personality, gender etc. </w:t>
      </w:r>
      <w:r w:rsidRPr="00EA0DC7">
        <w:rPr>
          <w:rFonts w:eastAsia="Calibri" w:cs="Arial"/>
          <w:i/>
          <w:szCs w:val="24"/>
          <w:lang w:eastAsia="en-US"/>
        </w:rPr>
        <w:t>(aspects of the supervisor; s)</w:t>
      </w:r>
    </w:p>
    <w:p w14:paraId="01790032" w14:textId="00AA3D10"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During the supervision process, new supervisors can be expected to </w:t>
      </w:r>
      <w:r w:rsidR="00BA5FB0" w:rsidRPr="00EA0DC7">
        <w:rPr>
          <w:rFonts w:eastAsia="Calibri" w:cs="Arial"/>
          <w:i/>
          <w:szCs w:val="24"/>
          <w:lang w:eastAsia="en-US"/>
        </w:rPr>
        <w:t>emotionally</w:t>
      </w:r>
      <w:r w:rsidRPr="00EA0DC7">
        <w:rPr>
          <w:rFonts w:eastAsia="Calibri" w:cs="Arial"/>
          <w:i/>
          <w:szCs w:val="24"/>
          <w:lang w:eastAsia="en-US"/>
        </w:rPr>
        <w:t xml:space="preserve"> manifest tentativeness, insecurity, and ambivalence.</w:t>
      </w:r>
      <w:r w:rsidRPr="00EA0DC7">
        <w:rPr>
          <w:rFonts w:eastAsia="Calibri" w:cs="Arial"/>
          <w:szCs w:val="24"/>
          <w:lang w:eastAsia="en-US"/>
        </w:rPr>
        <w:t>’ (Watkins, 1990, p. 556)</w:t>
      </w:r>
    </w:p>
    <w:p w14:paraId="1A092A99"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Supervisor gender</w:t>
      </w:r>
      <w:r w:rsidRPr="00EA0DC7">
        <w:rPr>
          <w:rFonts w:eastAsia="Calibri" w:cs="Arial"/>
          <w:szCs w:val="24"/>
          <w:lang w:eastAsia="en-US"/>
        </w:rPr>
        <w:t xml:space="preserve"> – any mention of the gender of the supervisor </w:t>
      </w:r>
      <w:r w:rsidRPr="00EA0DC7">
        <w:rPr>
          <w:rFonts w:eastAsia="Calibri" w:cs="Arial"/>
          <w:i/>
          <w:szCs w:val="24"/>
          <w:lang w:eastAsia="en-US"/>
        </w:rPr>
        <w:t>(s)</w:t>
      </w:r>
    </w:p>
    <w:p w14:paraId="6CB3FE68" w14:textId="2646BB81"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When the supervisor and supervisee are experiencing difficulties due to sex or ethnic differences, the supervisor may choose to</w:t>
      </w:r>
      <w:r w:rsidR="00BA5FB0" w:rsidRPr="00EA0DC7">
        <w:rPr>
          <w:rFonts w:eastAsia="Calibri" w:cs="Arial"/>
          <w:i/>
          <w:szCs w:val="24"/>
          <w:lang w:eastAsia="en-US"/>
        </w:rPr>
        <w:t xml:space="preserve"> provide live or symbolic model</w:t>
      </w:r>
      <w:r w:rsidRPr="00EA0DC7">
        <w:rPr>
          <w:rFonts w:eastAsia="Calibri" w:cs="Arial"/>
          <w:i/>
          <w:szCs w:val="24"/>
          <w:lang w:eastAsia="en-US"/>
        </w:rPr>
        <w:t>s</w:t>
      </w:r>
      <w:r w:rsidR="00BA5FB0" w:rsidRPr="00EA0DC7">
        <w:rPr>
          <w:rFonts w:eastAsia="Calibri" w:cs="Arial"/>
          <w:i/>
          <w:szCs w:val="24"/>
          <w:lang w:eastAsia="en-US"/>
        </w:rPr>
        <w:t xml:space="preserve"> </w:t>
      </w:r>
      <w:r w:rsidRPr="00EA0DC7">
        <w:rPr>
          <w:rFonts w:eastAsia="Calibri" w:cs="Arial"/>
          <w:i/>
          <w:szCs w:val="24"/>
          <w:lang w:eastAsia="en-US"/>
        </w:rPr>
        <w:t>of the same sex or ethnicity as that of the supervisee if it appears that such a procedure would enhance supervisee effectiveness.</w:t>
      </w:r>
      <w:r w:rsidRPr="00EA0DC7">
        <w:rPr>
          <w:rFonts w:eastAsia="Calibri" w:cs="Arial"/>
          <w:szCs w:val="24"/>
          <w:lang w:eastAsia="en-US"/>
        </w:rPr>
        <w:t>’ (Hosford &amp; Barmann, 1983, p. 54)</w:t>
      </w:r>
    </w:p>
    <w:p w14:paraId="5033C46B"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ethnicity/culture</w:t>
      </w:r>
      <w:r w:rsidRPr="00EA0DC7">
        <w:rPr>
          <w:rFonts w:eastAsia="Calibri" w:cs="Arial"/>
          <w:szCs w:val="24"/>
          <w:lang w:eastAsia="en-US"/>
        </w:rPr>
        <w:t xml:space="preserve"> – any mention of the ethnicity/culture of the supervisor </w:t>
      </w:r>
      <w:r w:rsidRPr="00EA0DC7">
        <w:rPr>
          <w:rFonts w:eastAsia="Calibri" w:cs="Arial"/>
          <w:i/>
          <w:szCs w:val="24"/>
          <w:lang w:eastAsia="en-US"/>
        </w:rPr>
        <w:t>(s)</w:t>
      </w:r>
    </w:p>
    <w:p w14:paraId="6D031D00"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supervisor brings to the relationship his or her way of viewing human behaviour, interpersonal relations, and social institutions that is largely influenced by cultural socialization.</w:t>
      </w:r>
      <w:r w:rsidRPr="00EA0DC7">
        <w:rPr>
          <w:rFonts w:eastAsia="Calibri" w:cs="Arial"/>
          <w:szCs w:val="24"/>
          <w:lang w:eastAsia="en-US"/>
        </w:rPr>
        <w:t>’ (Holloway, 1995, p. 74)</w:t>
      </w:r>
    </w:p>
    <w:p w14:paraId="2B7C8AED"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anxiety</w:t>
      </w:r>
      <w:r w:rsidRPr="00EA0DC7">
        <w:rPr>
          <w:rFonts w:eastAsia="Calibri" w:cs="Arial"/>
          <w:szCs w:val="24"/>
          <w:lang w:eastAsia="en-US"/>
        </w:rPr>
        <w:t xml:space="preserve"> – any mention of the anxiety of the supervisor </w:t>
      </w:r>
      <w:r w:rsidRPr="00EA0DC7">
        <w:rPr>
          <w:rFonts w:eastAsia="Calibri" w:cs="Arial"/>
          <w:i/>
          <w:szCs w:val="24"/>
          <w:lang w:eastAsia="en-US"/>
        </w:rPr>
        <w:t>(s)</w:t>
      </w:r>
    </w:p>
    <w:p w14:paraId="63EA7EB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supervisor who functions in a relationship defined by mutual self-disclosure and mutual generation and processing of data makes himself vulnerable, and that vulnerability evokes anxiety.</w:t>
      </w:r>
      <w:r w:rsidRPr="00EA0DC7">
        <w:rPr>
          <w:rFonts w:eastAsia="Calibri" w:cs="Arial"/>
          <w:szCs w:val="24"/>
          <w:lang w:eastAsia="en-US"/>
        </w:rPr>
        <w:t>’ (Frawley-O’Dea &amp; Sarnat, 2001, p. 104)</w:t>
      </w:r>
    </w:p>
    <w:p w14:paraId="360CEDEE"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lastRenderedPageBreak/>
        <w:t>Development of supervisor</w:t>
      </w:r>
      <w:r w:rsidRPr="00EA0DC7">
        <w:rPr>
          <w:rFonts w:eastAsia="Calibri" w:cs="Arial"/>
          <w:szCs w:val="24"/>
          <w:lang w:eastAsia="en-US"/>
        </w:rPr>
        <w:t xml:space="preserve"> – any mention of supervisor development </w:t>
      </w:r>
      <w:r w:rsidRPr="00EA0DC7">
        <w:rPr>
          <w:rFonts w:eastAsia="Calibri" w:cs="Arial"/>
          <w:i/>
          <w:szCs w:val="24"/>
          <w:lang w:eastAsia="en-US"/>
        </w:rPr>
        <w:t>(s)</w:t>
      </w:r>
    </w:p>
    <w:p w14:paraId="29109210"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Four stages of psychotherapy supervisor development are proposed.</w:t>
      </w:r>
      <w:r w:rsidRPr="00EA0DC7">
        <w:rPr>
          <w:rFonts w:eastAsia="Calibri" w:cs="Arial"/>
          <w:szCs w:val="24"/>
          <w:lang w:eastAsia="en-US"/>
        </w:rPr>
        <w:t>’ (Watkins, 1990, p. 554)</w:t>
      </w:r>
    </w:p>
    <w:p w14:paraId="7BC0380A"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as authority figure/expert</w:t>
      </w:r>
      <w:r w:rsidRPr="00EA0DC7">
        <w:rPr>
          <w:rFonts w:eastAsia="Calibri" w:cs="Arial"/>
          <w:szCs w:val="24"/>
          <w:lang w:eastAsia="en-US"/>
        </w:rPr>
        <w:t xml:space="preserve"> – mention of the supervisor being superior to the supervisee </w:t>
      </w:r>
      <w:r w:rsidRPr="00EA0DC7">
        <w:rPr>
          <w:rFonts w:eastAsia="Calibri" w:cs="Arial"/>
          <w:i/>
          <w:szCs w:val="24"/>
          <w:lang w:eastAsia="en-US"/>
        </w:rPr>
        <w:t>(s)</w:t>
      </w:r>
    </w:p>
    <w:p w14:paraId="1832DBB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Because the trainee is in a position of relatively lesser evaluation and expert power, the supervisor has a responsibility to ensure that the trainee is clearly informed of the evaluative structure of the relationship, the expectancies and goals for supervision, the criteria for evaluation, and the limits of confidentiality in supervision.</w:t>
      </w:r>
      <w:r w:rsidRPr="00EA0DC7">
        <w:rPr>
          <w:rFonts w:eastAsia="Calibri" w:cs="Arial"/>
          <w:szCs w:val="24"/>
          <w:lang w:eastAsia="en-US"/>
        </w:rPr>
        <w:t>’ (Holloway, 1995, p. 52)</w:t>
      </w:r>
    </w:p>
    <w:p w14:paraId="722477C3" w14:textId="407BC8DF"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Focus on supervisee</w:t>
      </w:r>
      <w:r w:rsidRPr="00EA0DC7">
        <w:rPr>
          <w:rFonts w:eastAsia="Calibri" w:cs="Arial"/>
          <w:szCs w:val="24"/>
          <w:lang w:eastAsia="en-US"/>
        </w:rPr>
        <w:t xml:space="preserve"> – any specific focus on the supervisee e.g. their characteristi</w:t>
      </w:r>
      <w:r w:rsidR="00D66C4F" w:rsidRPr="00EA0DC7">
        <w:rPr>
          <w:rFonts w:eastAsia="Calibri" w:cs="Arial"/>
          <w:szCs w:val="24"/>
          <w:lang w:eastAsia="en-US"/>
        </w:rPr>
        <w:t xml:space="preserve">cs or their responsibilities </w:t>
      </w:r>
      <w:r w:rsidR="00D66C4F" w:rsidRPr="00EA0DC7">
        <w:rPr>
          <w:rFonts w:eastAsia="Calibri" w:cs="Arial"/>
          <w:szCs w:val="24"/>
          <w:u w:val="single"/>
          <w:lang w:eastAsia="en-US"/>
        </w:rPr>
        <w:t>not</w:t>
      </w:r>
      <w:r w:rsidRPr="00EA0DC7">
        <w:rPr>
          <w:rFonts w:eastAsia="Calibri" w:cs="Arial"/>
          <w:szCs w:val="24"/>
          <w:lang w:eastAsia="en-US"/>
        </w:rPr>
        <w:t xml:space="preserve"> just a mention of the existence of supervisees </w:t>
      </w:r>
      <w:r w:rsidRPr="00EA0DC7">
        <w:rPr>
          <w:rFonts w:eastAsia="Calibri" w:cs="Arial"/>
          <w:i/>
          <w:szCs w:val="24"/>
          <w:lang w:eastAsia="en-US"/>
        </w:rPr>
        <w:t>(p)</w:t>
      </w:r>
    </w:p>
    <w:p w14:paraId="7C136414"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In this mode the focus of the supervision is on the internal processes of the supervisee…</w:t>
      </w:r>
      <w:r w:rsidRPr="00EA0DC7">
        <w:rPr>
          <w:rFonts w:eastAsia="Calibri" w:cs="Arial"/>
          <w:szCs w:val="24"/>
          <w:lang w:eastAsia="en-US"/>
        </w:rPr>
        <w:t>’ (Hawkins &amp; Shohet, 2012, p. 95)</w:t>
      </w:r>
    </w:p>
    <w:p w14:paraId="0EF3575E"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 xml:space="preserve">Supervisee’s personal characteristics </w:t>
      </w:r>
      <w:r w:rsidRPr="00EA0DC7">
        <w:rPr>
          <w:rFonts w:eastAsia="Calibri" w:cs="Arial"/>
          <w:szCs w:val="24"/>
          <w:lang w:eastAsia="en-US"/>
        </w:rPr>
        <w:t xml:space="preserve">– any mention of any personal characteristics that are attributed to the supervisee e.g. personality, gender etc. </w:t>
      </w:r>
      <w:r w:rsidRPr="00EA0DC7">
        <w:rPr>
          <w:rFonts w:eastAsia="Calibri" w:cs="Arial"/>
          <w:i/>
          <w:szCs w:val="24"/>
          <w:lang w:eastAsia="en-US"/>
        </w:rPr>
        <w:t>(aspects of the supervisee; s’ee)</w:t>
      </w:r>
    </w:p>
    <w:p w14:paraId="286B6D9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Novice counselors are plagued by guilt, anxiety, perfectionism, confusion, and anger.</w:t>
      </w:r>
      <w:r w:rsidRPr="00EA0DC7">
        <w:rPr>
          <w:rFonts w:eastAsia="Calibri" w:cs="Arial"/>
          <w:szCs w:val="24"/>
          <w:lang w:eastAsia="en-US"/>
        </w:rPr>
        <w:t>’ (Ward &amp; House, 1998, p. 26)</w:t>
      </w:r>
    </w:p>
    <w:p w14:paraId="3C591047"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gender</w:t>
      </w:r>
      <w:r w:rsidRPr="00EA0DC7">
        <w:rPr>
          <w:rFonts w:eastAsia="Calibri" w:cs="Arial"/>
          <w:szCs w:val="24"/>
          <w:lang w:eastAsia="en-US"/>
        </w:rPr>
        <w:t xml:space="preserve"> – any mention of the gender of the supervisee </w:t>
      </w:r>
      <w:r w:rsidRPr="00EA0DC7">
        <w:rPr>
          <w:rFonts w:eastAsia="Calibri" w:cs="Arial"/>
          <w:i/>
          <w:szCs w:val="24"/>
          <w:lang w:eastAsia="en-US"/>
        </w:rPr>
        <w:t>(s’ee)</w:t>
      </w:r>
    </w:p>
    <w:p w14:paraId="3FD25161"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One of the initial challenges of family systems work, particularly for female trainees is the ability to function flexibly in an authoritative, instrumental “take charge” manner</w:t>
      </w:r>
      <w:r w:rsidRPr="00EA0DC7">
        <w:rPr>
          <w:rFonts w:eastAsia="Calibri" w:cs="Arial"/>
          <w:szCs w:val="24"/>
          <w:lang w:eastAsia="en-US"/>
        </w:rPr>
        <w:t>.’ (Ault-Riché, 1988, p. 182)</w:t>
      </w:r>
    </w:p>
    <w:p w14:paraId="0288CB10"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ethnicity/culture</w:t>
      </w:r>
      <w:r w:rsidRPr="00EA0DC7">
        <w:rPr>
          <w:rFonts w:eastAsia="Calibri" w:cs="Arial"/>
          <w:szCs w:val="24"/>
          <w:lang w:eastAsia="en-US"/>
        </w:rPr>
        <w:t xml:space="preserve"> - any mention of the ethnicity/culture of the supervisee </w:t>
      </w:r>
      <w:r w:rsidRPr="00EA0DC7">
        <w:rPr>
          <w:rFonts w:eastAsia="Calibri" w:cs="Arial"/>
          <w:i/>
          <w:szCs w:val="24"/>
          <w:lang w:eastAsia="en-US"/>
        </w:rPr>
        <w:t>(s’ee)</w:t>
      </w:r>
    </w:p>
    <w:p w14:paraId="54E2C99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Since many minority supervisees have experiences with prejudice and racism, they are usually more sensitive to diversity issues and problems than majority supervisors.</w:t>
      </w:r>
      <w:r w:rsidRPr="00EA0DC7">
        <w:rPr>
          <w:rFonts w:eastAsia="Calibri" w:cs="Arial"/>
          <w:szCs w:val="24"/>
          <w:lang w:eastAsia="en-US"/>
        </w:rPr>
        <w:t>’ (Haber, 1996, p. 59)</w:t>
      </w:r>
    </w:p>
    <w:p w14:paraId="1B5CF9E8"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anxiety</w:t>
      </w:r>
      <w:r w:rsidRPr="00EA0DC7">
        <w:rPr>
          <w:rFonts w:eastAsia="Calibri" w:cs="Arial"/>
          <w:szCs w:val="24"/>
          <w:lang w:eastAsia="en-US"/>
        </w:rPr>
        <w:t xml:space="preserve"> – any mention of supervisee development </w:t>
      </w:r>
      <w:r w:rsidRPr="00EA0DC7">
        <w:rPr>
          <w:rFonts w:eastAsia="Calibri" w:cs="Arial"/>
          <w:i/>
          <w:szCs w:val="24"/>
          <w:lang w:eastAsia="en-US"/>
        </w:rPr>
        <w:t>(s’ee)</w:t>
      </w:r>
    </w:p>
    <w:p w14:paraId="58EC0568"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Student therapists are very anxious and feel that since they are </w:t>
      </w:r>
      <w:r w:rsidRPr="00EA0DC7">
        <w:rPr>
          <w:rFonts w:eastAsia="Calibri" w:cs="Arial"/>
          <w:szCs w:val="24"/>
          <w:lang w:eastAsia="en-US"/>
        </w:rPr>
        <w:t>only</w:t>
      </w:r>
      <w:r w:rsidRPr="00EA0DC7">
        <w:rPr>
          <w:rFonts w:eastAsia="Calibri" w:cs="Arial"/>
          <w:i/>
          <w:szCs w:val="24"/>
          <w:lang w:eastAsia="en-US"/>
        </w:rPr>
        <w:t xml:space="preserve"> interns they do not possess “what it takes” to be effective therapists.</w:t>
      </w:r>
      <w:r w:rsidRPr="00EA0DC7">
        <w:rPr>
          <w:rFonts w:eastAsia="Calibri" w:cs="Arial"/>
          <w:szCs w:val="24"/>
          <w:lang w:eastAsia="en-US"/>
        </w:rPr>
        <w:t>’ (Yogev, 1982, p.237)</w:t>
      </w:r>
    </w:p>
    <w:p w14:paraId="71985599"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motivation</w:t>
      </w:r>
      <w:r w:rsidRPr="00EA0DC7">
        <w:rPr>
          <w:rFonts w:eastAsia="Calibri" w:cs="Arial"/>
          <w:szCs w:val="24"/>
          <w:lang w:eastAsia="en-US"/>
        </w:rPr>
        <w:t xml:space="preserve"> – any mention of supervisee motivation </w:t>
      </w:r>
      <w:r w:rsidRPr="00EA0DC7">
        <w:rPr>
          <w:rFonts w:eastAsia="Calibri" w:cs="Arial"/>
          <w:i/>
          <w:szCs w:val="24"/>
          <w:lang w:eastAsia="en-US"/>
        </w:rPr>
        <w:t>(s’ee)</w:t>
      </w:r>
    </w:p>
    <w:p w14:paraId="7C18C138"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This period is characterized also by vast </w:t>
      </w:r>
      <w:r w:rsidRPr="00EA0DC7">
        <w:rPr>
          <w:rFonts w:eastAsia="Calibri" w:cs="Arial"/>
          <w:szCs w:val="24"/>
          <w:lang w:eastAsia="en-US"/>
        </w:rPr>
        <w:t>fluctuation in motivation</w:t>
      </w:r>
      <w:r w:rsidRPr="00EA0DC7">
        <w:rPr>
          <w:rFonts w:eastAsia="Calibri" w:cs="Arial"/>
          <w:i/>
          <w:szCs w:val="24"/>
          <w:lang w:eastAsia="en-US"/>
        </w:rPr>
        <w:t>, from deep commitment to grave misgivings.</w:t>
      </w:r>
      <w:r w:rsidRPr="00EA0DC7">
        <w:rPr>
          <w:rFonts w:eastAsia="Calibri" w:cs="Arial"/>
          <w:szCs w:val="24"/>
          <w:lang w:eastAsia="en-US"/>
        </w:rPr>
        <w:t>’ (Hogan, 1964, p. 140)</w:t>
      </w:r>
    </w:p>
    <w:p w14:paraId="5CB97E3F"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autonomy vs dependency</w:t>
      </w:r>
      <w:r w:rsidRPr="00EA0DC7">
        <w:rPr>
          <w:rFonts w:eastAsia="Calibri" w:cs="Arial"/>
          <w:szCs w:val="24"/>
          <w:lang w:eastAsia="en-US"/>
        </w:rPr>
        <w:t xml:space="preserve"> – any mention of supervisee autonomy and dependency </w:t>
      </w:r>
      <w:r w:rsidRPr="00EA0DC7">
        <w:rPr>
          <w:rFonts w:eastAsia="Calibri" w:cs="Arial"/>
          <w:i/>
          <w:szCs w:val="24"/>
          <w:lang w:eastAsia="en-US"/>
        </w:rPr>
        <w:t>(s’ee)</w:t>
      </w:r>
    </w:p>
    <w:p w14:paraId="532D2F4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supervisee may feel that the supervisor is an intrusion or a threat to his or her autonomy.</w:t>
      </w:r>
      <w:r w:rsidRPr="00EA0DC7">
        <w:rPr>
          <w:rFonts w:eastAsia="Calibri" w:cs="Arial"/>
          <w:szCs w:val="24"/>
          <w:lang w:eastAsia="en-US"/>
        </w:rPr>
        <w:t>’ (Loganbill, Hardy, &amp; Delworth, 1982, p. 22)</w:t>
      </w:r>
    </w:p>
    <w:p w14:paraId="077C4C7B"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awareness of self and/or others</w:t>
      </w:r>
      <w:r w:rsidRPr="00EA0DC7">
        <w:rPr>
          <w:rFonts w:eastAsia="Calibri" w:cs="Arial"/>
          <w:szCs w:val="24"/>
          <w:lang w:eastAsia="en-US"/>
        </w:rPr>
        <w:t xml:space="preserve"> – any mention of supervisee self-awareness and/or awareness of others </w:t>
      </w:r>
      <w:r w:rsidRPr="00EA0DC7">
        <w:rPr>
          <w:rFonts w:eastAsia="Calibri" w:cs="Arial"/>
          <w:i/>
          <w:szCs w:val="24"/>
          <w:lang w:eastAsia="en-US"/>
        </w:rPr>
        <w:t>(s’ee)</w:t>
      </w:r>
    </w:p>
    <w:p w14:paraId="468EC44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Awareness of both self and others is highly limited in the typical Level 1 supervisee</w:t>
      </w:r>
      <w:r w:rsidRPr="00EA0DC7">
        <w:rPr>
          <w:rFonts w:eastAsia="Calibri" w:cs="Arial"/>
          <w:szCs w:val="24"/>
          <w:lang w:eastAsia="en-US"/>
        </w:rPr>
        <w:t>.’ (Stoltenberg &amp; Delworth, pg. 53)</w:t>
      </w:r>
    </w:p>
    <w:p w14:paraId="6E0DB1F6"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Development of supervisee</w:t>
      </w:r>
      <w:r w:rsidRPr="00EA0DC7">
        <w:rPr>
          <w:rFonts w:eastAsia="Calibri" w:cs="Arial"/>
          <w:szCs w:val="24"/>
          <w:lang w:eastAsia="en-US"/>
        </w:rPr>
        <w:t xml:space="preserve"> – any mention of supervisee development </w:t>
      </w:r>
      <w:r w:rsidRPr="00EA0DC7">
        <w:rPr>
          <w:rFonts w:eastAsia="Calibri" w:cs="Arial"/>
          <w:i/>
          <w:szCs w:val="24"/>
          <w:lang w:eastAsia="en-US"/>
        </w:rPr>
        <w:t>(s’ee)</w:t>
      </w:r>
    </w:p>
    <w:p w14:paraId="1E710B1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Distinct stages in the development of the counsellor/therapist exist.</w:t>
      </w:r>
      <w:r w:rsidRPr="00EA0DC7">
        <w:rPr>
          <w:rFonts w:eastAsia="Calibri" w:cs="Arial"/>
          <w:szCs w:val="24"/>
          <w:lang w:eastAsia="en-US"/>
        </w:rPr>
        <w:t>’ (Loganbill, Hardy, &amp; Delworth, 1982, p. 15)</w:t>
      </w:r>
    </w:p>
    <w:p w14:paraId="71C3AB1A"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individual learning styles</w:t>
      </w:r>
      <w:r w:rsidRPr="00EA0DC7">
        <w:rPr>
          <w:rFonts w:eastAsia="Calibri" w:cs="Arial"/>
          <w:szCs w:val="24"/>
          <w:lang w:eastAsia="en-US"/>
        </w:rPr>
        <w:t xml:space="preserve"> – mention of supervisees having individual learning styles </w:t>
      </w:r>
      <w:r w:rsidRPr="00EA0DC7">
        <w:rPr>
          <w:rFonts w:eastAsia="Calibri" w:cs="Arial"/>
          <w:i/>
          <w:szCs w:val="24"/>
          <w:lang w:eastAsia="en-US"/>
        </w:rPr>
        <w:t>(s’ee)</w:t>
      </w:r>
    </w:p>
    <w:p w14:paraId="7A87E94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It is worthwhile reassessing your own leaning needs and style from time to time</w:t>
      </w:r>
      <w:r w:rsidRPr="00EA0DC7">
        <w:rPr>
          <w:rFonts w:eastAsia="Calibri" w:cs="Arial"/>
          <w:szCs w:val="24"/>
          <w:lang w:eastAsia="en-US"/>
        </w:rPr>
        <w:t>.’ (Inskipp &amp; Proctor, pg. 26)</w:t>
      </w:r>
    </w:p>
    <w:p w14:paraId="4B0DF554" w14:textId="04B1139F"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Focus on client</w:t>
      </w:r>
      <w:r w:rsidRPr="00EA0DC7">
        <w:rPr>
          <w:rFonts w:eastAsia="Calibri" w:cs="Arial"/>
          <w:szCs w:val="24"/>
          <w:lang w:eastAsia="en-US"/>
        </w:rPr>
        <w:t xml:space="preserve"> – any specific focus on the client e.g. their characteristi</w:t>
      </w:r>
      <w:r w:rsidR="00D66C4F" w:rsidRPr="00EA0DC7">
        <w:rPr>
          <w:rFonts w:eastAsia="Calibri" w:cs="Arial"/>
          <w:szCs w:val="24"/>
          <w:lang w:eastAsia="en-US"/>
        </w:rPr>
        <w:t xml:space="preserve">cs or their responsibilities </w:t>
      </w:r>
      <w:r w:rsidR="00D66C4F" w:rsidRPr="00EA0DC7">
        <w:rPr>
          <w:rFonts w:eastAsia="Calibri" w:cs="Arial"/>
          <w:szCs w:val="24"/>
          <w:u w:val="single"/>
          <w:lang w:eastAsia="en-US"/>
        </w:rPr>
        <w:t>not</w:t>
      </w:r>
      <w:r w:rsidRPr="00EA0DC7">
        <w:rPr>
          <w:rFonts w:eastAsia="Calibri" w:cs="Arial"/>
          <w:szCs w:val="24"/>
          <w:lang w:eastAsia="en-US"/>
        </w:rPr>
        <w:t xml:space="preserve"> just a mention of the existence of clients </w:t>
      </w:r>
      <w:r w:rsidRPr="00EA0DC7">
        <w:rPr>
          <w:rFonts w:eastAsia="Calibri" w:cs="Arial"/>
          <w:i/>
          <w:szCs w:val="24"/>
          <w:lang w:eastAsia="en-US"/>
        </w:rPr>
        <w:t>(p)</w:t>
      </w:r>
    </w:p>
    <w:p w14:paraId="718986E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This theme involves the ability to view the client as a person, and to appreciate differences in backgrounds, values, and physical appearance.</w:t>
      </w:r>
      <w:r w:rsidRPr="00EA0DC7">
        <w:rPr>
          <w:rFonts w:eastAsia="Calibri" w:cs="Arial"/>
          <w:szCs w:val="24"/>
          <w:lang w:eastAsia="en-US"/>
        </w:rPr>
        <w:t>’ (Loganbill, Hardy, &amp; Delworth, 1982, p. 23)</w:t>
      </w:r>
    </w:p>
    <w:p w14:paraId="440A5C7C" w14:textId="77777777" w:rsidR="003F0CDB" w:rsidRPr="00EA0DC7" w:rsidRDefault="003F0CDB" w:rsidP="003F0CDB">
      <w:pPr>
        <w:numPr>
          <w:ilvl w:val="0"/>
          <w:numId w:val="7"/>
        </w:numPr>
        <w:spacing w:after="160"/>
        <w:contextualSpacing/>
        <w:rPr>
          <w:rFonts w:eastAsia="Calibri" w:cs="Arial"/>
          <w:b/>
          <w:szCs w:val="24"/>
          <w:lang w:eastAsia="en-US"/>
        </w:rPr>
      </w:pPr>
      <w:r w:rsidRPr="00EA0DC7">
        <w:rPr>
          <w:rFonts w:eastAsia="Calibri" w:cs="Arial"/>
          <w:b/>
          <w:szCs w:val="24"/>
          <w:lang w:eastAsia="en-US"/>
        </w:rPr>
        <w:t xml:space="preserve">Client’s personal characteristics - </w:t>
      </w:r>
      <w:r w:rsidRPr="00EA0DC7">
        <w:rPr>
          <w:rFonts w:eastAsia="Calibri" w:cs="Arial"/>
          <w:szCs w:val="24"/>
          <w:lang w:eastAsia="en-US"/>
        </w:rPr>
        <w:t>any mention of any personal characteristics that are attributed to the client e.g. personality, gender etc.</w:t>
      </w:r>
    </w:p>
    <w:p w14:paraId="5C8ADCF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This domain includes both an awareness of sexual, racial, and cultural difference among clients and diagnostic classifications of client disorders.</w:t>
      </w:r>
      <w:r w:rsidRPr="00EA0DC7">
        <w:rPr>
          <w:rFonts w:eastAsia="Calibri" w:cs="Arial"/>
          <w:szCs w:val="24"/>
          <w:lang w:eastAsia="en-US"/>
        </w:rPr>
        <w:t>’ (Stoltenberg &amp; Delworth, pg. 57)</w:t>
      </w:r>
    </w:p>
    <w:p w14:paraId="564C8484" w14:textId="77777777" w:rsidR="003F0CDB" w:rsidRPr="00EA0DC7" w:rsidRDefault="003F0CDB" w:rsidP="003F0CDB">
      <w:pPr>
        <w:numPr>
          <w:ilvl w:val="0"/>
          <w:numId w:val="7"/>
        </w:numPr>
        <w:spacing w:after="160"/>
        <w:contextualSpacing/>
        <w:rPr>
          <w:rFonts w:eastAsia="Calibri" w:cs="Arial"/>
          <w:b/>
          <w:szCs w:val="24"/>
          <w:lang w:eastAsia="en-US"/>
        </w:rPr>
      </w:pPr>
      <w:r w:rsidRPr="00EA0DC7">
        <w:rPr>
          <w:rFonts w:eastAsia="Calibri" w:cs="Arial"/>
          <w:b/>
          <w:szCs w:val="24"/>
          <w:lang w:eastAsia="en-US"/>
        </w:rPr>
        <w:t xml:space="preserve">Client ethnicity/culture - </w:t>
      </w:r>
      <w:r w:rsidRPr="00EA0DC7">
        <w:rPr>
          <w:rFonts w:eastAsia="Calibri" w:cs="Arial"/>
          <w:szCs w:val="24"/>
          <w:lang w:eastAsia="en-US"/>
        </w:rPr>
        <w:t>any mention of the ethnicity/culture of the client</w:t>
      </w:r>
    </w:p>
    <w:p w14:paraId="5084950B"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An increasing awareness of individual differences is incorporated in more complex client conceptualizations. Greater awareness of cultural and gender differences influences decision regarding interventions and diagnosis.</w:t>
      </w:r>
      <w:r w:rsidRPr="00EA0DC7">
        <w:rPr>
          <w:rFonts w:eastAsia="Calibri" w:cs="Arial"/>
          <w:szCs w:val="24"/>
          <w:lang w:eastAsia="en-US"/>
        </w:rPr>
        <w:t>’ (Stoltenberg &amp; Delworth, pg. 77)</w:t>
      </w:r>
    </w:p>
    <w:p w14:paraId="09569FB7" w14:textId="77777777" w:rsidR="003F0CDB" w:rsidRPr="00EA0DC7" w:rsidRDefault="003F0CDB" w:rsidP="003F0CDB">
      <w:pPr>
        <w:numPr>
          <w:ilvl w:val="0"/>
          <w:numId w:val="7"/>
        </w:numPr>
        <w:spacing w:after="160"/>
        <w:contextualSpacing/>
        <w:rPr>
          <w:rFonts w:eastAsia="Calibri" w:cs="Arial"/>
          <w:b/>
          <w:szCs w:val="24"/>
          <w:lang w:eastAsia="en-US"/>
        </w:rPr>
      </w:pPr>
      <w:r w:rsidRPr="00EA0DC7">
        <w:rPr>
          <w:rFonts w:eastAsia="Calibri" w:cs="Arial"/>
          <w:b/>
          <w:szCs w:val="24"/>
          <w:lang w:eastAsia="en-US"/>
        </w:rPr>
        <w:t xml:space="preserve">Client gender - </w:t>
      </w:r>
      <w:r w:rsidRPr="00EA0DC7">
        <w:rPr>
          <w:rFonts w:eastAsia="Calibri" w:cs="Arial"/>
          <w:szCs w:val="24"/>
          <w:lang w:eastAsia="en-US"/>
        </w:rPr>
        <w:t>any mention of the gender of the client</w:t>
      </w:r>
    </w:p>
    <w:p w14:paraId="5B39E55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An increasing awareness of individual differences is incorporated in more complex client conceptualizations. Greater awareness of cultural and gender differences influences decision regarding interventions and diagnosis.</w:t>
      </w:r>
      <w:r w:rsidRPr="00EA0DC7">
        <w:rPr>
          <w:rFonts w:eastAsia="Calibri" w:cs="Arial"/>
          <w:szCs w:val="24"/>
          <w:lang w:eastAsia="en-US"/>
        </w:rPr>
        <w:t>’ (Stoltenberg &amp; Delworth, pg. 77)</w:t>
      </w:r>
    </w:p>
    <w:p w14:paraId="57209E89"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 xml:space="preserve">Client expectations </w:t>
      </w:r>
      <w:r w:rsidRPr="00EA0DC7">
        <w:rPr>
          <w:rFonts w:eastAsia="Calibri" w:cs="Arial"/>
          <w:szCs w:val="24"/>
          <w:lang w:eastAsia="en-US"/>
        </w:rPr>
        <w:t>– any mention of the client’s expectations</w:t>
      </w:r>
    </w:p>
    <w:p w14:paraId="196EDCB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Expanding the range of therapy skills and roles to match the client's problems and role expectations.</w:t>
      </w:r>
      <w:r w:rsidRPr="00EA0DC7">
        <w:rPr>
          <w:rFonts w:eastAsia="Calibri" w:cs="Arial"/>
          <w:szCs w:val="24"/>
          <w:lang w:eastAsia="en-US"/>
        </w:rPr>
        <w:t>’ (Grater, 1985, pg. 605)</w:t>
      </w:r>
    </w:p>
    <w:p w14:paraId="4D1718E0"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Development of client</w:t>
      </w:r>
      <w:r w:rsidRPr="00EA0DC7">
        <w:rPr>
          <w:rFonts w:eastAsia="Calibri" w:cs="Arial"/>
          <w:szCs w:val="24"/>
          <w:lang w:eastAsia="en-US"/>
        </w:rPr>
        <w:t xml:space="preserve"> – any mention of client development </w:t>
      </w:r>
      <w:r w:rsidRPr="00EA0DC7">
        <w:rPr>
          <w:rFonts w:eastAsia="Calibri" w:cs="Arial"/>
          <w:i/>
          <w:szCs w:val="24"/>
          <w:lang w:eastAsia="en-US"/>
        </w:rPr>
        <w:t>(aspects of the client; c)</w:t>
      </w:r>
    </w:p>
    <w:p w14:paraId="0A221787"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patient, who provides the primary source of material and/or stimulation for learning in psychotherapy supervision, also experiences stages of development.</w:t>
      </w:r>
      <w:r w:rsidRPr="00EA0DC7">
        <w:rPr>
          <w:rFonts w:eastAsia="Calibri" w:cs="Arial"/>
          <w:szCs w:val="24"/>
          <w:lang w:eastAsia="en-US"/>
        </w:rPr>
        <w:t>’ (Rodenhauser, 1994, pg. 6)</w:t>
      </w:r>
    </w:p>
    <w:p w14:paraId="58ED5AD3"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Relationship between supervisor and supervisee</w:t>
      </w:r>
      <w:r w:rsidRPr="00EA0DC7">
        <w:rPr>
          <w:rFonts w:eastAsia="Calibri" w:cs="Arial"/>
          <w:szCs w:val="24"/>
          <w:lang w:eastAsia="en-US"/>
        </w:rPr>
        <w:t xml:space="preserve"> – any specific focus on the relationship between supervisor and supervisee </w:t>
      </w:r>
      <w:r w:rsidRPr="00EA0DC7">
        <w:rPr>
          <w:rFonts w:eastAsia="Calibri" w:cs="Arial"/>
          <w:i/>
          <w:szCs w:val="24"/>
          <w:lang w:eastAsia="en-US"/>
        </w:rPr>
        <w:t>(relationships; r)</w:t>
      </w:r>
    </w:p>
    <w:p w14:paraId="24C2471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Finally, ideally, the relationship becomes one of peership, where the supervisor treats the supervisee as an equal, a professional colleague, perhaps even as a friend.</w:t>
      </w:r>
      <w:r w:rsidRPr="00EA0DC7">
        <w:rPr>
          <w:rFonts w:eastAsia="Calibri" w:cs="Arial"/>
          <w:szCs w:val="24"/>
          <w:lang w:eastAsia="en-US"/>
        </w:rPr>
        <w:t>’ (Ard, 1973, p. 95)</w:t>
      </w:r>
    </w:p>
    <w:p w14:paraId="4C2F040B"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Relationship between supervisee and client</w:t>
      </w:r>
      <w:r w:rsidRPr="00EA0DC7">
        <w:rPr>
          <w:rFonts w:eastAsia="Calibri" w:cs="Arial"/>
          <w:szCs w:val="24"/>
          <w:lang w:eastAsia="en-US"/>
        </w:rPr>
        <w:t xml:space="preserve"> – any specific focus on the relationship between supervisee and client </w:t>
      </w:r>
      <w:r w:rsidRPr="00EA0DC7">
        <w:rPr>
          <w:rFonts w:eastAsia="Calibri" w:cs="Arial"/>
          <w:i/>
          <w:szCs w:val="24"/>
          <w:lang w:eastAsia="en-US"/>
        </w:rPr>
        <w:t>(r)</w:t>
      </w:r>
    </w:p>
    <w:p w14:paraId="42BAF209"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Recognizing that basic patterns are introduced into the therapy relationship is essential.</w:t>
      </w:r>
      <w:r w:rsidRPr="00EA0DC7">
        <w:rPr>
          <w:rFonts w:eastAsia="Calibri" w:cs="Arial"/>
          <w:szCs w:val="24"/>
          <w:lang w:eastAsia="en-US"/>
        </w:rPr>
        <w:t>’ (Grater, 1985, p. 606)</w:t>
      </w:r>
    </w:p>
    <w:p w14:paraId="18E42D85"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Relationship between supervisor and client</w:t>
      </w:r>
      <w:r w:rsidRPr="00EA0DC7">
        <w:rPr>
          <w:rFonts w:eastAsia="Calibri" w:cs="Arial"/>
          <w:szCs w:val="24"/>
          <w:lang w:eastAsia="en-US"/>
        </w:rPr>
        <w:t xml:space="preserve"> – any specific focus on the relationship between supervisor and client </w:t>
      </w:r>
      <w:r w:rsidRPr="00EA0DC7">
        <w:rPr>
          <w:rFonts w:eastAsia="Calibri" w:cs="Arial"/>
          <w:i/>
          <w:szCs w:val="24"/>
          <w:lang w:eastAsia="en-US"/>
        </w:rPr>
        <w:t>(r)</w:t>
      </w:r>
    </w:p>
    <w:p w14:paraId="04B31086"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thoughts and feelings that the supervisor has about the client can clearly be useful’</w:t>
      </w:r>
      <w:r w:rsidRPr="00EA0DC7">
        <w:rPr>
          <w:rFonts w:eastAsia="Calibri" w:cs="Arial"/>
          <w:szCs w:val="24"/>
          <w:lang w:eastAsia="en-US"/>
        </w:rPr>
        <w:t xml:space="preserve"> (Hawkins &amp; Shohert, 2012, pg. 103)</w:t>
      </w:r>
    </w:p>
    <w:p w14:paraId="648DA9E9"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Interactive discussion between supervisor and supervisee to further understanding/ decide on focus</w:t>
      </w:r>
      <w:r w:rsidRPr="00EA0DC7">
        <w:rPr>
          <w:rFonts w:eastAsia="Calibri" w:cs="Arial"/>
          <w:szCs w:val="24"/>
          <w:lang w:eastAsia="en-US"/>
        </w:rPr>
        <w:t xml:space="preserve"> – mention of collaborative discussion of what to focus on </w:t>
      </w:r>
      <w:r w:rsidRPr="00EA0DC7">
        <w:rPr>
          <w:rFonts w:eastAsia="Calibri" w:cs="Arial"/>
          <w:i/>
          <w:szCs w:val="24"/>
          <w:lang w:eastAsia="en-US"/>
        </w:rPr>
        <w:t>(content of session; con)</w:t>
      </w:r>
    </w:p>
    <w:p w14:paraId="29BC498E"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i/>
          <w:szCs w:val="24"/>
          <w:lang w:eastAsia="en-US"/>
        </w:rPr>
        <w:t xml:space="preserve">‘Strength-based models of supervision attempt to sidestep hierarchy in favor of coconstructing ideas with those supervised.’ </w:t>
      </w:r>
      <w:r w:rsidRPr="00EA0DC7">
        <w:rPr>
          <w:rFonts w:eastAsia="Calibri" w:cs="Arial"/>
          <w:szCs w:val="24"/>
          <w:lang w:eastAsia="en-US"/>
        </w:rPr>
        <w:t>(Edwards &amp; Chen, 1999, p. 351)</w:t>
      </w:r>
    </w:p>
    <w:p w14:paraId="375E945E"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takes charge of what is shared in supervision</w:t>
      </w:r>
      <w:r w:rsidRPr="00EA0DC7">
        <w:rPr>
          <w:rFonts w:eastAsia="Calibri" w:cs="Arial"/>
          <w:szCs w:val="24"/>
          <w:lang w:eastAsia="en-US"/>
        </w:rPr>
        <w:t xml:space="preserve"> – the content of supervision is decided on by the supervisee </w:t>
      </w:r>
      <w:r w:rsidRPr="00EA0DC7">
        <w:rPr>
          <w:rFonts w:eastAsia="Calibri" w:cs="Arial"/>
          <w:i/>
          <w:szCs w:val="24"/>
          <w:lang w:eastAsia="en-US"/>
        </w:rPr>
        <w:t>(con)</w:t>
      </w:r>
    </w:p>
    <w:p w14:paraId="426EB470"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supervisee is responsible for the control of the session, bringing in tapes for reviewing, locating sessions to be heard, and raising questions.</w:t>
      </w:r>
      <w:r w:rsidRPr="00EA0DC7">
        <w:rPr>
          <w:rFonts w:eastAsia="Calibri" w:cs="Arial"/>
          <w:szCs w:val="24"/>
          <w:lang w:eastAsia="en-US"/>
        </w:rPr>
        <w:t>’ (Patterson, 1983, pg. 24)</w:t>
      </w:r>
    </w:p>
    <w:p w14:paraId="2C0D01CF"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Discussion of theories and reading of literature</w:t>
      </w:r>
      <w:r w:rsidRPr="00EA0DC7">
        <w:rPr>
          <w:rFonts w:eastAsia="Calibri" w:cs="Arial"/>
          <w:szCs w:val="24"/>
          <w:lang w:eastAsia="en-US"/>
        </w:rPr>
        <w:t xml:space="preserve"> – discussion of appropriate theories or direction to specific readings are part of supervision </w:t>
      </w:r>
      <w:r w:rsidRPr="00EA0DC7">
        <w:rPr>
          <w:rFonts w:eastAsia="Calibri" w:cs="Arial"/>
          <w:i/>
          <w:szCs w:val="24"/>
          <w:lang w:eastAsia="en-US"/>
        </w:rPr>
        <w:t>(con)</w:t>
      </w:r>
    </w:p>
    <w:p w14:paraId="0A0B22DE"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At that point. the supervisor could use various interventions to help move the student, from participating in guided discussions with the student to asking the student to perform library research or talk with other professionals to demonstrating to the student how particular objectives are attained in the supervisor's own work.</w:t>
      </w:r>
      <w:r w:rsidRPr="00EA0DC7">
        <w:rPr>
          <w:rFonts w:eastAsia="Calibri" w:cs="Arial"/>
          <w:szCs w:val="24"/>
          <w:lang w:eastAsia="en-US"/>
        </w:rPr>
        <w:t>’ (Granello, 2000, p. 38)</w:t>
      </w:r>
    </w:p>
    <w:p w14:paraId="684548C2" w14:textId="0F75EE79"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Shared experience from the supervisor</w:t>
      </w:r>
      <w:r w:rsidRPr="00EA0DC7">
        <w:rPr>
          <w:rFonts w:eastAsia="Calibri" w:cs="Arial"/>
          <w:szCs w:val="24"/>
          <w:lang w:eastAsia="en-US"/>
        </w:rPr>
        <w:t xml:space="preserve"> – the supervisor share</w:t>
      </w:r>
      <w:r w:rsidR="005F181E" w:rsidRPr="00EA0DC7">
        <w:rPr>
          <w:rFonts w:eastAsia="Calibri" w:cs="Arial"/>
          <w:szCs w:val="24"/>
          <w:lang w:eastAsia="en-US"/>
        </w:rPr>
        <w:t>s</w:t>
      </w:r>
      <w:r w:rsidRPr="00EA0DC7">
        <w:rPr>
          <w:rFonts w:eastAsia="Calibri" w:cs="Arial"/>
          <w:szCs w:val="24"/>
          <w:lang w:eastAsia="en-US"/>
        </w:rPr>
        <w:t xml:space="preserve"> personal experiences during supervision </w:t>
      </w:r>
      <w:r w:rsidRPr="00EA0DC7">
        <w:rPr>
          <w:rFonts w:eastAsia="Calibri" w:cs="Arial"/>
          <w:i/>
          <w:szCs w:val="24"/>
          <w:lang w:eastAsia="en-US"/>
        </w:rPr>
        <w:t>(con)</w:t>
      </w:r>
    </w:p>
    <w:p w14:paraId="3A4A4AFC" w14:textId="5F07E19C" w:rsidR="00A93A59" w:rsidRPr="00EA0DC7" w:rsidRDefault="00A93A59" w:rsidP="00A93A59">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supervisory relationship is now becoming more of a peer interaction, with an increased emphasis on sharing and exemplification by both partners</w:t>
      </w:r>
      <w:r w:rsidRPr="00EA0DC7">
        <w:rPr>
          <w:rFonts w:eastAsia="Calibri" w:cs="Arial"/>
          <w:szCs w:val="24"/>
          <w:lang w:eastAsia="en-US"/>
        </w:rPr>
        <w:t>’ (Stoltenberg, 1981, p. 63)</w:t>
      </w:r>
    </w:p>
    <w:p w14:paraId="45051776"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Reporting on therapy sessions</w:t>
      </w:r>
      <w:r w:rsidRPr="00EA0DC7">
        <w:rPr>
          <w:rFonts w:eastAsia="Calibri" w:cs="Arial"/>
          <w:szCs w:val="24"/>
          <w:lang w:eastAsia="en-US"/>
        </w:rPr>
        <w:t xml:space="preserve"> – mention that supervisees discuss therapy sessions in supervision </w:t>
      </w:r>
      <w:r w:rsidRPr="00EA0DC7">
        <w:rPr>
          <w:rFonts w:eastAsia="Calibri" w:cs="Arial"/>
          <w:i/>
          <w:szCs w:val="24"/>
          <w:lang w:eastAsia="en-US"/>
        </w:rPr>
        <w:t>(con)</w:t>
      </w:r>
    </w:p>
    <w:p w14:paraId="6F61F3A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Supervisees are assigned the task of identifying what they have done well within a clinical session, or what they have done that led to change, however brief, and reporting it to their supervisor</w:t>
      </w:r>
      <w:r w:rsidRPr="00EA0DC7">
        <w:rPr>
          <w:rFonts w:eastAsia="Calibri" w:cs="Arial"/>
          <w:szCs w:val="24"/>
          <w:lang w:eastAsia="en-US"/>
        </w:rPr>
        <w:t>.’ (Wetchler, 1990, 132)</w:t>
      </w:r>
    </w:p>
    <w:p w14:paraId="1BCDACE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Live supervision/ observation</w:t>
      </w:r>
      <w:r w:rsidRPr="00EA0DC7">
        <w:rPr>
          <w:rFonts w:eastAsia="Calibri" w:cs="Arial"/>
          <w:szCs w:val="24"/>
          <w:lang w:eastAsia="en-US"/>
        </w:rPr>
        <w:t xml:space="preserve"> – supervisor observes therapy sessions live e.g. by being in the therapy room or watching through a one-way mirror. </w:t>
      </w:r>
      <w:r w:rsidRPr="00EA0DC7">
        <w:rPr>
          <w:rFonts w:eastAsia="Calibri" w:cs="Arial"/>
          <w:i/>
          <w:szCs w:val="24"/>
          <w:lang w:eastAsia="en-US"/>
        </w:rPr>
        <w:t>(con)</w:t>
      </w:r>
    </w:p>
    <w:p w14:paraId="3C6E11C6"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Live supervision, unlike consultation and cotherapy, usually involves a one-way mirror that forms a physical boundary between the supervisory and therapeutic systems.</w:t>
      </w:r>
      <w:r w:rsidRPr="00EA0DC7">
        <w:rPr>
          <w:rFonts w:eastAsia="Calibri" w:cs="Arial"/>
          <w:szCs w:val="24"/>
          <w:lang w:eastAsia="en-US"/>
        </w:rPr>
        <w:t>’ (Haber, 1996, p. 163)</w:t>
      </w:r>
    </w:p>
    <w:p w14:paraId="65ACB131"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lastRenderedPageBreak/>
        <w:t>Recorded therapy sessions</w:t>
      </w:r>
      <w:r w:rsidRPr="00EA0DC7">
        <w:rPr>
          <w:rFonts w:eastAsia="Calibri" w:cs="Arial"/>
          <w:szCs w:val="24"/>
          <w:lang w:eastAsia="en-US"/>
        </w:rPr>
        <w:t xml:space="preserve"> – supervisor listens/watches to recorded therapy sessions </w:t>
      </w:r>
      <w:r w:rsidRPr="00EA0DC7">
        <w:rPr>
          <w:rFonts w:eastAsia="Calibri" w:cs="Arial"/>
          <w:i/>
          <w:szCs w:val="24"/>
          <w:lang w:eastAsia="en-US"/>
        </w:rPr>
        <w:t>(con)</w:t>
      </w:r>
    </w:p>
    <w:p w14:paraId="2D16A3F5"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Videotape supervision offers supervisors and the training system ongoing access to raw data.</w:t>
      </w:r>
      <w:r w:rsidRPr="00EA0DC7">
        <w:rPr>
          <w:rFonts w:eastAsia="Calibri" w:cs="Arial"/>
          <w:szCs w:val="24"/>
          <w:lang w:eastAsia="en-US"/>
        </w:rPr>
        <w:t>’ (Lee &amp; Everett, 2004, p. 73)</w:t>
      </w:r>
    </w:p>
    <w:p w14:paraId="589CAAD8"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Enactment of therapy sessions/ role-play</w:t>
      </w:r>
      <w:r w:rsidRPr="00EA0DC7">
        <w:rPr>
          <w:rFonts w:eastAsia="Calibri" w:cs="Arial"/>
          <w:szCs w:val="24"/>
          <w:lang w:eastAsia="en-US"/>
        </w:rPr>
        <w:t xml:space="preserve"> – hypothetical role play or re-enactment of events from therapy used in supervision sessions </w:t>
      </w:r>
      <w:r w:rsidRPr="00EA0DC7">
        <w:rPr>
          <w:rFonts w:eastAsia="Calibri" w:cs="Arial"/>
          <w:i/>
          <w:szCs w:val="24"/>
          <w:lang w:eastAsia="en-US"/>
        </w:rPr>
        <w:t>(con)</w:t>
      </w:r>
    </w:p>
    <w:p w14:paraId="0D530D31"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Other tactics (e.g., modeling, role-playing, feedback) can and should be used.</w:t>
      </w:r>
      <w:r w:rsidRPr="00EA0DC7">
        <w:rPr>
          <w:rFonts w:eastAsia="Calibri" w:cs="Arial"/>
          <w:szCs w:val="24"/>
          <w:lang w:eastAsia="en-US"/>
        </w:rPr>
        <w:t>’ (Granello, 2000, p. 38)</w:t>
      </w:r>
    </w:p>
    <w:p w14:paraId="462DD9C8"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Phone/ email / tele-conferencing</w:t>
      </w:r>
      <w:r w:rsidRPr="00EA0DC7">
        <w:rPr>
          <w:rFonts w:eastAsia="Calibri" w:cs="Arial"/>
          <w:szCs w:val="24"/>
          <w:lang w:eastAsia="en-US"/>
        </w:rPr>
        <w:t xml:space="preserve"> – mentions the use of phone/video calls or emailing as a method of conducting supervision </w:t>
      </w:r>
      <w:r w:rsidRPr="00EA0DC7">
        <w:rPr>
          <w:rFonts w:eastAsia="Calibri" w:cs="Arial"/>
          <w:i/>
          <w:szCs w:val="24"/>
          <w:lang w:eastAsia="en-US"/>
        </w:rPr>
        <w:t>(general aspects of model; gen)</w:t>
      </w:r>
    </w:p>
    <w:p w14:paraId="6808A459"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Long distance phone calls can be expensive but conference calls can be arranged and can prove helpful.</w:t>
      </w:r>
      <w:r w:rsidRPr="00EA0DC7">
        <w:rPr>
          <w:rFonts w:eastAsia="Calibri" w:cs="Arial"/>
          <w:szCs w:val="24"/>
          <w:lang w:eastAsia="en-US"/>
        </w:rPr>
        <w:t>’ (Ard, 1973, pg. 96)</w:t>
      </w:r>
    </w:p>
    <w:p w14:paraId="2E95CA3E"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 xml:space="preserve">Feedback from supervisor and/or supervisee </w:t>
      </w:r>
      <w:r w:rsidRPr="00EA0DC7">
        <w:rPr>
          <w:rFonts w:eastAsia="Calibri" w:cs="Arial"/>
          <w:szCs w:val="24"/>
          <w:lang w:eastAsia="en-US"/>
        </w:rPr>
        <w:t xml:space="preserve">– mentions any form of feedback from the supervisor to the supervisee and/or vice versa </w:t>
      </w:r>
      <w:r w:rsidRPr="00EA0DC7">
        <w:rPr>
          <w:rFonts w:eastAsia="Calibri" w:cs="Arial"/>
          <w:i/>
          <w:szCs w:val="24"/>
          <w:lang w:eastAsia="en-US"/>
        </w:rPr>
        <w:t>(evaluation; e)</w:t>
      </w:r>
    </w:p>
    <w:p w14:paraId="437C732E"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Feedback will have no positive effect unless offered in the context of a sustaining supervisory environment.</w:t>
      </w:r>
      <w:r w:rsidRPr="00EA0DC7">
        <w:rPr>
          <w:rFonts w:eastAsia="Calibri" w:cs="Arial"/>
          <w:szCs w:val="24"/>
          <w:lang w:eastAsia="en-US"/>
        </w:rPr>
        <w:t>’ (Scaife, 2001, pg. 216)</w:t>
      </w:r>
    </w:p>
    <w:p w14:paraId="185B9091"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Assessment/ evaluation</w:t>
      </w:r>
      <w:r w:rsidRPr="00EA0DC7">
        <w:rPr>
          <w:rFonts w:eastAsia="Calibri" w:cs="Arial"/>
          <w:szCs w:val="24"/>
          <w:lang w:eastAsia="en-US"/>
        </w:rPr>
        <w:t xml:space="preserve"> – mention of any formal assessment or evaluation process (results can be for the supervisor and/or the wider organisation within which the supervisee is working) </w:t>
      </w:r>
      <w:r w:rsidRPr="00EA0DC7">
        <w:rPr>
          <w:rFonts w:eastAsia="Calibri" w:cs="Arial"/>
          <w:i/>
          <w:szCs w:val="24"/>
          <w:lang w:eastAsia="en-US"/>
        </w:rPr>
        <w:t>(e)</w:t>
      </w:r>
    </w:p>
    <w:p w14:paraId="0BC5D0E3"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No supervision can take place without evaluation (constructive criticism).</w:t>
      </w:r>
      <w:r w:rsidRPr="00EA0DC7">
        <w:rPr>
          <w:rFonts w:eastAsia="Calibri" w:cs="Arial"/>
          <w:szCs w:val="24"/>
          <w:lang w:eastAsia="en-US"/>
        </w:rPr>
        <w:t>’ (Yogev, 1982, p. 239)</w:t>
      </w:r>
    </w:p>
    <w:p w14:paraId="3EEB4F8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lastRenderedPageBreak/>
        <w:t xml:space="preserve">Evaluating/monitoring work with clients </w:t>
      </w:r>
      <w:r w:rsidRPr="00EA0DC7">
        <w:rPr>
          <w:rFonts w:eastAsia="Calibri" w:cs="Arial"/>
          <w:szCs w:val="24"/>
          <w:lang w:eastAsia="en-US"/>
        </w:rPr>
        <w:t xml:space="preserve">– mention that evaluation or assessment should specifically cover work with clients e.g. do client’s symptoms improve? </w:t>
      </w:r>
      <w:r w:rsidRPr="00EA0DC7">
        <w:rPr>
          <w:rFonts w:eastAsia="Calibri" w:cs="Arial"/>
          <w:i/>
          <w:szCs w:val="24"/>
          <w:lang w:eastAsia="en-US"/>
        </w:rPr>
        <w:t>(e)</w:t>
      </w:r>
    </w:p>
    <w:p w14:paraId="64560D29"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Using Bloom's Taxonomy, a supervisor might use supervision time to help a counsellor trainee begin to conduct her or his own outcome research.’ </w:t>
      </w:r>
      <w:r w:rsidRPr="00EA0DC7">
        <w:rPr>
          <w:rFonts w:eastAsia="Calibri" w:cs="Arial"/>
          <w:szCs w:val="24"/>
          <w:lang w:eastAsia="en-US"/>
        </w:rPr>
        <w:t>(Granello, 2000, p. 41)</w:t>
      </w:r>
    </w:p>
    <w:p w14:paraId="5443BD0D"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Goal setting</w:t>
      </w:r>
      <w:r w:rsidRPr="00EA0DC7">
        <w:rPr>
          <w:rFonts w:eastAsia="Calibri" w:cs="Arial"/>
          <w:szCs w:val="24"/>
          <w:lang w:eastAsia="en-US"/>
        </w:rPr>
        <w:t xml:space="preserve"> – mentions using goals in supervision and/or therapy </w:t>
      </w:r>
      <w:r w:rsidRPr="00EA0DC7">
        <w:rPr>
          <w:rFonts w:eastAsia="Calibri" w:cs="Arial"/>
          <w:i/>
          <w:szCs w:val="24"/>
          <w:lang w:eastAsia="en-US"/>
        </w:rPr>
        <w:t>(gen)</w:t>
      </w:r>
    </w:p>
    <w:p w14:paraId="45B88FC9"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The goals should be positively framed and as specific as possible.</w:t>
      </w:r>
      <w:r w:rsidRPr="00EA0DC7">
        <w:rPr>
          <w:rFonts w:eastAsia="Calibri" w:cs="Arial"/>
          <w:szCs w:val="24"/>
          <w:lang w:eastAsia="en-US"/>
        </w:rPr>
        <w:t>’ (Thomas, 1994, p. 15)</w:t>
      </w:r>
    </w:p>
    <w:p w14:paraId="5470F9B8"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using enquiry as learning technique</w:t>
      </w:r>
      <w:r w:rsidRPr="00EA0DC7">
        <w:rPr>
          <w:rFonts w:eastAsia="Calibri" w:cs="Arial"/>
          <w:szCs w:val="24"/>
          <w:lang w:eastAsia="en-US"/>
        </w:rPr>
        <w:t xml:space="preserve"> – mentions that the supervisor specifically uses questions to further knowledge or development of the supervisee </w:t>
      </w:r>
      <w:r w:rsidRPr="00EA0DC7">
        <w:rPr>
          <w:rFonts w:eastAsia="Calibri" w:cs="Arial"/>
          <w:i/>
          <w:szCs w:val="24"/>
          <w:lang w:eastAsia="en-US"/>
        </w:rPr>
        <w:t>(con)</w:t>
      </w:r>
    </w:p>
    <w:p w14:paraId="0D28F0A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Regardless of the cognitive developmental level of the supervisee, supervisor's questions (when approaching new material or new cases) could start at the knowledge level and proceed through the subsequent levels.</w:t>
      </w:r>
      <w:r w:rsidRPr="00EA0DC7">
        <w:rPr>
          <w:rFonts w:eastAsia="Calibri" w:cs="Arial"/>
          <w:szCs w:val="24"/>
          <w:lang w:eastAsia="en-US"/>
        </w:rPr>
        <w:t>’ (Granello, 2000, pg. 36)</w:t>
      </w:r>
    </w:p>
    <w:p w14:paraId="76A5AE61"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Use of imagery/ metaphor</w:t>
      </w:r>
      <w:r w:rsidRPr="00EA0DC7">
        <w:rPr>
          <w:rFonts w:eastAsia="Calibri" w:cs="Arial"/>
          <w:szCs w:val="24"/>
          <w:lang w:eastAsia="en-US"/>
        </w:rPr>
        <w:t xml:space="preserve"> – mentions that imagery or metaphor may be used in supervision sessions </w:t>
      </w:r>
      <w:r w:rsidRPr="00EA0DC7">
        <w:rPr>
          <w:rFonts w:eastAsia="Calibri" w:cs="Arial"/>
          <w:i/>
          <w:szCs w:val="24"/>
          <w:lang w:eastAsia="en-US"/>
        </w:rPr>
        <w:t>(gen)</w:t>
      </w:r>
    </w:p>
    <w:p w14:paraId="4D1FAC69"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Using metaphor and imagery is a valuable way to play with the material in supervision</w:t>
      </w:r>
      <w:r w:rsidRPr="00EA0DC7">
        <w:rPr>
          <w:rFonts w:eastAsia="Calibri" w:cs="Arial"/>
          <w:szCs w:val="24"/>
          <w:lang w:eastAsia="en-US"/>
        </w:rPr>
        <w:t>.’ (Page, &amp; Wokset, 2015, pg. 98)</w:t>
      </w:r>
    </w:p>
    <w:p w14:paraId="532604A5"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Homework</w:t>
      </w:r>
      <w:r w:rsidRPr="00EA0DC7">
        <w:rPr>
          <w:rFonts w:eastAsia="Calibri" w:cs="Arial"/>
          <w:szCs w:val="24"/>
          <w:lang w:eastAsia="en-US"/>
        </w:rPr>
        <w:t xml:space="preserve"> – mentions that homework may be set for the supervisee by the supervisor </w:t>
      </w:r>
      <w:r w:rsidRPr="00EA0DC7">
        <w:rPr>
          <w:rFonts w:eastAsia="Calibri" w:cs="Arial"/>
          <w:i/>
          <w:szCs w:val="24"/>
          <w:lang w:eastAsia="en-US"/>
        </w:rPr>
        <w:t>(gen)</w:t>
      </w:r>
    </w:p>
    <w:p w14:paraId="748D193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Assigning and reviewing homework (e.g., reading, conceptualizing patients in writing, experimenting with new </w:t>
      </w:r>
      <w:r w:rsidRPr="00EA0DC7">
        <w:rPr>
          <w:rFonts w:eastAsia="Calibri" w:cs="Arial"/>
          <w:i/>
          <w:szCs w:val="24"/>
          <w:lang w:eastAsia="en-US"/>
        </w:rPr>
        <w:lastRenderedPageBreak/>
        <w:t>techniques) is an essential part of cognitive therapy supervision.</w:t>
      </w:r>
      <w:r w:rsidRPr="00EA0DC7">
        <w:rPr>
          <w:rFonts w:eastAsia="Calibri" w:cs="Arial"/>
          <w:szCs w:val="24"/>
          <w:lang w:eastAsia="en-US"/>
        </w:rPr>
        <w:t>’ (Liese &amp; Beck, 1997, pg. 121)</w:t>
      </w:r>
    </w:p>
    <w:p w14:paraId="640E1731"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Transference and/or parallel processes</w:t>
      </w:r>
      <w:r w:rsidRPr="00EA0DC7">
        <w:rPr>
          <w:rFonts w:eastAsia="Calibri" w:cs="Arial"/>
          <w:szCs w:val="24"/>
          <w:lang w:eastAsia="en-US"/>
        </w:rPr>
        <w:t xml:space="preserve"> – mention of the possibility of (counter)transference and/or parallel processes </w:t>
      </w:r>
      <w:r w:rsidRPr="00EA0DC7">
        <w:rPr>
          <w:rFonts w:eastAsia="Calibri" w:cs="Arial"/>
          <w:i/>
          <w:szCs w:val="24"/>
          <w:lang w:eastAsia="en-US"/>
        </w:rPr>
        <w:t>(gen)</w:t>
      </w:r>
    </w:p>
    <w:p w14:paraId="0B9CB182"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In this mode of paralleling, the processes at work currently in the relationship between client and supervisee are uncovered through how they are reflected in the relationship between supervisee and supervisor.</w:t>
      </w:r>
      <w:r w:rsidRPr="00EA0DC7">
        <w:rPr>
          <w:rFonts w:eastAsia="Calibri" w:cs="Arial"/>
          <w:szCs w:val="24"/>
          <w:lang w:eastAsia="en-US"/>
        </w:rPr>
        <w:t>’ (Hawkins &amp; Shohet, 2012, p. 99)</w:t>
      </w:r>
    </w:p>
    <w:p w14:paraId="155281A0"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Acknowledgement of wider context of therapy process</w:t>
      </w:r>
      <w:r w:rsidRPr="00EA0DC7">
        <w:rPr>
          <w:rFonts w:eastAsia="Calibri" w:cs="Arial"/>
          <w:szCs w:val="24"/>
          <w:lang w:eastAsia="en-US"/>
        </w:rPr>
        <w:t xml:space="preserve"> – mention of the surrounding context to supervision and therapy e.g. that they happen within an organisation </w:t>
      </w:r>
      <w:r w:rsidRPr="00EA0DC7">
        <w:rPr>
          <w:rFonts w:eastAsia="Calibri" w:cs="Arial"/>
          <w:i/>
          <w:szCs w:val="24"/>
          <w:lang w:eastAsia="en-US"/>
        </w:rPr>
        <w:t>(gen)</w:t>
      </w:r>
    </w:p>
    <w:p w14:paraId="19438FD9"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interventions and strategies that a supervisee utilizes will not just be the result of personal choices, but framed by the context of the tradition they work within and the policies, culture and practice of their organisation</w:t>
      </w:r>
      <w:r w:rsidRPr="00EA0DC7">
        <w:rPr>
          <w:rFonts w:eastAsia="Calibri" w:cs="Arial"/>
          <w:szCs w:val="24"/>
          <w:lang w:eastAsia="en-US"/>
        </w:rPr>
        <w:t>’ (Hawkins &amp; Shohet, 2012, p. 103)</w:t>
      </w:r>
    </w:p>
    <w:p w14:paraId="4FF23E90"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Expects preparation from therapist coming to supervision</w:t>
      </w:r>
      <w:r w:rsidRPr="00EA0DC7">
        <w:rPr>
          <w:rFonts w:eastAsia="Calibri" w:cs="Arial"/>
          <w:szCs w:val="24"/>
          <w:lang w:eastAsia="en-US"/>
        </w:rPr>
        <w:t xml:space="preserve"> – specifically mentions that the therapist should come to supervision with work prepared </w:t>
      </w:r>
      <w:r w:rsidRPr="00EA0DC7">
        <w:rPr>
          <w:rFonts w:eastAsia="Calibri" w:cs="Arial"/>
          <w:i/>
          <w:szCs w:val="24"/>
          <w:lang w:eastAsia="en-US"/>
        </w:rPr>
        <w:t>(gen)</w:t>
      </w:r>
    </w:p>
    <w:p w14:paraId="1B570623"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As a counsellor in supervision, with the help of your supervisor, you should become increasingly able to bring your work and share it freely and accessible.</w:t>
      </w:r>
      <w:r w:rsidRPr="00EA0DC7">
        <w:rPr>
          <w:rFonts w:eastAsia="Calibri" w:cs="Arial"/>
          <w:szCs w:val="24"/>
          <w:lang w:eastAsia="en-US"/>
        </w:rPr>
        <w:t>’ (Inskipp &amp; Proctor, pg. 9)</w:t>
      </w:r>
    </w:p>
    <w:p w14:paraId="74932ECC"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Stage/ level/ step model</w:t>
      </w:r>
      <w:r w:rsidRPr="00EA0DC7">
        <w:rPr>
          <w:rFonts w:eastAsia="Calibri" w:cs="Arial"/>
          <w:szCs w:val="24"/>
          <w:lang w:eastAsia="en-US"/>
        </w:rPr>
        <w:t xml:space="preserve"> – the model has distinct steps/levels/stages </w:t>
      </w:r>
      <w:r w:rsidRPr="00EA0DC7">
        <w:rPr>
          <w:rFonts w:eastAsia="Calibri" w:cs="Arial"/>
          <w:i/>
          <w:szCs w:val="24"/>
          <w:lang w:eastAsia="en-US"/>
        </w:rPr>
        <w:t>(gen)</w:t>
      </w:r>
    </w:p>
    <w:p w14:paraId="4D775041" w14:textId="77777777" w:rsidR="003F0CDB" w:rsidRPr="00EA0DC7" w:rsidRDefault="003F0CDB" w:rsidP="003F0CDB">
      <w:pPr>
        <w:numPr>
          <w:ilvl w:val="1"/>
          <w:numId w:val="7"/>
        </w:numPr>
        <w:spacing w:after="160"/>
        <w:contextualSpacing/>
        <w:rPr>
          <w:rFonts w:eastAsia="Calibri" w:cs="Arial"/>
          <w:b/>
          <w:szCs w:val="24"/>
          <w:lang w:eastAsia="en-US"/>
        </w:rPr>
      </w:pPr>
      <w:r w:rsidRPr="00EA0DC7">
        <w:rPr>
          <w:rFonts w:eastAsia="Calibri" w:cs="Arial"/>
          <w:szCs w:val="24"/>
          <w:lang w:eastAsia="en-US"/>
        </w:rPr>
        <w:lastRenderedPageBreak/>
        <w:t>‘</w:t>
      </w:r>
      <w:r w:rsidRPr="00EA0DC7">
        <w:rPr>
          <w:rFonts w:eastAsia="Calibri" w:cs="Arial"/>
          <w:i/>
          <w:szCs w:val="24"/>
          <w:lang w:eastAsia="en-US"/>
        </w:rPr>
        <w:t>During his development as a psychotherapist, the clinician goes through four stages of development.</w:t>
      </w:r>
      <w:r w:rsidRPr="00EA0DC7">
        <w:rPr>
          <w:rFonts w:eastAsia="Calibri" w:cs="Arial"/>
          <w:szCs w:val="24"/>
          <w:lang w:eastAsia="en-US"/>
        </w:rPr>
        <w:t>’ (Hogan, 1964, p. 139)</w:t>
      </w:r>
    </w:p>
    <w:p w14:paraId="754EA919"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Focus mainly on trainee rather than therapist</w:t>
      </w:r>
      <w:r w:rsidRPr="00EA0DC7">
        <w:rPr>
          <w:rFonts w:eastAsia="Calibri" w:cs="Arial"/>
          <w:szCs w:val="24"/>
          <w:lang w:eastAsia="en-US"/>
        </w:rPr>
        <w:t xml:space="preserve"> – Model mainly discusses supervision with trainee therapists rather than qualified therapists </w:t>
      </w:r>
      <w:r w:rsidRPr="00EA0DC7">
        <w:rPr>
          <w:rFonts w:eastAsia="Calibri" w:cs="Arial"/>
          <w:i/>
          <w:szCs w:val="24"/>
          <w:lang w:eastAsia="en-US"/>
        </w:rPr>
        <w:t>(gen)</w:t>
      </w:r>
    </w:p>
    <w:p w14:paraId="65BA1BF7"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Therefore, the model proposed here provides a format that needs to be considered within the context of several factors, including the length of the internship, the skill level and unique needs of individual trainees, and the pace at which individual trainees progress through the stages.</w:t>
      </w:r>
      <w:r w:rsidRPr="00EA0DC7">
        <w:rPr>
          <w:rFonts w:eastAsia="Calibri" w:cs="Arial"/>
          <w:szCs w:val="24"/>
          <w:lang w:eastAsia="en-US"/>
        </w:rPr>
        <w:t>’ (Nelson &amp; Johnson, 1999, p. 94)</w:t>
      </w:r>
    </w:p>
    <w:p w14:paraId="2FCFC48C"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Group supervision</w:t>
      </w:r>
      <w:r w:rsidRPr="00EA0DC7">
        <w:rPr>
          <w:rFonts w:eastAsia="Calibri" w:cs="Arial"/>
          <w:szCs w:val="24"/>
          <w:lang w:eastAsia="en-US"/>
        </w:rPr>
        <w:t xml:space="preserve"> – mentions the use of group supervision </w:t>
      </w:r>
      <w:r w:rsidRPr="00EA0DC7">
        <w:rPr>
          <w:rFonts w:eastAsia="Calibri" w:cs="Arial"/>
          <w:i/>
          <w:szCs w:val="24"/>
          <w:lang w:eastAsia="en-US"/>
        </w:rPr>
        <w:t>(structure of supervision; str)</w:t>
      </w:r>
    </w:p>
    <w:p w14:paraId="50B40553"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Group supervision can be conducted as a form of consciousness raising</w:t>
      </w:r>
      <w:r w:rsidRPr="00EA0DC7">
        <w:rPr>
          <w:rFonts w:eastAsia="Calibri" w:cs="Arial"/>
          <w:szCs w:val="24"/>
          <w:lang w:eastAsia="en-US"/>
        </w:rPr>
        <w:t>.’ (Hipp &amp; Munson, 1995, p. 33)</w:t>
      </w:r>
    </w:p>
    <w:p w14:paraId="253D3285"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Peer supervision</w:t>
      </w:r>
      <w:r w:rsidRPr="00EA0DC7">
        <w:rPr>
          <w:rFonts w:eastAsia="Calibri" w:cs="Arial"/>
          <w:szCs w:val="24"/>
          <w:lang w:eastAsia="en-US"/>
        </w:rPr>
        <w:t xml:space="preserve"> – mentions the use of peer supervision </w:t>
      </w:r>
      <w:r w:rsidRPr="00EA0DC7">
        <w:rPr>
          <w:rFonts w:eastAsia="Calibri" w:cs="Arial"/>
          <w:i/>
          <w:szCs w:val="24"/>
          <w:lang w:eastAsia="en-US"/>
        </w:rPr>
        <w:t>(str)</w:t>
      </w:r>
    </w:p>
    <w:p w14:paraId="37C7EB56"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At later stages, a peer supervisor is someone we choose, and the process is outside of the formal evaluation process.</w:t>
      </w:r>
      <w:r w:rsidRPr="00EA0DC7">
        <w:rPr>
          <w:rFonts w:eastAsia="Calibri" w:cs="Arial"/>
          <w:szCs w:val="24"/>
          <w:lang w:eastAsia="en-US"/>
        </w:rPr>
        <w:t>’ (Stoltenberg &amp; Delworth, p. 165)</w:t>
      </w:r>
    </w:p>
    <w:p w14:paraId="0B9C25FA"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Self-supervision</w:t>
      </w:r>
      <w:r w:rsidRPr="00EA0DC7">
        <w:rPr>
          <w:rFonts w:eastAsia="Calibri" w:cs="Arial"/>
          <w:szCs w:val="24"/>
          <w:lang w:eastAsia="en-US"/>
        </w:rPr>
        <w:t xml:space="preserve"> – mentions the use of self-supervision  </w:t>
      </w:r>
      <w:r w:rsidRPr="00EA0DC7">
        <w:rPr>
          <w:rFonts w:eastAsia="Calibri" w:cs="Arial"/>
          <w:i/>
          <w:szCs w:val="24"/>
          <w:lang w:eastAsia="en-US"/>
        </w:rPr>
        <w:t>(str)</w:t>
      </w:r>
    </w:p>
    <w:p w14:paraId="0069923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It seems prudent to culminate the evaluation process with a focus on self-supervision skills.</w:t>
      </w:r>
      <w:r w:rsidRPr="00EA0DC7">
        <w:rPr>
          <w:rFonts w:eastAsia="Calibri" w:cs="Arial"/>
          <w:szCs w:val="24"/>
          <w:lang w:eastAsia="en-US"/>
        </w:rPr>
        <w:t>’ (Nelson &amp; Johnson, 1999, p. 97-98)</w:t>
      </w:r>
    </w:p>
    <w:p w14:paraId="6D1BB3ED"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has ability to assign clients</w:t>
      </w:r>
      <w:r w:rsidRPr="00EA0DC7">
        <w:rPr>
          <w:rFonts w:eastAsia="Calibri" w:cs="Arial"/>
          <w:szCs w:val="24"/>
          <w:lang w:eastAsia="en-US"/>
        </w:rPr>
        <w:t xml:space="preserve"> – mentions that the supervision can choose which clients their supervisee works with </w:t>
      </w:r>
      <w:r w:rsidRPr="00EA0DC7">
        <w:rPr>
          <w:rFonts w:eastAsia="Calibri" w:cs="Arial"/>
          <w:i/>
          <w:szCs w:val="24"/>
          <w:lang w:eastAsia="en-US"/>
        </w:rPr>
        <w:t>(s)</w:t>
      </w:r>
    </w:p>
    <w:p w14:paraId="5AD28AC7"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It is essential that the supervisor provide information and support during this period. Included should be the assurance that the trainee will be assigned selected clients. Careful selection is the ethical responsibility of the supervisor</w:t>
      </w:r>
      <w:r w:rsidRPr="00EA0DC7">
        <w:rPr>
          <w:rFonts w:eastAsia="Calibri" w:cs="Arial"/>
          <w:szCs w:val="24"/>
          <w:lang w:eastAsia="en-US"/>
        </w:rPr>
        <w:t>.’ (Grater, 1985, p. 606)</w:t>
      </w:r>
    </w:p>
    <w:p w14:paraId="5A22C9EF"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Supervisor can take on variety of roles</w:t>
      </w:r>
      <w:r w:rsidRPr="00EA0DC7">
        <w:rPr>
          <w:rFonts w:eastAsia="Calibri" w:cs="Arial"/>
          <w:szCs w:val="24"/>
          <w:lang w:eastAsia="en-US"/>
        </w:rPr>
        <w:t xml:space="preserve"> – mentions that the supervisee can take on a variety of roles e.g. counsellor role, ethical role </w:t>
      </w:r>
      <w:r w:rsidRPr="00EA0DC7">
        <w:rPr>
          <w:rFonts w:eastAsia="Calibri" w:cs="Arial"/>
          <w:i/>
          <w:szCs w:val="24"/>
          <w:lang w:eastAsia="en-US"/>
        </w:rPr>
        <w:t xml:space="preserve">(s) </w:t>
      </w:r>
    </w:p>
    <w:p w14:paraId="03A9C745"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i/>
          <w:szCs w:val="24"/>
          <w:lang w:eastAsia="en-US"/>
        </w:rPr>
        <w:t xml:space="preserve">‘The four roles represented by this dimension structure underlying supervision activities are Coach, Teacher, Administrator, and Mentor.’ </w:t>
      </w:r>
      <w:r w:rsidRPr="00EA0DC7">
        <w:rPr>
          <w:rFonts w:eastAsia="Calibri" w:cs="Arial"/>
          <w:szCs w:val="24"/>
          <w:lang w:eastAsia="en-US"/>
        </w:rPr>
        <w:t>(Morgan and Sprenkle, 2007, p. 10)</w:t>
      </w:r>
    </w:p>
    <w:p w14:paraId="234E55B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Supervisee can take on a variety of roles</w:t>
      </w:r>
      <w:r w:rsidRPr="00EA0DC7">
        <w:rPr>
          <w:rFonts w:eastAsia="Calibri" w:cs="Arial"/>
          <w:szCs w:val="24"/>
          <w:lang w:eastAsia="en-US"/>
        </w:rPr>
        <w:t xml:space="preserve"> – mentions that the supervisor can take on a variety of roles e.g. counsellor role, teacher role</w:t>
      </w:r>
      <w:r w:rsidRPr="00EA0DC7">
        <w:rPr>
          <w:rFonts w:eastAsia="Calibri" w:cs="Arial"/>
          <w:i/>
          <w:szCs w:val="24"/>
          <w:lang w:eastAsia="en-US"/>
        </w:rPr>
        <w:t xml:space="preserve"> (s’ee)</w:t>
      </w:r>
    </w:p>
    <w:p w14:paraId="0F3A46E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trainee assumes the role of counsellor, teacher and consultant to achieve the goal of effectively helping clients.</w:t>
      </w:r>
      <w:r w:rsidRPr="00EA0DC7">
        <w:rPr>
          <w:rFonts w:eastAsia="Calibri" w:cs="Arial"/>
          <w:szCs w:val="24"/>
          <w:lang w:eastAsia="en-US"/>
        </w:rPr>
        <w:t>’ (Littrell, Lee-Borden &amp; Lorenz, 1979, p. 134)</w:t>
      </w:r>
    </w:p>
    <w:p w14:paraId="49BF29CB"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Contract</w:t>
      </w:r>
      <w:r w:rsidRPr="00EA0DC7">
        <w:rPr>
          <w:rFonts w:eastAsia="Calibri" w:cs="Arial"/>
          <w:szCs w:val="24"/>
          <w:lang w:eastAsia="en-US"/>
        </w:rPr>
        <w:t xml:space="preserve"> – mentions that supervisors and supervisees should lay out a contract before embarking on the supervision process </w:t>
      </w:r>
      <w:r w:rsidRPr="00EA0DC7">
        <w:rPr>
          <w:rFonts w:eastAsia="Calibri" w:cs="Arial"/>
          <w:i/>
          <w:szCs w:val="24"/>
          <w:lang w:eastAsia="en-US"/>
        </w:rPr>
        <w:t>(gen)</w:t>
      </w:r>
    </w:p>
    <w:p w14:paraId="45B31FB8"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contracting phase involves the initial development of cooperation to work on mutually agreed-upon problem areas in supervision.</w:t>
      </w:r>
      <w:r w:rsidRPr="00EA0DC7">
        <w:rPr>
          <w:rFonts w:eastAsia="Calibri" w:cs="Arial"/>
          <w:szCs w:val="24"/>
          <w:lang w:eastAsia="en-US"/>
        </w:rPr>
        <w:t>’ (Connell, 1984, p. 275)</w:t>
      </w:r>
    </w:p>
    <w:p w14:paraId="03D4C0EC"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Re-contracting</w:t>
      </w:r>
      <w:r w:rsidRPr="00EA0DC7">
        <w:rPr>
          <w:rFonts w:eastAsia="Calibri" w:cs="Arial"/>
          <w:szCs w:val="24"/>
          <w:lang w:eastAsia="en-US"/>
        </w:rPr>
        <w:t xml:space="preserve"> – mentions that the contract should be reassessed on a regular basis and re-drafted </w:t>
      </w:r>
      <w:r w:rsidRPr="00EA0DC7">
        <w:rPr>
          <w:rFonts w:eastAsia="Calibri" w:cs="Arial"/>
          <w:i/>
          <w:szCs w:val="24"/>
          <w:lang w:eastAsia="en-US"/>
        </w:rPr>
        <w:t>(gen)</w:t>
      </w:r>
    </w:p>
    <w:p w14:paraId="13F9C081"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Contracting should occur at the beginning of any supervisory relationship. It can also occur as re-contracting throughout the ongoing work…</w:t>
      </w:r>
      <w:r w:rsidRPr="00EA0DC7">
        <w:rPr>
          <w:rFonts w:eastAsia="Calibri" w:cs="Arial"/>
          <w:szCs w:val="24"/>
          <w:lang w:eastAsia="en-US"/>
        </w:rPr>
        <w:t>’ (Page &amp; Wokset, p.41)</w:t>
      </w:r>
    </w:p>
    <w:p w14:paraId="6F5AD320"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Termination</w:t>
      </w:r>
      <w:r w:rsidRPr="00EA0DC7">
        <w:rPr>
          <w:rFonts w:eastAsia="Calibri" w:cs="Arial"/>
          <w:szCs w:val="24"/>
          <w:lang w:eastAsia="en-US"/>
        </w:rPr>
        <w:t xml:space="preserve"> – mention of the termination process of supervision and/or therapy </w:t>
      </w:r>
      <w:r w:rsidRPr="00EA0DC7">
        <w:rPr>
          <w:rFonts w:eastAsia="Calibri" w:cs="Arial"/>
          <w:i/>
          <w:szCs w:val="24"/>
          <w:lang w:eastAsia="en-US"/>
        </w:rPr>
        <w:t>(gen)</w:t>
      </w:r>
    </w:p>
    <w:p w14:paraId="0A6270A8"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supervision may end successfully in any phase of the process provided both the supervisor and supervisee agree.</w:t>
      </w:r>
      <w:r w:rsidRPr="00EA0DC7">
        <w:rPr>
          <w:rFonts w:eastAsia="Calibri" w:cs="Arial"/>
          <w:szCs w:val="24"/>
          <w:lang w:eastAsia="en-US"/>
        </w:rPr>
        <w:t>’ (Connell, 1984, p. 279)</w:t>
      </w:r>
    </w:p>
    <w:p w14:paraId="7D88A496"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Supervision of supervision</w:t>
      </w:r>
      <w:r w:rsidRPr="00EA0DC7">
        <w:rPr>
          <w:rFonts w:eastAsia="Calibri" w:cs="Arial"/>
          <w:szCs w:val="24"/>
          <w:lang w:eastAsia="en-US"/>
        </w:rPr>
        <w:t xml:space="preserve"> – mentions that supervisors should be supervised </w:t>
      </w:r>
      <w:r w:rsidRPr="00EA0DC7">
        <w:rPr>
          <w:rFonts w:eastAsia="Calibri" w:cs="Arial"/>
          <w:i/>
          <w:szCs w:val="24"/>
          <w:lang w:eastAsia="en-US"/>
        </w:rPr>
        <w:t>(gen)</w:t>
      </w:r>
    </w:p>
    <w:p w14:paraId="7E1EFA3C"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i/>
          <w:szCs w:val="24"/>
          <w:lang w:eastAsia="en-US"/>
        </w:rPr>
        <w:t>‘A training system includes at least three and often four generations: 1. The supervisory mentor/supervisor, 2. The Approved Supervisor candidate, 3. The therapist or trainee, 4. The client-family’</w:t>
      </w:r>
      <w:r w:rsidRPr="00EA0DC7">
        <w:rPr>
          <w:rFonts w:eastAsia="Calibri" w:cs="Arial"/>
          <w:szCs w:val="24"/>
          <w:lang w:eastAsia="en-US"/>
        </w:rPr>
        <w:t xml:space="preserve"> (Lee &amp; Everett, 2004, p. 7)</w:t>
      </w:r>
    </w:p>
    <w:p w14:paraId="0572D7CC"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Regression accepted in supervision</w:t>
      </w:r>
      <w:r w:rsidRPr="00EA0DC7">
        <w:rPr>
          <w:rFonts w:eastAsia="Calibri" w:cs="Arial"/>
          <w:szCs w:val="24"/>
          <w:lang w:eastAsia="en-US"/>
        </w:rPr>
        <w:t xml:space="preserve"> – mentions that regression can occur in supervision </w:t>
      </w:r>
      <w:r w:rsidRPr="00EA0DC7">
        <w:rPr>
          <w:rFonts w:eastAsia="Calibri" w:cs="Arial"/>
          <w:i/>
          <w:szCs w:val="24"/>
          <w:lang w:eastAsia="en-US"/>
        </w:rPr>
        <w:t>(gen)</w:t>
      </w:r>
    </w:p>
    <w:p w14:paraId="21CD544D"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 xml:space="preserve">They </w:t>
      </w:r>
      <w:r w:rsidRPr="00EA0DC7">
        <w:rPr>
          <w:rFonts w:eastAsia="Calibri" w:cs="Arial"/>
          <w:szCs w:val="24"/>
          <w:lang w:eastAsia="en-US"/>
        </w:rPr>
        <w:t xml:space="preserve">[regressive experiences] </w:t>
      </w:r>
      <w:r w:rsidRPr="00EA0DC7">
        <w:rPr>
          <w:rFonts w:eastAsia="Calibri" w:cs="Arial"/>
          <w:i/>
          <w:szCs w:val="24"/>
          <w:lang w:eastAsia="en-US"/>
        </w:rPr>
        <w:t>enliven the supervisory situation and may become a rich source of information about the supervisory and therapeutic processes.</w:t>
      </w:r>
      <w:r w:rsidRPr="00EA0DC7">
        <w:rPr>
          <w:rFonts w:eastAsia="Calibri" w:cs="Arial"/>
          <w:szCs w:val="24"/>
          <w:lang w:eastAsia="en-US"/>
        </w:rPr>
        <w:t>’ (Frawley-O’Dea &amp; Sarnat, 2001, p. 135)</w:t>
      </w:r>
    </w:p>
    <w:p w14:paraId="5D27C15F"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Supervisor can treat/counsel supervisee if agreed by both parties</w:t>
      </w:r>
      <w:r w:rsidRPr="00EA0DC7">
        <w:rPr>
          <w:rFonts w:eastAsia="Calibri" w:cs="Arial"/>
          <w:szCs w:val="24"/>
          <w:lang w:eastAsia="en-US"/>
        </w:rPr>
        <w:t xml:space="preserve"> – mentions that supervisors can treat or counsel their own supervisees in supervision </w:t>
      </w:r>
      <w:r w:rsidRPr="00EA0DC7">
        <w:rPr>
          <w:rFonts w:eastAsia="Calibri" w:cs="Arial"/>
          <w:i/>
          <w:szCs w:val="24"/>
          <w:lang w:eastAsia="en-US"/>
        </w:rPr>
        <w:t>(gen)</w:t>
      </w:r>
    </w:p>
    <w:p w14:paraId="59324A94"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lastRenderedPageBreak/>
        <w:t>‘</w:t>
      </w:r>
      <w:r w:rsidRPr="00EA0DC7">
        <w:rPr>
          <w:rFonts w:eastAsia="Calibri" w:cs="Arial"/>
          <w:i/>
          <w:szCs w:val="24"/>
          <w:lang w:eastAsia="en-US"/>
        </w:rPr>
        <w:t>We have found the Cyclical Model to be an effective structure for using in consultative supervision of supervisors</w:t>
      </w:r>
      <w:r w:rsidRPr="00EA0DC7">
        <w:rPr>
          <w:rFonts w:eastAsia="Calibri" w:cs="Arial"/>
          <w:szCs w:val="24"/>
          <w:lang w:eastAsia="en-US"/>
        </w:rPr>
        <w:t>.’ (Page &amp; Wokset, p. 254)</w:t>
      </w:r>
    </w:p>
    <w:p w14:paraId="7963ED46"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Acknowledgement of emergency situations</w:t>
      </w:r>
      <w:r w:rsidRPr="00EA0DC7">
        <w:rPr>
          <w:rFonts w:eastAsia="Calibri" w:cs="Arial"/>
          <w:szCs w:val="24"/>
          <w:lang w:eastAsia="en-US"/>
        </w:rPr>
        <w:t xml:space="preserve"> – mentions the occurrence of emergency situations </w:t>
      </w:r>
      <w:r w:rsidRPr="00EA0DC7">
        <w:rPr>
          <w:rFonts w:eastAsia="Calibri" w:cs="Arial"/>
          <w:i/>
          <w:szCs w:val="24"/>
          <w:lang w:eastAsia="en-US"/>
        </w:rPr>
        <w:t>(gen)</w:t>
      </w:r>
    </w:p>
    <w:p w14:paraId="09928AA6"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These emergencies can be created and felt by the patient, by his therapist, by the therapist’s supervisor, and also by the administrator.</w:t>
      </w:r>
      <w:r w:rsidRPr="00EA0DC7">
        <w:rPr>
          <w:rFonts w:eastAsia="Calibri" w:cs="Arial"/>
          <w:szCs w:val="24"/>
          <w:lang w:eastAsia="en-US"/>
        </w:rPr>
        <w:t>’ (Ekstein &amp; Wallerstein, 1972, p. 200)</w:t>
      </w:r>
    </w:p>
    <w:p w14:paraId="55DDAB4A"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 xml:space="preserve">Acknowledgement of how an administrator fits into the supervisory process </w:t>
      </w:r>
      <w:r w:rsidRPr="00EA0DC7">
        <w:rPr>
          <w:rFonts w:eastAsia="Calibri" w:cs="Arial"/>
          <w:szCs w:val="24"/>
          <w:lang w:eastAsia="en-US"/>
        </w:rPr>
        <w:t xml:space="preserve">– mentions that an administrator has a specific role in the supervision process </w:t>
      </w:r>
      <w:r w:rsidRPr="00EA0DC7">
        <w:rPr>
          <w:rFonts w:eastAsia="Calibri" w:cs="Arial"/>
          <w:i/>
          <w:szCs w:val="24"/>
          <w:lang w:eastAsia="en-US"/>
        </w:rPr>
        <w:t>(p)</w:t>
      </w:r>
    </w:p>
    <w:p w14:paraId="34011D6F"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If we add an administrator of the clinic who is "over" the supervisor in the organization, we can have a complex relationship between the therapist or counselor (supervisee or student), the supervisor, the client(s), and the administrator.</w:t>
      </w:r>
      <w:r w:rsidRPr="00EA0DC7">
        <w:rPr>
          <w:rFonts w:eastAsia="Calibri" w:cs="Arial"/>
          <w:szCs w:val="24"/>
          <w:lang w:eastAsia="en-US"/>
        </w:rPr>
        <w:t>’ (Ard, 1973, p. 92)</w:t>
      </w:r>
    </w:p>
    <w:p w14:paraId="29D30637"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Focus on solutions/strengths over problems</w:t>
      </w:r>
      <w:r w:rsidRPr="00EA0DC7">
        <w:rPr>
          <w:rFonts w:eastAsia="Calibri" w:cs="Arial"/>
          <w:szCs w:val="24"/>
          <w:lang w:eastAsia="en-US"/>
        </w:rPr>
        <w:t xml:space="preserve"> – model suggests that strengths and of the supervisee and solutions not problems should be focused on in supervision </w:t>
      </w:r>
      <w:r w:rsidRPr="00EA0DC7">
        <w:rPr>
          <w:rFonts w:eastAsia="Calibri" w:cs="Arial"/>
          <w:i/>
          <w:szCs w:val="24"/>
          <w:lang w:eastAsia="en-US"/>
        </w:rPr>
        <w:t>(gen)</w:t>
      </w:r>
    </w:p>
    <w:p w14:paraId="1FA22C1F"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A solution orientation to supervision can be very useful when one considers an important aspect of the process: the expectations and anticipated needs of the therapist.</w:t>
      </w:r>
      <w:r w:rsidRPr="00EA0DC7">
        <w:rPr>
          <w:rFonts w:eastAsia="Calibri" w:cs="Arial"/>
          <w:szCs w:val="24"/>
          <w:lang w:eastAsia="en-US"/>
        </w:rPr>
        <w:t>’ (Thomas, 1994, p. 12)</w:t>
      </w:r>
    </w:p>
    <w:p w14:paraId="2B83675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Client invited into supervision</w:t>
      </w:r>
      <w:r w:rsidRPr="00EA0DC7">
        <w:rPr>
          <w:rFonts w:eastAsia="Calibri" w:cs="Arial"/>
          <w:szCs w:val="24"/>
          <w:lang w:eastAsia="en-US"/>
        </w:rPr>
        <w:t xml:space="preserve"> – mentions that the client should be invited into supervision sessions </w:t>
      </w:r>
      <w:r w:rsidRPr="00EA0DC7">
        <w:rPr>
          <w:rFonts w:eastAsia="Calibri" w:cs="Arial"/>
          <w:i/>
          <w:szCs w:val="24"/>
          <w:lang w:eastAsia="en-US"/>
        </w:rPr>
        <w:t>(str)</w:t>
      </w:r>
    </w:p>
    <w:p w14:paraId="6B1F8842" w14:textId="5911F248"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i/>
          <w:szCs w:val="24"/>
          <w:lang w:eastAsia="en-US"/>
        </w:rPr>
        <w:lastRenderedPageBreak/>
        <w:t>‘To bring forth more respect into the manner</w:t>
      </w:r>
      <w:r w:rsidR="00BA5FB0" w:rsidRPr="00EA0DC7">
        <w:rPr>
          <w:rFonts w:eastAsia="Calibri" w:cs="Arial"/>
          <w:i/>
          <w:szCs w:val="24"/>
          <w:lang w:eastAsia="en-US"/>
        </w:rPr>
        <w:t xml:space="preserve"> we and our co-</w:t>
      </w:r>
      <w:r w:rsidRPr="00EA0DC7">
        <w:rPr>
          <w:rFonts w:eastAsia="Calibri" w:cs="Arial"/>
          <w:i/>
          <w:szCs w:val="24"/>
          <w:lang w:eastAsia="en-US"/>
        </w:rPr>
        <w:t>visees discuss clients, co-visees’ clients are invited to join us in the supervision.</w:t>
      </w:r>
      <w:r w:rsidRPr="00EA0DC7">
        <w:rPr>
          <w:rFonts w:eastAsia="Calibri" w:cs="Arial"/>
          <w:szCs w:val="24"/>
          <w:lang w:eastAsia="en-US"/>
        </w:rPr>
        <w:t>’ (Edwards &amp; Chen, 1999, p. 354)</w:t>
      </w:r>
    </w:p>
    <w:p w14:paraId="33BB3327" w14:textId="77777777" w:rsidR="003F0CDB" w:rsidRPr="00EA0DC7" w:rsidRDefault="003F0CDB" w:rsidP="003F0CDB">
      <w:pPr>
        <w:numPr>
          <w:ilvl w:val="0"/>
          <w:numId w:val="7"/>
        </w:numPr>
        <w:spacing w:after="160"/>
        <w:contextualSpacing/>
        <w:rPr>
          <w:rFonts w:eastAsia="Calibri" w:cs="Arial"/>
          <w:i/>
          <w:szCs w:val="24"/>
          <w:lang w:eastAsia="en-US"/>
        </w:rPr>
      </w:pPr>
      <w:r w:rsidRPr="00EA0DC7">
        <w:rPr>
          <w:rFonts w:eastAsia="Calibri" w:cs="Arial"/>
          <w:b/>
          <w:szCs w:val="24"/>
          <w:lang w:eastAsia="en-US"/>
        </w:rPr>
        <w:t>Feedback from clients</w:t>
      </w:r>
      <w:r w:rsidRPr="00EA0DC7">
        <w:rPr>
          <w:rFonts w:eastAsia="Calibri" w:cs="Arial"/>
          <w:szCs w:val="24"/>
          <w:lang w:eastAsia="en-US"/>
        </w:rPr>
        <w:t xml:space="preserve"> – mentions that feedback should be taken from clients </w:t>
      </w:r>
      <w:r w:rsidRPr="00EA0DC7">
        <w:rPr>
          <w:rFonts w:eastAsia="Calibri" w:cs="Arial"/>
          <w:i/>
          <w:szCs w:val="24"/>
          <w:lang w:eastAsia="en-US"/>
        </w:rPr>
        <w:t>(e)</w:t>
      </w:r>
    </w:p>
    <w:p w14:paraId="2FA63DA7" w14:textId="77777777" w:rsidR="003F0CDB" w:rsidRPr="00EA0DC7" w:rsidRDefault="003F0CDB" w:rsidP="003F0CDB">
      <w:pPr>
        <w:numPr>
          <w:ilvl w:val="1"/>
          <w:numId w:val="7"/>
        </w:numPr>
        <w:spacing w:after="160"/>
        <w:contextualSpacing/>
        <w:rPr>
          <w:rFonts w:eastAsia="Calibri" w:cs="Arial"/>
          <w:i/>
          <w:szCs w:val="24"/>
          <w:lang w:eastAsia="en-US"/>
        </w:rPr>
      </w:pPr>
      <w:r w:rsidRPr="00EA0DC7">
        <w:rPr>
          <w:rFonts w:eastAsia="Calibri" w:cs="Arial"/>
          <w:szCs w:val="24"/>
          <w:lang w:eastAsia="en-US"/>
        </w:rPr>
        <w:t>‘</w:t>
      </w:r>
      <w:r w:rsidRPr="00EA0DC7">
        <w:rPr>
          <w:rFonts w:eastAsia="Calibri" w:cs="Arial"/>
          <w:i/>
          <w:szCs w:val="24"/>
          <w:lang w:eastAsia="en-US"/>
        </w:rPr>
        <w:t>Whatever the techniques and processes employed, feedback-centered supervision values, and sometimes privileges, the opinions of clients about their experiences in therapy.</w:t>
      </w:r>
      <w:r w:rsidRPr="00EA0DC7">
        <w:rPr>
          <w:rFonts w:eastAsia="Calibri" w:cs="Arial"/>
          <w:szCs w:val="24"/>
          <w:lang w:eastAsia="en-US"/>
        </w:rPr>
        <w:t>’ (Lee &amp; Everett, p.103)</w:t>
      </w:r>
    </w:p>
    <w:p w14:paraId="17980B62"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Co-therapy with supervisor</w:t>
      </w:r>
      <w:r w:rsidRPr="00EA0DC7">
        <w:rPr>
          <w:rFonts w:eastAsia="Calibri" w:cs="Arial"/>
          <w:szCs w:val="24"/>
          <w:lang w:eastAsia="en-US"/>
        </w:rPr>
        <w:t xml:space="preserve"> – mention that they supervisor can be invited into the therapy session to provide therapy alongside the supervisee </w:t>
      </w:r>
      <w:r w:rsidRPr="00EA0DC7">
        <w:rPr>
          <w:rFonts w:eastAsia="Calibri" w:cs="Arial"/>
          <w:i/>
          <w:szCs w:val="24"/>
          <w:lang w:eastAsia="en-US"/>
        </w:rPr>
        <w:t>(gen)</w:t>
      </w:r>
    </w:p>
    <w:p w14:paraId="3EF96EAA"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In our setting the supervisor is the co-therapist with the budding clinician in group therapy providing an experience together which is instructive for both</w:t>
      </w:r>
      <w:r w:rsidRPr="00EA0DC7">
        <w:rPr>
          <w:rFonts w:eastAsia="Calibri" w:cs="Arial"/>
          <w:szCs w:val="24"/>
          <w:lang w:eastAsia="en-US"/>
        </w:rPr>
        <w:t>.’ (Hogan, 1964, p.139-140)</w:t>
      </w:r>
    </w:p>
    <w:p w14:paraId="02175537" w14:textId="77777777" w:rsidR="003F0CDB" w:rsidRPr="00EA0DC7" w:rsidRDefault="003F0CDB" w:rsidP="003F0CDB">
      <w:pPr>
        <w:numPr>
          <w:ilvl w:val="0"/>
          <w:numId w:val="7"/>
        </w:numPr>
        <w:spacing w:after="160"/>
        <w:contextualSpacing/>
        <w:rPr>
          <w:rFonts w:eastAsia="Calibri" w:cs="Arial"/>
          <w:szCs w:val="24"/>
          <w:lang w:eastAsia="en-US"/>
        </w:rPr>
      </w:pPr>
      <w:r w:rsidRPr="00EA0DC7">
        <w:rPr>
          <w:rFonts w:eastAsia="Calibri" w:cs="Arial"/>
          <w:b/>
          <w:szCs w:val="24"/>
          <w:lang w:eastAsia="en-US"/>
        </w:rPr>
        <w:t xml:space="preserve">Supervisors have their own individual styles </w:t>
      </w:r>
      <w:r w:rsidRPr="00EA0DC7">
        <w:rPr>
          <w:rFonts w:eastAsia="Calibri" w:cs="Arial"/>
          <w:szCs w:val="24"/>
          <w:lang w:eastAsia="en-US"/>
        </w:rPr>
        <w:t xml:space="preserve">– mention that supervisors how their own styles of conducting supervision </w:t>
      </w:r>
      <w:r w:rsidRPr="00EA0DC7">
        <w:rPr>
          <w:rFonts w:eastAsia="Calibri" w:cs="Arial"/>
          <w:i/>
          <w:szCs w:val="24"/>
          <w:lang w:eastAsia="en-US"/>
        </w:rPr>
        <w:t>(s)</w:t>
      </w:r>
    </w:p>
    <w:p w14:paraId="542CD035" w14:textId="77777777" w:rsidR="003F0CDB" w:rsidRPr="00EA0DC7" w:rsidRDefault="003F0CDB" w:rsidP="003F0CDB">
      <w:pPr>
        <w:numPr>
          <w:ilvl w:val="1"/>
          <w:numId w:val="7"/>
        </w:numPr>
        <w:spacing w:after="160"/>
        <w:contextualSpacing/>
        <w:rPr>
          <w:rFonts w:eastAsia="Calibri" w:cs="Arial"/>
          <w:szCs w:val="24"/>
          <w:lang w:eastAsia="en-US"/>
        </w:rPr>
      </w:pPr>
      <w:r w:rsidRPr="00EA0DC7">
        <w:rPr>
          <w:rFonts w:eastAsia="Calibri" w:cs="Arial"/>
          <w:szCs w:val="24"/>
          <w:lang w:eastAsia="en-US"/>
        </w:rPr>
        <w:t>‘</w:t>
      </w:r>
      <w:r w:rsidRPr="00EA0DC7">
        <w:rPr>
          <w:rFonts w:eastAsia="Calibri" w:cs="Arial"/>
          <w:i/>
          <w:szCs w:val="24"/>
          <w:lang w:eastAsia="en-US"/>
        </w:rPr>
        <w:t>The supervision process should probably represent some balance between the two aspects, depending on the needs and the learning styles of the supervisees and the style of the supervisor.</w:t>
      </w:r>
      <w:r w:rsidRPr="00EA0DC7">
        <w:rPr>
          <w:rFonts w:eastAsia="Calibri" w:cs="Arial"/>
          <w:szCs w:val="24"/>
          <w:lang w:eastAsia="en-US"/>
        </w:rPr>
        <w:t>’ (Rice, 1980, p. 146)</w:t>
      </w:r>
    </w:p>
    <w:p w14:paraId="563C680F" w14:textId="77777777" w:rsidR="003F0CDB" w:rsidRPr="00EA0DC7" w:rsidRDefault="003F0CDB" w:rsidP="003F0CDB">
      <w:pPr>
        <w:numPr>
          <w:ilvl w:val="0"/>
          <w:numId w:val="7"/>
        </w:numPr>
        <w:spacing w:after="160"/>
        <w:contextualSpacing/>
        <w:rPr>
          <w:rFonts w:eastAsia="Calibri" w:cs="Arial"/>
          <w:b/>
          <w:szCs w:val="24"/>
          <w:lang w:eastAsia="en-US"/>
        </w:rPr>
      </w:pPr>
      <w:r w:rsidRPr="00EA0DC7">
        <w:rPr>
          <w:rFonts w:eastAsia="Calibri" w:cs="Arial"/>
          <w:b/>
          <w:szCs w:val="24"/>
          <w:lang w:eastAsia="en-US"/>
        </w:rPr>
        <w:t xml:space="preserve">Cites empirical evidence </w:t>
      </w:r>
      <w:r w:rsidRPr="00EA0DC7">
        <w:rPr>
          <w:rFonts w:eastAsia="Calibri" w:cs="Arial"/>
          <w:i/>
          <w:szCs w:val="24"/>
          <w:lang w:eastAsia="en-US"/>
        </w:rPr>
        <w:t xml:space="preserve">(evidence; ev) – </w:t>
      </w:r>
      <w:r w:rsidRPr="00EA0DC7">
        <w:rPr>
          <w:rFonts w:eastAsia="Calibri" w:cs="Arial"/>
          <w:szCs w:val="24"/>
          <w:lang w:eastAsia="en-US"/>
        </w:rPr>
        <w:t>cites empirical work in the text describing the model, not just other models or quotes.</w:t>
      </w:r>
    </w:p>
    <w:p w14:paraId="5A50F294" w14:textId="15A20EA7" w:rsidR="003F0CDB" w:rsidRPr="00EA0DC7" w:rsidRDefault="003F0CDB" w:rsidP="00245789">
      <w:pPr>
        <w:numPr>
          <w:ilvl w:val="0"/>
          <w:numId w:val="7"/>
        </w:numPr>
        <w:spacing w:after="160" w:line="259" w:lineRule="auto"/>
        <w:contextualSpacing/>
        <w:jc w:val="left"/>
        <w:rPr>
          <w:rFonts w:ascii="Times New Roman" w:eastAsia="Times New Roman" w:hAnsi="Times New Roman" w:cs="Times New Roman"/>
          <w:sz w:val="22"/>
          <w:szCs w:val="24"/>
          <w:lang w:eastAsia="zh-CN"/>
        </w:rPr>
      </w:pPr>
      <w:r w:rsidRPr="00EA0DC7">
        <w:rPr>
          <w:rFonts w:eastAsia="Calibri" w:cs="Arial"/>
          <w:b/>
          <w:szCs w:val="24"/>
          <w:lang w:eastAsia="en-US"/>
        </w:rPr>
        <w:t xml:space="preserve">Based on empirical evidence </w:t>
      </w:r>
      <w:r w:rsidRPr="00EA0DC7">
        <w:rPr>
          <w:rFonts w:eastAsia="Calibri" w:cs="Arial"/>
          <w:i/>
          <w:szCs w:val="24"/>
          <w:lang w:eastAsia="en-US"/>
        </w:rPr>
        <w:t xml:space="preserve">(ev) – </w:t>
      </w:r>
      <w:r w:rsidRPr="00EA0DC7">
        <w:rPr>
          <w:rFonts w:eastAsia="Calibri" w:cs="Arial"/>
          <w:szCs w:val="24"/>
          <w:lang w:eastAsia="en-US"/>
        </w:rPr>
        <w:t>the model is derived from an empirical study.</w:t>
      </w:r>
      <w:r w:rsidRPr="00EA0DC7">
        <w:rPr>
          <w:rFonts w:eastAsia="Times New Roman" w:cs="Times New Roman"/>
        </w:rPr>
        <w:br w:type="page"/>
      </w:r>
    </w:p>
    <w:p w14:paraId="6E770E60" w14:textId="71C25D97" w:rsidR="003F0CDB" w:rsidRPr="00EA0DC7" w:rsidRDefault="003F0CDB" w:rsidP="006B3274">
      <w:pPr>
        <w:pStyle w:val="Heading2"/>
        <w:rPr>
          <w:lang w:eastAsia="zh-CN"/>
        </w:rPr>
      </w:pPr>
      <w:bookmarkStart w:id="218" w:name="_Toc23881300"/>
      <w:bookmarkStart w:id="219" w:name="_Toc24548591"/>
      <w:bookmarkStart w:id="220" w:name="_Toc24548694"/>
      <w:bookmarkStart w:id="221" w:name="_Toc47039881"/>
      <w:r w:rsidRPr="00EA0DC7">
        <w:rPr>
          <w:lang w:eastAsia="zh-CN"/>
        </w:rPr>
        <w:lastRenderedPageBreak/>
        <w:t xml:space="preserve">Appendix </w:t>
      </w:r>
      <w:r w:rsidR="00D247AC" w:rsidRPr="00EA0DC7">
        <w:rPr>
          <w:lang w:eastAsia="zh-CN"/>
        </w:rPr>
        <w:t>2</w:t>
      </w:r>
      <w:r w:rsidRPr="00EA0DC7">
        <w:rPr>
          <w:lang w:eastAsia="zh-CN"/>
        </w:rPr>
        <w:t>B</w:t>
      </w:r>
      <w:r w:rsidR="006B3274" w:rsidRPr="00EA0DC7">
        <w:rPr>
          <w:lang w:eastAsia="zh-CN"/>
        </w:rPr>
        <w:t>. Individual focus in supervision models</w:t>
      </w:r>
      <w:bookmarkEnd w:id="218"/>
      <w:bookmarkEnd w:id="219"/>
      <w:bookmarkEnd w:id="220"/>
      <w:bookmarkEnd w:id="221"/>
    </w:p>
    <w:p w14:paraId="686F6751" w14:textId="2FFEFB86" w:rsidR="003F0CDB" w:rsidRPr="00EA0DC7" w:rsidRDefault="003F0CDB" w:rsidP="003F0CDB">
      <w:pPr>
        <w:spacing w:line="240" w:lineRule="auto"/>
        <w:rPr>
          <w:rFonts w:eastAsia="Calibri" w:cs="Arial"/>
          <w:bCs/>
          <w:i/>
          <w:szCs w:val="24"/>
          <w:lang w:eastAsia="en-US"/>
        </w:rPr>
      </w:pPr>
      <w:r w:rsidRPr="00EA0DC7">
        <w:rPr>
          <w:rFonts w:eastAsia="Calibri" w:cs="Arial"/>
          <w:bCs/>
          <w:szCs w:val="24"/>
          <w:lang w:eastAsia="en-US"/>
        </w:rPr>
        <w:t xml:space="preserve">Table </w:t>
      </w:r>
      <w:r w:rsidR="00D247AC" w:rsidRPr="00EA0DC7">
        <w:rPr>
          <w:rFonts w:eastAsia="Calibri" w:cs="Arial"/>
          <w:bCs/>
          <w:szCs w:val="24"/>
          <w:lang w:eastAsia="en-US"/>
        </w:rPr>
        <w:t>2B</w:t>
      </w:r>
      <w:r w:rsidRPr="00EA0DC7">
        <w:rPr>
          <w:rFonts w:eastAsia="Calibri" w:cs="Arial"/>
          <w:bCs/>
          <w:szCs w:val="24"/>
          <w:lang w:eastAsia="en-US"/>
        </w:rPr>
        <w:t>. Models that focus on each individual in the supervision process.</w:t>
      </w:r>
    </w:p>
    <w:tbl>
      <w:tblPr>
        <w:tblW w:w="8334" w:type="dxa"/>
        <w:tblLook w:val="04A0" w:firstRow="1" w:lastRow="0" w:firstColumn="1" w:lastColumn="0" w:noHBand="0" w:noVBand="1"/>
      </w:tblPr>
      <w:tblGrid>
        <w:gridCol w:w="3969"/>
        <w:gridCol w:w="1465"/>
        <w:gridCol w:w="1471"/>
        <w:gridCol w:w="1429"/>
      </w:tblGrid>
      <w:tr w:rsidR="003F0CDB" w:rsidRPr="00EA0DC7" w14:paraId="4FA77A6F" w14:textId="77777777" w:rsidTr="00F4729C">
        <w:trPr>
          <w:trHeight w:val="146"/>
        </w:trPr>
        <w:tc>
          <w:tcPr>
            <w:tcW w:w="3969" w:type="dxa"/>
            <w:tcBorders>
              <w:top w:val="single" w:sz="4" w:space="0" w:color="auto"/>
              <w:left w:val="nil"/>
              <w:bottom w:val="single" w:sz="4" w:space="0" w:color="auto"/>
            </w:tcBorders>
            <w:shd w:val="clear" w:color="auto" w:fill="auto"/>
            <w:noWrap/>
            <w:hideMark/>
          </w:tcPr>
          <w:p w14:paraId="14DB84BE" w14:textId="77777777" w:rsidR="003F0CDB" w:rsidRPr="00EA0DC7" w:rsidRDefault="003F0CDB" w:rsidP="005F181E">
            <w:pPr>
              <w:spacing w:line="276" w:lineRule="auto"/>
              <w:jc w:val="center"/>
              <w:rPr>
                <w:rFonts w:eastAsia="Times New Roman" w:cs="Arial"/>
                <w:b/>
                <w:bCs/>
                <w:szCs w:val="24"/>
              </w:rPr>
            </w:pPr>
          </w:p>
        </w:tc>
        <w:tc>
          <w:tcPr>
            <w:tcW w:w="1465" w:type="dxa"/>
            <w:tcBorders>
              <w:top w:val="single" w:sz="4" w:space="0" w:color="auto"/>
              <w:bottom w:val="single" w:sz="4" w:space="0" w:color="auto"/>
            </w:tcBorders>
            <w:shd w:val="clear" w:color="auto" w:fill="auto"/>
          </w:tcPr>
          <w:p w14:paraId="4480193B" w14:textId="77777777" w:rsidR="003F0CDB" w:rsidRPr="00EA0DC7" w:rsidRDefault="003F0CDB" w:rsidP="005F181E">
            <w:pPr>
              <w:spacing w:line="276" w:lineRule="auto"/>
              <w:jc w:val="center"/>
              <w:rPr>
                <w:rFonts w:eastAsia="Times New Roman" w:cs="Arial"/>
                <w:b/>
                <w:bCs/>
                <w:szCs w:val="24"/>
              </w:rPr>
            </w:pPr>
            <w:r w:rsidRPr="00EA0DC7">
              <w:rPr>
                <w:rFonts w:eastAsia="Times New Roman" w:cs="Arial"/>
                <w:b/>
                <w:bCs/>
                <w:szCs w:val="24"/>
              </w:rPr>
              <w:t>Focus on supervisor</w:t>
            </w:r>
          </w:p>
        </w:tc>
        <w:tc>
          <w:tcPr>
            <w:tcW w:w="1471" w:type="dxa"/>
            <w:tcBorders>
              <w:top w:val="single" w:sz="4" w:space="0" w:color="auto"/>
              <w:bottom w:val="single" w:sz="4" w:space="0" w:color="auto"/>
            </w:tcBorders>
            <w:shd w:val="clear" w:color="auto" w:fill="auto"/>
          </w:tcPr>
          <w:p w14:paraId="0154CCB8" w14:textId="77777777" w:rsidR="003F0CDB" w:rsidRPr="00EA0DC7" w:rsidRDefault="003F0CDB" w:rsidP="005F181E">
            <w:pPr>
              <w:spacing w:line="276" w:lineRule="auto"/>
              <w:jc w:val="center"/>
              <w:rPr>
                <w:rFonts w:eastAsia="Times New Roman" w:cs="Arial"/>
                <w:b/>
                <w:bCs/>
                <w:szCs w:val="24"/>
              </w:rPr>
            </w:pPr>
            <w:r w:rsidRPr="00EA0DC7">
              <w:rPr>
                <w:rFonts w:eastAsia="Times New Roman" w:cs="Arial"/>
                <w:b/>
                <w:bCs/>
                <w:szCs w:val="24"/>
              </w:rPr>
              <w:t>Focus on supervisee</w:t>
            </w:r>
          </w:p>
        </w:tc>
        <w:tc>
          <w:tcPr>
            <w:tcW w:w="1429" w:type="dxa"/>
            <w:tcBorders>
              <w:top w:val="single" w:sz="4" w:space="0" w:color="auto"/>
              <w:bottom w:val="single" w:sz="4" w:space="0" w:color="auto"/>
            </w:tcBorders>
            <w:shd w:val="clear" w:color="auto" w:fill="auto"/>
          </w:tcPr>
          <w:p w14:paraId="2D3E71FB" w14:textId="77777777" w:rsidR="003F0CDB" w:rsidRPr="00EA0DC7" w:rsidRDefault="003F0CDB" w:rsidP="005F181E">
            <w:pPr>
              <w:spacing w:line="276" w:lineRule="auto"/>
              <w:jc w:val="center"/>
              <w:rPr>
                <w:rFonts w:eastAsia="Times New Roman" w:cs="Arial"/>
                <w:b/>
                <w:bCs/>
                <w:szCs w:val="24"/>
              </w:rPr>
            </w:pPr>
            <w:r w:rsidRPr="00EA0DC7">
              <w:rPr>
                <w:rFonts w:eastAsia="Times New Roman" w:cs="Arial"/>
                <w:b/>
                <w:bCs/>
                <w:szCs w:val="24"/>
              </w:rPr>
              <w:t>Focus on client</w:t>
            </w:r>
          </w:p>
        </w:tc>
      </w:tr>
      <w:tr w:rsidR="003F0CDB" w:rsidRPr="00EA0DC7" w14:paraId="0EA88AEE" w14:textId="77777777" w:rsidTr="00F4729C">
        <w:trPr>
          <w:trHeight w:val="1112"/>
        </w:trPr>
        <w:tc>
          <w:tcPr>
            <w:tcW w:w="3969" w:type="dxa"/>
            <w:tcBorders>
              <w:top w:val="single" w:sz="4" w:space="0" w:color="auto"/>
              <w:left w:val="nil"/>
              <w:tl2br w:val="single" w:sz="4" w:space="0" w:color="auto"/>
            </w:tcBorders>
            <w:shd w:val="clear" w:color="auto" w:fill="auto"/>
            <w:hideMark/>
          </w:tcPr>
          <w:p w14:paraId="6710C7E8" w14:textId="77777777" w:rsidR="003F0CDB" w:rsidRPr="00EA0DC7" w:rsidRDefault="003F0CDB" w:rsidP="005F181E">
            <w:pPr>
              <w:spacing w:after="0" w:line="276" w:lineRule="auto"/>
              <w:jc w:val="right"/>
              <w:rPr>
                <w:rFonts w:eastAsia="Times New Roman" w:cs="Arial"/>
                <w:b/>
                <w:bCs/>
                <w:szCs w:val="24"/>
              </w:rPr>
            </w:pPr>
            <w:r w:rsidRPr="00EA0DC7">
              <w:rPr>
                <w:rFonts w:eastAsia="Times New Roman" w:cs="Arial"/>
                <w:b/>
                <w:bCs/>
                <w:szCs w:val="24"/>
              </w:rPr>
              <w:t>No. of models</w:t>
            </w:r>
          </w:p>
          <w:p w14:paraId="09D1EDB2" w14:textId="77777777" w:rsidR="003F0CDB" w:rsidRPr="00EA0DC7" w:rsidRDefault="003F0CDB" w:rsidP="005F181E">
            <w:pPr>
              <w:spacing w:after="0" w:line="276" w:lineRule="auto"/>
              <w:jc w:val="right"/>
              <w:rPr>
                <w:rFonts w:eastAsia="Times New Roman" w:cs="Arial"/>
                <w:b/>
                <w:bCs/>
                <w:szCs w:val="24"/>
              </w:rPr>
            </w:pPr>
            <w:r w:rsidRPr="00EA0DC7">
              <w:rPr>
                <w:rFonts w:eastAsia="Times New Roman" w:cs="Arial"/>
                <w:b/>
                <w:bCs/>
                <w:szCs w:val="24"/>
              </w:rPr>
              <w:t>with</w:t>
            </w:r>
          </w:p>
          <w:p w14:paraId="5598740B" w14:textId="77777777" w:rsidR="003F0CDB" w:rsidRPr="00EA0DC7" w:rsidRDefault="003F0CDB" w:rsidP="005F181E">
            <w:pPr>
              <w:spacing w:after="0" w:line="276" w:lineRule="auto"/>
              <w:jc w:val="right"/>
              <w:rPr>
                <w:rFonts w:eastAsia="Times New Roman" w:cs="Arial"/>
                <w:b/>
                <w:bCs/>
                <w:szCs w:val="24"/>
              </w:rPr>
            </w:pPr>
            <w:r w:rsidRPr="00EA0DC7">
              <w:rPr>
                <w:rFonts w:eastAsia="Times New Roman" w:cs="Arial"/>
                <w:b/>
                <w:bCs/>
                <w:szCs w:val="24"/>
              </w:rPr>
              <w:t>element</w:t>
            </w:r>
          </w:p>
          <w:p w14:paraId="54A8B48B" w14:textId="77777777" w:rsidR="003F0CDB" w:rsidRPr="00EA0DC7" w:rsidRDefault="003F0CDB" w:rsidP="005F181E">
            <w:pPr>
              <w:spacing w:after="0" w:line="276" w:lineRule="auto"/>
              <w:rPr>
                <w:rFonts w:eastAsia="Times New Roman" w:cs="Arial"/>
                <w:b/>
                <w:bCs/>
                <w:szCs w:val="24"/>
              </w:rPr>
            </w:pPr>
            <w:r w:rsidRPr="00EA0DC7">
              <w:rPr>
                <w:rFonts w:eastAsia="Times New Roman" w:cs="Arial"/>
                <w:b/>
                <w:bCs/>
                <w:szCs w:val="24"/>
              </w:rPr>
              <w:t>Model/ approach</w:t>
            </w:r>
          </w:p>
          <w:p w14:paraId="67231D93" w14:textId="77777777" w:rsidR="003F0CDB" w:rsidRPr="00EA0DC7" w:rsidRDefault="003F0CDB" w:rsidP="005F181E">
            <w:pPr>
              <w:spacing w:after="0" w:line="276" w:lineRule="auto"/>
              <w:jc w:val="right"/>
              <w:rPr>
                <w:rFonts w:eastAsia="Times New Roman" w:cs="Arial"/>
                <w:b/>
                <w:bCs/>
                <w:szCs w:val="24"/>
              </w:rPr>
            </w:pPr>
          </w:p>
        </w:tc>
        <w:tc>
          <w:tcPr>
            <w:tcW w:w="1465" w:type="dxa"/>
            <w:tcBorders>
              <w:top w:val="single" w:sz="4" w:space="0" w:color="auto"/>
            </w:tcBorders>
            <w:shd w:val="clear" w:color="auto" w:fill="auto"/>
            <w:vAlign w:val="center"/>
          </w:tcPr>
          <w:p w14:paraId="49326B84"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42</w:t>
            </w:r>
          </w:p>
          <w:p w14:paraId="2E537C00"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(80.77%)</w:t>
            </w:r>
          </w:p>
        </w:tc>
        <w:tc>
          <w:tcPr>
            <w:tcW w:w="1471" w:type="dxa"/>
            <w:tcBorders>
              <w:top w:val="single" w:sz="4" w:space="0" w:color="auto"/>
            </w:tcBorders>
            <w:shd w:val="clear" w:color="auto" w:fill="auto"/>
            <w:vAlign w:val="center"/>
          </w:tcPr>
          <w:p w14:paraId="53C8C5B2"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49</w:t>
            </w:r>
          </w:p>
          <w:p w14:paraId="58551242"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(94.23%)</w:t>
            </w:r>
          </w:p>
        </w:tc>
        <w:tc>
          <w:tcPr>
            <w:tcW w:w="1429" w:type="dxa"/>
            <w:tcBorders>
              <w:top w:val="single" w:sz="4" w:space="0" w:color="auto"/>
            </w:tcBorders>
            <w:shd w:val="clear" w:color="auto" w:fill="auto"/>
            <w:vAlign w:val="center"/>
          </w:tcPr>
          <w:p w14:paraId="52AA4A96"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25</w:t>
            </w:r>
          </w:p>
          <w:p w14:paraId="69FC49CF" w14:textId="77777777" w:rsidR="003F0CDB" w:rsidRPr="00EA0DC7" w:rsidRDefault="003F0CDB" w:rsidP="005F181E">
            <w:pPr>
              <w:spacing w:after="0" w:line="276" w:lineRule="auto"/>
              <w:jc w:val="center"/>
              <w:rPr>
                <w:rFonts w:eastAsia="Times New Roman" w:cs="Arial"/>
                <w:bCs/>
                <w:szCs w:val="24"/>
              </w:rPr>
            </w:pPr>
            <w:r w:rsidRPr="00EA0DC7">
              <w:rPr>
                <w:rFonts w:eastAsia="Times New Roman" w:cs="Arial"/>
                <w:bCs/>
                <w:szCs w:val="24"/>
              </w:rPr>
              <w:t>(48.08%)</w:t>
            </w:r>
          </w:p>
        </w:tc>
      </w:tr>
      <w:tr w:rsidR="003F0CDB" w:rsidRPr="00EA0DC7" w14:paraId="68D58EB4" w14:textId="77777777" w:rsidTr="00F4729C">
        <w:trPr>
          <w:trHeight w:val="567"/>
        </w:trPr>
        <w:tc>
          <w:tcPr>
            <w:tcW w:w="3969" w:type="dxa"/>
            <w:tcBorders>
              <w:left w:val="nil"/>
              <w:bottom w:val="nil"/>
            </w:tcBorders>
            <w:shd w:val="clear" w:color="auto" w:fill="auto"/>
            <w:hideMark/>
          </w:tcPr>
          <w:p w14:paraId="72E6822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Hogan (1964)</w:t>
            </w:r>
          </w:p>
        </w:tc>
        <w:tc>
          <w:tcPr>
            <w:tcW w:w="1465" w:type="dxa"/>
            <w:shd w:val="clear" w:color="auto" w:fill="auto"/>
            <w:noWrap/>
            <w:hideMark/>
          </w:tcPr>
          <w:p w14:paraId="101D27FC" w14:textId="77777777" w:rsidR="003F0CDB" w:rsidRPr="00EA0DC7" w:rsidRDefault="003F0CDB" w:rsidP="005F181E">
            <w:pPr>
              <w:spacing w:line="276" w:lineRule="auto"/>
              <w:jc w:val="center"/>
              <w:rPr>
                <w:rFonts w:eastAsia="Times New Roman" w:cs="Arial"/>
                <w:szCs w:val="24"/>
              </w:rPr>
            </w:pPr>
          </w:p>
        </w:tc>
        <w:tc>
          <w:tcPr>
            <w:tcW w:w="1471" w:type="dxa"/>
            <w:shd w:val="clear" w:color="auto" w:fill="auto"/>
            <w:noWrap/>
            <w:hideMark/>
          </w:tcPr>
          <w:p w14:paraId="49939908"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shd w:val="clear" w:color="auto" w:fill="auto"/>
            <w:noWrap/>
            <w:hideMark/>
          </w:tcPr>
          <w:p w14:paraId="3E62A15F" w14:textId="77777777" w:rsidR="003F0CDB" w:rsidRPr="00EA0DC7" w:rsidRDefault="003F0CDB" w:rsidP="005F181E">
            <w:pPr>
              <w:spacing w:line="276" w:lineRule="auto"/>
              <w:jc w:val="center"/>
              <w:rPr>
                <w:rFonts w:eastAsia="Times New Roman" w:cs="Arial"/>
                <w:szCs w:val="24"/>
              </w:rPr>
            </w:pPr>
          </w:p>
        </w:tc>
      </w:tr>
      <w:tr w:rsidR="003F0CDB" w:rsidRPr="00EA0DC7" w14:paraId="3BB34320" w14:textId="77777777" w:rsidTr="00CE607C">
        <w:trPr>
          <w:trHeight w:val="567"/>
        </w:trPr>
        <w:tc>
          <w:tcPr>
            <w:tcW w:w="3969" w:type="dxa"/>
            <w:tcBorders>
              <w:top w:val="nil"/>
              <w:left w:val="nil"/>
              <w:bottom w:val="nil"/>
            </w:tcBorders>
            <w:shd w:val="clear" w:color="auto" w:fill="auto"/>
            <w:hideMark/>
          </w:tcPr>
          <w:p w14:paraId="63D07D62"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Ekstein &amp; Wallerstein (1972)</w:t>
            </w:r>
          </w:p>
        </w:tc>
        <w:tc>
          <w:tcPr>
            <w:tcW w:w="1465" w:type="dxa"/>
            <w:shd w:val="clear" w:color="auto" w:fill="auto"/>
            <w:noWrap/>
            <w:hideMark/>
          </w:tcPr>
          <w:p w14:paraId="50670B51"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shd w:val="clear" w:color="auto" w:fill="auto"/>
            <w:noWrap/>
            <w:hideMark/>
          </w:tcPr>
          <w:p w14:paraId="1C29FFCA"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shd w:val="clear" w:color="auto" w:fill="auto"/>
            <w:noWrap/>
            <w:hideMark/>
          </w:tcPr>
          <w:p w14:paraId="1246A84D"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6C1B9A5E" w14:textId="77777777" w:rsidTr="00CE607C">
        <w:trPr>
          <w:trHeight w:val="567"/>
        </w:trPr>
        <w:tc>
          <w:tcPr>
            <w:tcW w:w="3969" w:type="dxa"/>
            <w:tcBorders>
              <w:top w:val="nil"/>
              <w:left w:val="nil"/>
              <w:bottom w:val="nil"/>
              <w:right w:val="nil"/>
            </w:tcBorders>
            <w:shd w:val="clear" w:color="auto" w:fill="auto"/>
            <w:hideMark/>
          </w:tcPr>
          <w:p w14:paraId="67230275"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Mueller &amp; Kell (1971)</w:t>
            </w:r>
          </w:p>
        </w:tc>
        <w:tc>
          <w:tcPr>
            <w:tcW w:w="1465" w:type="dxa"/>
            <w:tcBorders>
              <w:left w:val="nil"/>
              <w:bottom w:val="nil"/>
              <w:right w:val="nil"/>
            </w:tcBorders>
            <w:shd w:val="clear" w:color="auto" w:fill="auto"/>
            <w:noWrap/>
            <w:hideMark/>
          </w:tcPr>
          <w:p w14:paraId="4522288E"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bottom w:val="nil"/>
              <w:right w:val="nil"/>
            </w:tcBorders>
            <w:shd w:val="clear" w:color="auto" w:fill="auto"/>
            <w:noWrap/>
            <w:hideMark/>
          </w:tcPr>
          <w:p w14:paraId="4A7AB88F"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bottom w:val="nil"/>
              <w:right w:val="nil"/>
            </w:tcBorders>
            <w:shd w:val="clear" w:color="auto" w:fill="auto"/>
            <w:noWrap/>
            <w:hideMark/>
          </w:tcPr>
          <w:p w14:paraId="61073225"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2B06331D" w14:textId="77777777" w:rsidTr="00CE607C">
        <w:trPr>
          <w:trHeight w:val="567"/>
        </w:trPr>
        <w:tc>
          <w:tcPr>
            <w:tcW w:w="3969" w:type="dxa"/>
            <w:tcBorders>
              <w:top w:val="nil"/>
              <w:left w:val="nil"/>
              <w:bottom w:val="nil"/>
              <w:right w:val="nil"/>
            </w:tcBorders>
            <w:shd w:val="clear" w:color="auto" w:fill="auto"/>
            <w:hideMark/>
          </w:tcPr>
          <w:p w14:paraId="79FDFBA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Delaney (1972)</w:t>
            </w:r>
          </w:p>
        </w:tc>
        <w:tc>
          <w:tcPr>
            <w:tcW w:w="1465" w:type="dxa"/>
            <w:tcBorders>
              <w:top w:val="nil"/>
              <w:left w:val="nil"/>
              <w:bottom w:val="nil"/>
              <w:right w:val="nil"/>
            </w:tcBorders>
            <w:shd w:val="clear" w:color="auto" w:fill="auto"/>
            <w:noWrap/>
            <w:hideMark/>
          </w:tcPr>
          <w:p w14:paraId="1FAD6C60"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5B2365D5"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780676BD"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13CC2C51" w14:textId="77777777" w:rsidTr="00CE607C">
        <w:trPr>
          <w:trHeight w:val="567"/>
        </w:trPr>
        <w:tc>
          <w:tcPr>
            <w:tcW w:w="3969" w:type="dxa"/>
            <w:tcBorders>
              <w:top w:val="nil"/>
              <w:left w:val="nil"/>
              <w:bottom w:val="nil"/>
              <w:right w:val="nil"/>
            </w:tcBorders>
            <w:shd w:val="clear" w:color="auto" w:fill="auto"/>
            <w:hideMark/>
          </w:tcPr>
          <w:p w14:paraId="27E39C27"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Ard (1973)</w:t>
            </w:r>
          </w:p>
        </w:tc>
        <w:tc>
          <w:tcPr>
            <w:tcW w:w="1465" w:type="dxa"/>
            <w:tcBorders>
              <w:top w:val="nil"/>
              <w:left w:val="nil"/>
              <w:bottom w:val="nil"/>
              <w:right w:val="nil"/>
            </w:tcBorders>
            <w:shd w:val="clear" w:color="auto" w:fill="auto"/>
            <w:noWrap/>
            <w:hideMark/>
          </w:tcPr>
          <w:p w14:paraId="61EA5BFB"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76D7A7E3"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4A50AB65"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2D73DCF4" w14:textId="77777777" w:rsidTr="00CE607C">
        <w:trPr>
          <w:trHeight w:val="567"/>
        </w:trPr>
        <w:tc>
          <w:tcPr>
            <w:tcW w:w="3969" w:type="dxa"/>
            <w:tcBorders>
              <w:top w:val="nil"/>
              <w:left w:val="nil"/>
              <w:bottom w:val="nil"/>
              <w:right w:val="nil"/>
            </w:tcBorders>
            <w:shd w:val="clear" w:color="auto" w:fill="auto"/>
            <w:hideMark/>
          </w:tcPr>
          <w:p w14:paraId="1ACCE51D"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Bernard (1979)</w:t>
            </w:r>
          </w:p>
        </w:tc>
        <w:tc>
          <w:tcPr>
            <w:tcW w:w="1465" w:type="dxa"/>
            <w:tcBorders>
              <w:top w:val="nil"/>
              <w:left w:val="nil"/>
              <w:bottom w:val="nil"/>
              <w:right w:val="nil"/>
            </w:tcBorders>
            <w:shd w:val="clear" w:color="auto" w:fill="auto"/>
            <w:noWrap/>
            <w:hideMark/>
          </w:tcPr>
          <w:p w14:paraId="417E3A2A"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228A32AE"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2AC6F363" w14:textId="77777777" w:rsidR="003F0CDB" w:rsidRPr="00EA0DC7" w:rsidRDefault="003F0CDB" w:rsidP="005F181E">
            <w:pPr>
              <w:spacing w:line="276" w:lineRule="auto"/>
              <w:jc w:val="center"/>
              <w:rPr>
                <w:rFonts w:eastAsia="Times New Roman" w:cs="Arial"/>
                <w:szCs w:val="24"/>
              </w:rPr>
            </w:pPr>
          </w:p>
        </w:tc>
      </w:tr>
      <w:tr w:rsidR="003F0CDB" w:rsidRPr="00EA0DC7" w14:paraId="172A8F25" w14:textId="77777777" w:rsidTr="00CE607C">
        <w:trPr>
          <w:trHeight w:val="567"/>
        </w:trPr>
        <w:tc>
          <w:tcPr>
            <w:tcW w:w="3969" w:type="dxa"/>
            <w:tcBorders>
              <w:top w:val="nil"/>
              <w:left w:val="nil"/>
              <w:bottom w:val="nil"/>
              <w:right w:val="nil"/>
            </w:tcBorders>
            <w:shd w:val="clear" w:color="auto" w:fill="auto"/>
            <w:hideMark/>
          </w:tcPr>
          <w:p w14:paraId="50F05B20"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Littrell et al. (1979)</w:t>
            </w:r>
          </w:p>
        </w:tc>
        <w:tc>
          <w:tcPr>
            <w:tcW w:w="1465" w:type="dxa"/>
            <w:tcBorders>
              <w:top w:val="nil"/>
              <w:left w:val="nil"/>
              <w:bottom w:val="nil"/>
              <w:right w:val="nil"/>
            </w:tcBorders>
            <w:shd w:val="clear" w:color="auto" w:fill="auto"/>
            <w:noWrap/>
            <w:hideMark/>
          </w:tcPr>
          <w:p w14:paraId="2FE4B657"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7433E7AB"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064B7094" w14:textId="77777777" w:rsidR="003F0CDB" w:rsidRPr="00EA0DC7" w:rsidRDefault="003F0CDB" w:rsidP="005F181E">
            <w:pPr>
              <w:spacing w:line="276" w:lineRule="auto"/>
              <w:jc w:val="center"/>
              <w:rPr>
                <w:rFonts w:eastAsia="Times New Roman" w:cs="Arial"/>
                <w:szCs w:val="24"/>
              </w:rPr>
            </w:pPr>
          </w:p>
        </w:tc>
      </w:tr>
      <w:tr w:rsidR="003F0CDB" w:rsidRPr="00EA0DC7" w14:paraId="1D62A206" w14:textId="77777777" w:rsidTr="00CE607C">
        <w:trPr>
          <w:trHeight w:val="567"/>
        </w:trPr>
        <w:tc>
          <w:tcPr>
            <w:tcW w:w="3969" w:type="dxa"/>
            <w:tcBorders>
              <w:top w:val="nil"/>
              <w:left w:val="nil"/>
              <w:bottom w:val="nil"/>
              <w:right w:val="nil"/>
            </w:tcBorders>
            <w:shd w:val="clear" w:color="auto" w:fill="auto"/>
            <w:hideMark/>
          </w:tcPr>
          <w:p w14:paraId="56C24CD1"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Langs (1980)</w:t>
            </w:r>
          </w:p>
        </w:tc>
        <w:tc>
          <w:tcPr>
            <w:tcW w:w="1465" w:type="dxa"/>
            <w:tcBorders>
              <w:top w:val="nil"/>
              <w:left w:val="nil"/>
              <w:bottom w:val="nil"/>
              <w:right w:val="nil"/>
            </w:tcBorders>
            <w:shd w:val="clear" w:color="auto" w:fill="auto"/>
            <w:noWrap/>
            <w:hideMark/>
          </w:tcPr>
          <w:p w14:paraId="7709C79D"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4D3BBC22"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07AD45FD"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0A28FB19" w14:textId="77777777" w:rsidTr="00CE607C">
        <w:trPr>
          <w:trHeight w:val="567"/>
        </w:trPr>
        <w:tc>
          <w:tcPr>
            <w:tcW w:w="3969" w:type="dxa"/>
            <w:tcBorders>
              <w:top w:val="nil"/>
              <w:left w:val="nil"/>
              <w:bottom w:val="nil"/>
              <w:right w:val="nil"/>
            </w:tcBorders>
            <w:shd w:val="clear" w:color="auto" w:fill="auto"/>
            <w:hideMark/>
          </w:tcPr>
          <w:p w14:paraId="6BEE92F9"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Rice (1980)</w:t>
            </w:r>
          </w:p>
        </w:tc>
        <w:tc>
          <w:tcPr>
            <w:tcW w:w="1465" w:type="dxa"/>
            <w:tcBorders>
              <w:top w:val="nil"/>
              <w:left w:val="nil"/>
              <w:bottom w:val="nil"/>
              <w:right w:val="nil"/>
            </w:tcBorders>
            <w:shd w:val="clear" w:color="auto" w:fill="auto"/>
            <w:noWrap/>
            <w:hideMark/>
          </w:tcPr>
          <w:p w14:paraId="3A894FA5" w14:textId="77777777" w:rsidR="003F0CDB" w:rsidRPr="00EA0DC7" w:rsidRDefault="003F0CDB" w:rsidP="005F181E">
            <w:pPr>
              <w:spacing w:line="276" w:lineRule="auto"/>
              <w:jc w:val="center"/>
              <w:rPr>
                <w:rFonts w:eastAsia="Times New Roman" w:cs="Arial"/>
                <w:szCs w:val="24"/>
              </w:rPr>
            </w:pPr>
          </w:p>
        </w:tc>
        <w:tc>
          <w:tcPr>
            <w:tcW w:w="1471" w:type="dxa"/>
            <w:tcBorders>
              <w:top w:val="nil"/>
              <w:left w:val="nil"/>
              <w:bottom w:val="nil"/>
              <w:right w:val="nil"/>
            </w:tcBorders>
            <w:shd w:val="clear" w:color="auto" w:fill="auto"/>
            <w:noWrap/>
            <w:hideMark/>
          </w:tcPr>
          <w:p w14:paraId="40C14A14"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243B2A3" w14:textId="77777777" w:rsidR="003F0CDB" w:rsidRPr="00EA0DC7" w:rsidRDefault="003F0CDB" w:rsidP="005F181E">
            <w:pPr>
              <w:spacing w:line="276" w:lineRule="auto"/>
              <w:jc w:val="center"/>
              <w:rPr>
                <w:rFonts w:eastAsia="Times New Roman" w:cs="Arial"/>
                <w:szCs w:val="24"/>
              </w:rPr>
            </w:pPr>
          </w:p>
        </w:tc>
      </w:tr>
      <w:tr w:rsidR="003F0CDB" w:rsidRPr="00EA0DC7" w14:paraId="21546C6E" w14:textId="77777777" w:rsidTr="00CE607C">
        <w:trPr>
          <w:trHeight w:val="567"/>
        </w:trPr>
        <w:tc>
          <w:tcPr>
            <w:tcW w:w="3969" w:type="dxa"/>
            <w:tcBorders>
              <w:top w:val="nil"/>
              <w:left w:val="nil"/>
              <w:bottom w:val="nil"/>
              <w:right w:val="nil"/>
            </w:tcBorders>
            <w:shd w:val="clear" w:color="auto" w:fill="auto"/>
            <w:hideMark/>
          </w:tcPr>
          <w:p w14:paraId="6135A66D"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Linehan (1980)</w:t>
            </w:r>
          </w:p>
        </w:tc>
        <w:tc>
          <w:tcPr>
            <w:tcW w:w="1465" w:type="dxa"/>
            <w:tcBorders>
              <w:top w:val="nil"/>
              <w:left w:val="nil"/>
              <w:bottom w:val="nil"/>
              <w:right w:val="nil"/>
            </w:tcBorders>
            <w:shd w:val="clear" w:color="auto" w:fill="auto"/>
            <w:noWrap/>
            <w:hideMark/>
          </w:tcPr>
          <w:p w14:paraId="623E9437"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5C8DC0C"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5AE7892" w14:textId="77777777" w:rsidR="003F0CDB" w:rsidRPr="00EA0DC7" w:rsidRDefault="003F0CDB" w:rsidP="005F181E">
            <w:pPr>
              <w:spacing w:line="276" w:lineRule="auto"/>
              <w:jc w:val="center"/>
              <w:rPr>
                <w:rFonts w:eastAsia="Times New Roman" w:cs="Arial"/>
                <w:szCs w:val="24"/>
              </w:rPr>
            </w:pPr>
          </w:p>
        </w:tc>
      </w:tr>
      <w:tr w:rsidR="003F0CDB" w:rsidRPr="00EA0DC7" w14:paraId="0B6F0A68" w14:textId="77777777" w:rsidTr="00CE607C">
        <w:trPr>
          <w:trHeight w:val="567"/>
        </w:trPr>
        <w:tc>
          <w:tcPr>
            <w:tcW w:w="3969" w:type="dxa"/>
            <w:tcBorders>
              <w:top w:val="nil"/>
              <w:left w:val="nil"/>
              <w:right w:val="nil"/>
            </w:tcBorders>
            <w:shd w:val="clear" w:color="auto" w:fill="auto"/>
            <w:hideMark/>
          </w:tcPr>
          <w:p w14:paraId="3ED0874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Beier &amp; Young (1980)</w:t>
            </w:r>
          </w:p>
        </w:tc>
        <w:tc>
          <w:tcPr>
            <w:tcW w:w="1465" w:type="dxa"/>
            <w:tcBorders>
              <w:top w:val="nil"/>
              <w:left w:val="nil"/>
              <w:right w:val="nil"/>
            </w:tcBorders>
            <w:shd w:val="clear" w:color="auto" w:fill="auto"/>
            <w:noWrap/>
            <w:hideMark/>
          </w:tcPr>
          <w:p w14:paraId="60E3C940" w14:textId="77777777" w:rsidR="003F0CDB" w:rsidRPr="00EA0DC7" w:rsidRDefault="003F0CDB" w:rsidP="005F181E">
            <w:pPr>
              <w:spacing w:line="276" w:lineRule="auto"/>
              <w:jc w:val="center"/>
              <w:rPr>
                <w:rFonts w:eastAsia="Times New Roman" w:cs="Arial"/>
                <w:szCs w:val="24"/>
              </w:rPr>
            </w:pPr>
          </w:p>
        </w:tc>
        <w:tc>
          <w:tcPr>
            <w:tcW w:w="1471" w:type="dxa"/>
            <w:tcBorders>
              <w:top w:val="nil"/>
              <w:left w:val="nil"/>
              <w:right w:val="nil"/>
            </w:tcBorders>
            <w:shd w:val="clear" w:color="auto" w:fill="auto"/>
            <w:noWrap/>
            <w:hideMark/>
          </w:tcPr>
          <w:p w14:paraId="1DAC7724"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7C636037" w14:textId="77777777" w:rsidR="003F0CDB" w:rsidRPr="00EA0DC7" w:rsidRDefault="003F0CDB" w:rsidP="005F181E">
            <w:pPr>
              <w:spacing w:line="276" w:lineRule="auto"/>
              <w:jc w:val="center"/>
              <w:rPr>
                <w:rFonts w:eastAsia="Times New Roman" w:cs="Arial"/>
                <w:szCs w:val="24"/>
              </w:rPr>
            </w:pPr>
          </w:p>
        </w:tc>
      </w:tr>
      <w:tr w:rsidR="003F0CDB" w:rsidRPr="00EA0DC7" w14:paraId="5D834295" w14:textId="77777777" w:rsidTr="00CE607C">
        <w:trPr>
          <w:trHeight w:val="567"/>
        </w:trPr>
        <w:tc>
          <w:tcPr>
            <w:tcW w:w="3969" w:type="dxa"/>
            <w:tcBorders>
              <w:top w:val="nil"/>
              <w:left w:val="nil"/>
              <w:right w:val="nil"/>
            </w:tcBorders>
            <w:shd w:val="clear" w:color="auto" w:fill="auto"/>
            <w:hideMark/>
          </w:tcPr>
          <w:p w14:paraId="3DEEE4F7"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Stoltenberg (1981)</w:t>
            </w:r>
          </w:p>
        </w:tc>
        <w:tc>
          <w:tcPr>
            <w:tcW w:w="1465" w:type="dxa"/>
            <w:tcBorders>
              <w:top w:val="nil"/>
              <w:left w:val="nil"/>
              <w:right w:val="nil"/>
            </w:tcBorders>
            <w:shd w:val="clear" w:color="auto" w:fill="auto"/>
            <w:noWrap/>
            <w:hideMark/>
          </w:tcPr>
          <w:p w14:paraId="10D29F84"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7B3E3EE0"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1DFF12DC" w14:textId="77777777" w:rsidR="003F0CDB" w:rsidRPr="00EA0DC7" w:rsidRDefault="003F0CDB" w:rsidP="005F181E">
            <w:pPr>
              <w:spacing w:line="276" w:lineRule="auto"/>
              <w:jc w:val="center"/>
              <w:rPr>
                <w:rFonts w:eastAsia="Times New Roman" w:cs="Arial"/>
                <w:szCs w:val="24"/>
              </w:rPr>
            </w:pPr>
          </w:p>
        </w:tc>
      </w:tr>
      <w:tr w:rsidR="003F0CDB" w:rsidRPr="00EA0DC7" w14:paraId="42AD4BF8" w14:textId="77777777" w:rsidTr="00CE607C">
        <w:trPr>
          <w:trHeight w:val="567"/>
        </w:trPr>
        <w:tc>
          <w:tcPr>
            <w:tcW w:w="3969" w:type="dxa"/>
            <w:tcBorders>
              <w:left w:val="nil"/>
              <w:right w:val="nil"/>
            </w:tcBorders>
            <w:shd w:val="clear" w:color="auto" w:fill="auto"/>
            <w:hideMark/>
          </w:tcPr>
          <w:p w14:paraId="0F9E44F8"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Loganbill et al. (1982)</w:t>
            </w:r>
          </w:p>
        </w:tc>
        <w:tc>
          <w:tcPr>
            <w:tcW w:w="1465" w:type="dxa"/>
            <w:tcBorders>
              <w:left w:val="nil"/>
              <w:right w:val="nil"/>
            </w:tcBorders>
            <w:shd w:val="clear" w:color="auto" w:fill="auto"/>
            <w:noWrap/>
            <w:hideMark/>
          </w:tcPr>
          <w:p w14:paraId="45C894B7"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right w:val="nil"/>
            </w:tcBorders>
            <w:shd w:val="clear" w:color="auto" w:fill="auto"/>
            <w:noWrap/>
            <w:hideMark/>
          </w:tcPr>
          <w:p w14:paraId="3AFE1A48"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right w:val="nil"/>
            </w:tcBorders>
            <w:shd w:val="clear" w:color="auto" w:fill="auto"/>
            <w:noWrap/>
            <w:hideMark/>
          </w:tcPr>
          <w:p w14:paraId="414301EA"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550134C1" w14:textId="77777777" w:rsidTr="00CE607C">
        <w:trPr>
          <w:trHeight w:val="567"/>
        </w:trPr>
        <w:tc>
          <w:tcPr>
            <w:tcW w:w="3969" w:type="dxa"/>
            <w:tcBorders>
              <w:top w:val="nil"/>
              <w:left w:val="nil"/>
              <w:right w:val="nil"/>
            </w:tcBorders>
            <w:shd w:val="clear" w:color="auto" w:fill="auto"/>
            <w:hideMark/>
          </w:tcPr>
          <w:p w14:paraId="0D483A65"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Yogev (1982)</w:t>
            </w:r>
          </w:p>
        </w:tc>
        <w:tc>
          <w:tcPr>
            <w:tcW w:w="1465" w:type="dxa"/>
            <w:tcBorders>
              <w:top w:val="nil"/>
              <w:left w:val="nil"/>
              <w:right w:val="nil"/>
            </w:tcBorders>
            <w:shd w:val="clear" w:color="auto" w:fill="auto"/>
            <w:noWrap/>
            <w:hideMark/>
          </w:tcPr>
          <w:p w14:paraId="26F4EB3E"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1CF165FE"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73E28B26" w14:textId="77777777" w:rsidR="003F0CDB" w:rsidRPr="00EA0DC7" w:rsidRDefault="003F0CDB" w:rsidP="005F181E">
            <w:pPr>
              <w:spacing w:line="276" w:lineRule="auto"/>
              <w:jc w:val="center"/>
              <w:rPr>
                <w:rFonts w:eastAsia="Times New Roman" w:cs="Arial"/>
                <w:szCs w:val="24"/>
              </w:rPr>
            </w:pPr>
          </w:p>
        </w:tc>
      </w:tr>
      <w:tr w:rsidR="003F0CDB" w:rsidRPr="00EA0DC7" w14:paraId="461D9FA8" w14:textId="77777777" w:rsidTr="00CE607C">
        <w:trPr>
          <w:trHeight w:val="567"/>
        </w:trPr>
        <w:tc>
          <w:tcPr>
            <w:tcW w:w="3969" w:type="dxa"/>
            <w:shd w:val="clear" w:color="auto" w:fill="auto"/>
          </w:tcPr>
          <w:p w14:paraId="5145FBD0"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Blocher (1983)</w:t>
            </w:r>
          </w:p>
        </w:tc>
        <w:tc>
          <w:tcPr>
            <w:tcW w:w="1465" w:type="dxa"/>
            <w:shd w:val="clear" w:color="auto" w:fill="auto"/>
            <w:noWrap/>
          </w:tcPr>
          <w:p w14:paraId="04DA2AD1"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bottom w:val="nil"/>
              <w:right w:val="nil"/>
            </w:tcBorders>
            <w:shd w:val="clear" w:color="auto" w:fill="auto"/>
            <w:noWrap/>
          </w:tcPr>
          <w:p w14:paraId="40A935A5"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bottom w:val="nil"/>
              <w:right w:val="nil"/>
            </w:tcBorders>
            <w:shd w:val="clear" w:color="auto" w:fill="auto"/>
            <w:noWrap/>
          </w:tcPr>
          <w:p w14:paraId="367BCABE" w14:textId="77777777" w:rsidR="003F0CDB" w:rsidRPr="00EA0DC7" w:rsidRDefault="003F0CDB" w:rsidP="005F181E">
            <w:pPr>
              <w:spacing w:line="276" w:lineRule="auto"/>
              <w:jc w:val="center"/>
              <w:rPr>
                <w:rFonts w:eastAsia="Times New Roman" w:cs="Arial"/>
                <w:szCs w:val="24"/>
              </w:rPr>
            </w:pPr>
          </w:p>
        </w:tc>
      </w:tr>
      <w:tr w:rsidR="003F0CDB" w:rsidRPr="00EA0DC7" w14:paraId="76658EDC" w14:textId="77777777" w:rsidTr="00BB2600">
        <w:trPr>
          <w:trHeight w:val="567"/>
        </w:trPr>
        <w:tc>
          <w:tcPr>
            <w:tcW w:w="3969" w:type="dxa"/>
            <w:shd w:val="clear" w:color="auto" w:fill="auto"/>
            <w:hideMark/>
          </w:tcPr>
          <w:p w14:paraId="7982D88E"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Bordin (1983)</w:t>
            </w:r>
          </w:p>
        </w:tc>
        <w:tc>
          <w:tcPr>
            <w:tcW w:w="1465" w:type="dxa"/>
            <w:shd w:val="clear" w:color="auto" w:fill="auto"/>
            <w:noWrap/>
            <w:hideMark/>
          </w:tcPr>
          <w:p w14:paraId="2BBAA856" w14:textId="77777777" w:rsidR="003F0CDB" w:rsidRPr="00EA0DC7" w:rsidRDefault="003F0CDB" w:rsidP="005F181E">
            <w:pPr>
              <w:spacing w:line="276" w:lineRule="auto"/>
              <w:jc w:val="center"/>
              <w:rPr>
                <w:rFonts w:eastAsia="Times New Roman" w:cs="Arial"/>
                <w:szCs w:val="24"/>
              </w:rPr>
            </w:pPr>
          </w:p>
        </w:tc>
        <w:tc>
          <w:tcPr>
            <w:tcW w:w="1471" w:type="dxa"/>
            <w:tcBorders>
              <w:top w:val="nil"/>
              <w:left w:val="nil"/>
              <w:right w:val="nil"/>
            </w:tcBorders>
            <w:shd w:val="clear" w:color="auto" w:fill="auto"/>
            <w:noWrap/>
            <w:hideMark/>
          </w:tcPr>
          <w:p w14:paraId="32D8C2AF"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40B18C71"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70143596" w14:textId="77777777" w:rsidTr="00BB2600">
        <w:trPr>
          <w:trHeight w:val="567"/>
        </w:trPr>
        <w:tc>
          <w:tcPr>
            <w:tcW w:w="3969" w:type="dxa"/>
            <w:tcBorders>
              <w:left w:val="nil"/>
              <w:bottom w:val="single" w:sz="4" w:space="0" w:color="auto"/>
              <w:right w:val="nil"/>
            </w:tcBorders>
            <w:shd w:val="clear" w:color="auto" w:fill="auto"/>
          </w:tcPr>
          <w:p w14:paraId="31267686"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Hosford &amp; Barmann (1983)</w:t>
            </w:r>
          </w:p>
        </w:tc>
        <w:tc>
          <w:tcPr>
            <w:tcW w:w="1465" w:type="dxa"/>
            <w:tcBorders>
              <w:left w:val="nil"/>
              <w:bottom w:val="single" w:sz="4" w:space="0" w:color="auto"/>
              <w:right w:val="nil"/>
            </w:tcBorders>
            <w:shd w:val="clear" w:color="auto" w:fill="auto"/>
          </w:tcPr>
          <w:p w14:paraId="2B9DBC09" w14:textId="77777777" w:rsidR="003F0CDB" w:rsidRPr="00EA0DC7" w:rsidRDefault="003F0CDB" w:rsidP="005F181E">
            <w:pPr>
              <w:spacing w:line="276" w:lineRule="auto"/>
              <w:jc w:val="center"/>
              <w:rPr>
                <w:rFonts w:eastAsia="Times New Roman" w:cs="Arial"/>
                <w:szCs w:val="24"/>
              </w:rPr>
            </w:pPr>
          </w:p>
        </w:tc>
        <w:tc>
          <w:tcPr>
            <w:tcW w:w="1471" w:type="dxa"/>
            <w:tcBorders>
              <w:top w:val="nil"/>
              <w:left w:val="nil"/>
              <w:bottom w:val="single" w:sz="4" w:space="0" w:color="auto"/>
              <w:right w:val="nil"/>
            </w:tcBorders>
            <w:shd w:val="clear" w:color="auto" w:fill="auto"/>
            <w:noWrap/>
            <w:hideMark/>
          </w:tcPr>
          <w:p w14:paraId="5D437870" w14:textId="77777777" w:rsidR="003F0CDB" w:rsidRPr="00EA0DC7" w:rsidRDefault="003F0CDB" w:rsidP="005F181E">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single" w:sz="4" w:space="0" w:color="auto"/>
              <w:right w:val="nil"/>
            </w:tcBorders>
            <w:shd w:val="clear" w:color="auto" w:fill="auto"/>
            <w:noWrap/>
            <w:hideMark/>
          </w:tcPr>
          <w:p w14:paraId="0070525C" w14:textId="77777777" w:rsidR="003F0CDB" w:rsidRPr="00EA0DC7" w:rsidRDefault="003F0CDB" w:rsidP="005F181E">
            <w:pPr>
              <w:spacing w:line="276" w:lineRule="auto"/>
              <w:jc w:val="center"/>
              <w:rPr>
                <w:rFonts w:eastAsia="Times New Roman" w:cs="Arial"/>
                <w:szCs w:val="24"/>
              </w:rPr>
            </w:pPr>
          </w:p>
        </w:tc>
      </w:tr>
      <w:tr w:rsidR="005F181E" w:rsidRPr="00EA0DC7" w14:paraId="7F80A159" w14:textId="77777777" w:rsidTr="00BB2600">
        <w:trPr>
          <w:trHeight w:val="80"/>
        </w:trPr>
        <w:tc>
          <w:tcPr>
            <w:tcW w:w="3969" w:type="dxa"/>
            <w:tcBorders>
              <w:top w:val="single" w:sz="4" w:space="0" w:color="auto"/>
              <w:left w:val="nil"/>
              <w:bottom w:val="single" w:sz="4" w:space="0" w:color="auto"/>
              <w:right w:val="nil"/>
            </w:tcBorders>
            <w:shd w:val="clear" w:color="auto" w:fill="auto"/>
            <w:vAlign w:val="center"/>
          </w:tcPr>
          <w:p w14:paraId="1AD3904C" w14:textId="77777777" w:rsidR="005F181E" w:rsidRPr="00EA0DC7" w:rsidRDefault="005F181E" w:rsidP="002137A6">
            <w:pPr>
              <w:spacing w:after="0" w:line="276" w:lineRule="auto"/>
              <w:jc w:val="center"/>
              <w:rPr>
                <w:rFonts w:eastAsia="Times New Roman" w:cs="Arial"/>
                <w:b/>
                <w:bCs/>
                <w:szCs w:val="24"/>
              </w:rPr>
            </w:pPr>
            <w:r w:rsidRPr="00EA0DC7">
              <w:rPr>
                <w:rFonts w:eastAsia="Times New Roman" w:cs="Arial"/>
                <w:b/>
                <w:bCs/>
                <w:szCs w:val="24"/>
              </w:rPr>
              <w:lastRenderedPageBreak/>
              <w:t>Model/ approach</w:t>
            </w:r>
          </w:p>
        </w:tc>
        <w:tc>
          <w:tcPr>
            <w:tcW w:w="1465" w:type="dxa"/>
            <w:tcBorders>
              <w:top w:val="single" w:sz="4" w:space="0" w:color="auto"/>
              <w:left w:val="nil"/>
              <w:bottom w:val="single" w:sz="4" w:space="0" w:color="auto"/>
              <w:right w:val="nil"/>
            </w:tcBorders>
            <w:shd w:val="clear" w:color="auto" w:fill="auto"/>
            <w:noWrap/>
            <w:vAlign w:val="center"/>
          </w:tcPr>
          <w:p w14:paraId="41538582" w14:textId="77777777" w:rsidR="005F181E" w:rsidRPr="00EA0DC7" w:rsidRDefault="005F181E" w:rsidP="002137A6">
            <w:pPr>
              <w:spacing w:after="120" w:line="276" w:lineRule="auto"/>
              <w:jc w:val="center"/>
              <w:rPr>
                <w:rFonts w:eastAsia="Times New Roman" w:cs="Arial"/>
                <w:b/>
                <w:bCs/>
                <w:szCs w:val="24"/>
              </w:rPr>
            </w:pPr>
            <w:r w:rsidRPr="00EA0DC7">
              <w:rPr>
                <w:rFonts w:eastAsia="Times New Roman" w:cs="Arial"/>
                <w:b/>
                <w:bCs/>
                <w:szCs w:val="24"/>
              </w:rPr>
              <w:t>Focus on supervisor</w:t>
            </w:r>
          </w:p>
        </w:tc>
        <w:tc>
          <w:tcPr>
            <w:tcW w:w="1471" w:type="dxa"/>
            <w:tcBorders>
              <w:top w:val="single" w:sz="4" w:space="0" w:color="auto"/>
              <w:left w:val="nil"/>
              <w:bottom w:val="single" w:sz="4" w:space="0" w:color="auto"/>
              <w:right w:val="nil"/>
            </w:tcBorders>
            <w:shd w:val="clear" w:color="auto" w:fill="auto"/>
            <w:noWrap/>
            <w:vAlign w:val="center"/>
          </w:tcPr>
          <w:p w14:paraId="3C359429" w14:textId="77777777" w:rsidR="005F181E" w:rsidRPr="00EA0DC7" w:rsidRDefault="005F181E" w:rsidP="002137A6">
            <w:pPr>
              <w:spacing w:after="120" w:line="276" w:lineRule="auto"/>
              <w:jc w:val="center"/>
              <w:rPr>
                <w:rFonts w:eastAsia="Times New Roman" w:cs="Arial"/>
                <w:b/>
                <w:bCs/>
                <w:szCs w:val="24"/>
              </w:rPr>
            </w:pPr>
            <w:r w:rsidRPr="00EA0DC7">
              <w:rPr>
                <w:rFonts w:eastAsia="Times New Roman" w:cs="Arial"/>
                <w:b/>
                <w:bCs/>
                <w:szCs w:val="24"/>
              </w:rPr>
              <w:t>Focus on supervisee</w:t>
            </w:r>
          </w:p>
        </w:tc>
        <w:tc>
          <w:tcPr>
            <w:tcW w:w="1429" w:type="dxa"/>
            <w:tcBorders>
              <w:top w:val="single" w:sz="4" w:space="0" w:color="auto"/>
              <w:left w:val="nil"/>
              <w:bottom w:val="single" w:sz="4" w:space="0" w:color="auto"/>
              <w:right w:val="nil"/>
            </w:tcBorders>
            <w:shd w:val="clear" w:color="auto" w:fill="auto"/>
            <w:noWrap/>
            <w:vAlign w:val="center"/>
          </w:tcPr>
          <w:p w14:paraId="6E81AAC1" w14:textId="77777777" w:rsidR="005F181E" w:rsidRPr="00EA0DC7" w:rsidRDefault="005F181E" w:rsidP="002137A6">
            <w:pPr>
              <w:spacing w:after="120" w:line="276" w:lineRule="auto"/>
              <w:jc w:val="center"/>
              <w:rPr>
                <w:rFonts w:eastAsia="Times New Roman" w:cs="Arial"/>
                <w:b/>
                <w:bCs/>
                <w:szCs w:val="24"/>
              </w:rPr>
            </w:pPr>
            <w:r w:rsidRPr="00EA0DC7">
              <w:rPr>
                <w:rFonts w:eastAsia="Times New Roman" w:cs="Arial"/>
                <w:b/>
                <w:bCs/>
                <w:szCs w:val="24"/>
              </w:rPr>
              <w:t>Focus on client</w:t>
            </w:r>
          </w:p>
        </w:tc>
      </w:tr>
      <w:tr w:rsidR="003F0CDB" w:rsidRPr="00EA0DC7" w14:paraId="4574AFFA" w14:textId="77777777" w:rsidTr="00CE607C">
        <w:trPr>
          <w:trHeight w:val="567"/>
        </w:trPr>
        <w:tc>
          <w:tcPr>
            <w:tcW w:w="3969" w:type="dxa"/>
            <w:tcBorders>
              <w:top w:val="nil"/>
              <w:left w:val="nil"/>
              <w:bottom w:val="nil"/>
              <w:right w:val="nil"/>
            </w:tcBorders>
            <w:shd w:val="clear" w:color="auto" w:fill="auto"/>
            <w:hideMark/>
          </w:tcPr>
          <w:p w14:paraId="5258B51A"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Patterson (1983)</w:t>
            </w:r>
          </w:p>
        </w:tc>
        <w:tc>
          <w:tcPr>
            <w:tcW w:w="1465" w:type="dxa"/>
            <w:tcBorders>
              <w:top w:val="nil"/>
              <w:left w:val="nil"/>
              <w:bottom w:val="nil"/>
              <w:right w:val="nil"/>
            </w:tcBorders>
            <w:shd w:val="clear" w:color="auto" w:fill="auto"/>
            <w:noWrap/>
            <w:hideMark/>
          </w:tcPr>
          <w:p w14:paraId="3028845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D697B36"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72A88149"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04FC3229" w14:textId="77777777" w:rsidTr="00CE607C">
        <w:trPr>
          <w:trHeight w:val="567"/>
        </w:trPr>
        <w:tc>
          <w:tcPr>
            <w:tcW w:w="3969" w:type="dxa"/>
            <w:tcBorders>
              <w:top w:val="nil"/>
              <w:left w:val="nil"/>
              <w:bottom w:val="nil"/>
              <w:right w:val="nil"/>
            </w:tcBorders>
            <w:shd w:val="clear" w:color="auto" w:fill="auto"/>
            <w:hideMark/>
          </w:tcPr>
          <w:p w14:paraId="288FD75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Wessler &amp; Ellis (1983)</w:t>
            </w:r>
          </w:p>
        </w:tc>
        <w:tc>
          <w:tcPr>
            <w:tcW w:w="1465" w:type="dxa"/>
            <w:tcBorders>
              <w:top w:val="nil"/>
              <w:left w:val="nil"/>
              <w:bottom w:val="nil"/>
              <w:right w:val="nil"/>
            </w:tcBorders>
            <w:shd w:val="clear" w:color="auto" w:fill="auto"/>
            <w:noWrap/>
            <w:hideMark/>
          </w:tcPr>
          <w:p w14:paraId="31463147"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6CDD3B7E"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7E4054A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2161AF99" w14:textId="77777777" w:rsidTr="00CE607C">
        <w:trPr>
          <w:trHeight w:val="567"/>
        </w:trPr>
        <w:tc>
          <w:tcPr>
            <w:tcW w:w="3969" w:type="dxa"/>
            <w:tcBorders>
              <w:top w:val="nil"/>
              <w:left w:val="nil"/>
              <w:bottom w:val="nil"/>
              <w:right w:val="nil"/>
            </w:tcBorders>
            <w:shd w:val="clear" w:color="auto" w:fill="auto"/>
            <w:hideMark/>
          </w:tcPr>
          <w:p w14:paraId="5A1CF7E1"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Connell (1984)</w:t>
            </w:r>
          </w:p>
        </w:tc>
        <w:tc>
          <w:tcPr>
            <w:tcW w:w="1465" w:type="dxa"/>
            <w:tcBorders>
              <w:top w:val="nil"/>
              <w:left w:val="nil"/>
              <w:bottom w:val="nil"/>
              <w:right w:val="nil"/>
            </w:tcBorders>
            <w:shd w:val="clear" w:color="auto" w:fill="auto"/>
            <w:noWrap/>
            <w:hideMark/>
          </w:tcPr>
          <w:p w14:paraId="245E5A4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52BAA3C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D29A311" w14:textId="77777777" w:rsidR="003F0CDB" w:rsidRPr="00EA0DC7" w:rsidRDefault="003F0CDB" w:rsidP="00CE607C">
            <w:pPr>
              <w:spacing w:line="276" w:lineRule="auto"/>
              <w:jc w:val="center"/>
              <w:rPr>
                <w:rFonts w:eastAsia="Times New Roman" w:cs="Arial"/>
                <w:szCs w:val="24"/>
              </w:rPr>
            </w:pPr>
          </w:p>
        </w:tc>
      </w:tr>
      <w:tr w:rsidR="003F0CDB" w:rsidRPr="00EA0DC7" w14:paraId="53D21281" w14:textId="77777777" w:rsidTr="00CE607C">
        <w:trPr>
          <w:trHeight w:val="567"/>
        </w:trPr>
        <w:tc>
          <w:tcPr>
            <w:tcW w:w="3969" w:type="dxa"/>
            <w:tcBorders>
              <w:top w:val="nil"/>
              <w:left w:val="nil"/>
              <w:bottom w:val="nil"/>
              <w:right w:val="nil"/>
            </w:tcBorders>
            <w:shd w:val="clear" w:color="auto" w:fill="auto"/>
            <w:hideMark/>
          </w:tcPr>
          <w:p w14:paraId="3B9A540E"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Grater (1985)</w:t>
            </w:r>
          </w:p>
        </w:tc>
        <w:tc>
          <w:tcPr>
            <w:tcW w:w="1465" w:type="dxa"/>
            <w:tcBorders>
              <w:top w:val="nil"/>
              <w:left w:val="nil"/>
              <w:bottom w:val="nil"/>
              <w:right w:val="nil"/>
            </w:tcBorders>
            <w:shd w:val="clear" w:color="auto" w:fill="auto"/>
            <w:noWrap/>
            <w:hideMark/>
          </w:tcPr>
          <w:p w14:paraId="2A975DE7"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0BFA1EF8"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1582BE7A"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45D5B726" w14:textId="77777777" w:rsidTr="00CE607C">
        <w:trPr>
          <w:trHeight w:val="567"/>
        </w:trPr>
        <w:tc>
          <w:tcPr>
            <w:tcW w:w="3969" w:type="dxa"/>
            <w:tcBorders>
              <w:top w:val="nil"/>
              <w:left w:val="nil"/>
              <w:right w:val="nil"/>
            </w:tcBorders>
            <w:shd w:val="clear" w:color="auto" w:fill="auto"/>
            <w:hideMark/>
          </w:tcPr>
          <w:p w14:paraId="3D1CC3F1"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Friedmand &amp; Kaslow (1986)</w:t>
            </w:r>
          </w:p>
        </w:tc>
        <w:tc>
          <w:tcPr>
            <w:tcW w:w="1465" w:type="dxa"/>
            <w:tcBorders>
              <w:top w:val="nil"/>
              <w:left w:val="nil"/>
              <w:right w:val="nil"/>
            </w:tcBorders>
            <w:shd w:val="clear" w:color="auto" w:fill="auto"/>
            <w:noWrap/>
            <w:hideMark/>
          </w:tcPr>
          <w:p w14:paraId="1395CFA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754C81CC"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131C7589"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3121B9B1" w14:textId="77777777" w:rsidTr="00CE607C">
        <w:trPr>
          <w:trHeight w:val="567"/>
        </w:trPr>
        <w:tc>
          <w:tcPr>
            <w:tcW w:w="3969" w:type="dxa"/>
            <w:tcBorders>
              <w:top w:val="nil"/>
              <w:left w:val="nil"/>
              <w:right w:val="nil"/>
            </w:tcBorders>
            <w:shd w:val="clear" w:color="auto" w:fill="auto"/>
            <w:hideMark/>
          </w:tcPr>
          <w:p w14:paraId="32E0175B"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Hess (1986)</w:t>
            </w:r>
          </w:p>
        </w:tc>
        <w:tc>
          <w:tcPr>
            <w:tcW w:w="1465" w:type="dxa"/>
            <w:tcBorders>
              <w:top w:val="nil"/>
              <w:left w:val="nil"/>
              <w:right w:val="nil"/>
            </w:tcBorders>
            <w:shd w:val="clear" w:color="auto" w:fill="auto"/>
            <w:noWrap/>
            <w:hideMark/>
          </w:tcPr>
          <w:p w14:paraId="59ECBCC6"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6A12D30A" w14:textId="77777777" w:rsidR="003F0CDB" w:rsidRPr="00EA0DC7" w:rsidRDefault="003F0CDB" w:rsidP="00CE607C">
            <w:pPr>
              <w:spacing w:line="276" w:lineRule="auto"/>
              <w:jc w:val="center"/>
              <w:rPr>
                <w:rFonts w:eastAsia="Times New Roman" w:cs="Arial"/>
                <w:szCs w:val="24"/>
              </w:rPr>
            </w:pPr>
          </w:p>
        </w:tc>
        <w:tc>
          <w:tcPr>
            <w:tcW w:w="1429" w:type="dxa"/>
            <w:tcBorders>
              <w:top w:val="nil"/>
              <w:left w:val="nil"/>
              <w:right w:val="nil"/>
            </w:tcBorders>
            <w:shd w:val="clear" w:color="auto" w:fill="auto"/>
            <w:noWrap/>
            <w:hideMark/>
          </w:tcPr>
          <w:p w14:paraId="6F37220A" w14:textId="77777777" w:rsidR="003F0CDB" w:rsidRPr="00EA0DC7" w:rsidRDefault="003F0CDB" w:rsidP="00CE607C">
            <w:pPr>
              <w:spacing w:line="276" w:lineRule="auto"/>
              <w:jc w:val="center"/>
              <w:rPr>
                <w:rFonts w:eastAsia="Times New Roman" w:cs="Arial"/>
                <w:szCs w:val="24"/>
              </w:rPr>
            </w:pPr>
          </w:p>
        </w:tc>
      </w:tr>
      <w:tr w:rsidR="003F0CDB" w:rsidRPr="00EA0DC7" w14:paraId="31902BC7" w14:textId="77777777" w:rsidTr="00CE607C">
        <w:trPr>
          <w:trHeight w:val="567"/>
        </w:trPr>
        <w:tc>
          <w:tcPr>
            <w:tcW w:w="3969" w:type="dxa"/>
            <w:tcBorders>
              <w:top w:val="nil"/>
              <w:left w:val="nil"/>
              <w:right w:val="nil"/>
            </w:tcBorders>
            <w:shd w:val="clear" w:color="auto" w:fill="auto"/>
            <w:hideMark/>
          </w:tcPr>
          <w:p w14:paraId="75DD900B"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Stoltenberg &amp; Delworth (1987)</w:t>
            </w:r>
          </w:p>
        </w:tc>
        <w:tc>
          <w:tcPr>
            <w:tcW w:w="1465" w:type="dxa"/>
            <w:tcBorders>
              <w:top w:val="nil"/>
              <w:left w:val="nil"/>
              <w:right w:val="nil"/>
            </w:tcBorders>
            <w:shd w:val="clear" w:color="auto" w:fill="auto"/>
            <w:noWrap/>
            <w:hideMark/>
          </w:tcPr>
          <w:p w14:paraId="4FEBE08B" w14:textId="77777777" w:rsidR="003F0CDB" w:rsidRPr="00EA0DC7" w:rsidRDefault="003F0CDB" w:rsidP="00CE607C">
            <w:pPr>
              <w:spacing w:line="276" w:lineRule="auto"/>
              <w:jc w:val="center"/>
              <w:rPr>
                <w:rFonts w:eastAsia="Times New Roman" w:cs="Arial"/>
                <w:szCs w:val="24"/>
              </w:rPr>
            </w:pPr>
          </w:p>
        </w:tc>
        <w:tc>
          <w:tcPr>
            <w:tcW w:w="1471" w:type="dxa"/>
            <w:tcBorders>
              <w:top w:val="nil"/>
              <w:left w:val="nil"/>
              <w:right w:val="nil"/>
            </w:tcBorders>
            <w:shd w:val="clear" w:color="auto" w:fill="auto"/>
            <w:noWrap/>
            <w:hideMark/>
          </w:tcPr>
          <w:p w14:paraId="271219BA"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7C71B741"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2D39E071" w14:textId="77777777" w:rsidTr="00CE607C">
        <w:trPr>
          <w:trHeight w:val="567"/>
        </w:trPr>
        <w:tc>
          <w:tcPr>
            <w:tcW w:w="3969" w:type="dxa"/>
            <w:tcBorders>
              <w:left w:val="nil"/>
              <w:right w:val="nil"/>
            </w:tcBorders>
            <w:shd w:val="clear" w:color="auto" w:fill="auto"/>
          </w:tcPr>
          <w:p w14:paraId="02EC522E"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Ault-Riche (1988)</w:t>
            </w:r>
          </w:p>
        </w:tc>
        <w:tc>
          <w:tcPr>
            <w:tcW w:w="1465" w:type="dxa"/>
            <w:tcBorders>
              <w:left w:val="nil"/>
              <w:right w:val="nil"/>
            </w:tcBorders>
            <w:shd w:val="clear" w:color="auto" w:fill="auto"/>
            <w:noWrap/>
          </w:tcPr>
          <w:p w14:paraId="3F195CDE"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right w:val="nil"/>
            </w:tcBorders>
            <w:shd w:val="clear" w:color="auto" w:fill="auto"/>
            <w:noWrap/>
          </w:tcPr>
          <w:p w14:paraId="4B0C864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right w:val="nil"/>
            </w:tcBorders>
            <w:shd w:val="clear" w:color="auto" w:fill="auto"/>
            <w:noWrap/>
          </w:tcPr>
          <w:p w14:paraId="3A88CD54" w14:textId="77777777" w:rsidR="003F0CDB" w:rsidRPr="00EA0DC7" w:rsidRDefault="003F0CDB" w:rsidP="00CE607C">
            <w:pPr>
              <w:spacing w:line="276" w:lineRule="auto"/>
              <w:jc w:val="center"/>
              <w:rPr>
                <w:rFonts w:eastAsia="Times New Roman" w:cs="Arial"/>
                <w:szCs w:val="24"/>
              </w:rPr>
            </w:pPr>
          </w:p>
        </w:tc>
      </w:tr>
      <w:tr w:rsidR="003F0CDB" w:rsidRPr="00EA0DC7" w14:paraId="52A8B862" w14:textId="77777777" w:rsidTr="00CE607C">
        <w:trPr>
          <w:trHeight w:val="567"/>
        </w:trPr>
        <w:tc>
          <w:tcPr>
            <w:tcW w:w="3969" w:type="dxa"/>
            <w:tcBorders>
              <w:left w:val="nil"/>
              <w:right w:val="nil"/>
            </w:tcBorders>
            <w:shd w:val="clear" w:color="auto" w:fill="auto"/>
            <w:hideMark/>
          </w:tcPr>
          <w:p w14:paraId="2064091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Watkins (1990)</w:t>
            </w:r>
          </w:p>
        </w:tc>
        <w:tc>
          <w:tcPr>
            <w:tcW w:w="1465" w:type="dxa"/>
            <w:tcBorders>
              <w:left w:val="nil"/>
              <w:right w:val="nil"/>
            </w:tcBorders>
            <w:shd w:val="clear" w:color="auto" w:fill="auto"/>
            <w:noWrap/>
            <w:hideMark/>
          </w:tcPr>
          <w:p w14:paraId="38BEBB56"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right w:val="nil"/>
            </w:tcBorders>
            <w:shd w:val="clear" w:color="auto" w:fill="auto"/>
            <w:noWrap/>
            <w:hideMark/>
          </w:tcPr>
          <w:p w14:paraId="08259A41" w14:textId="77777777" w:rsidR="003F0CDB" w:rsidRPr="00EA0DC7" w:rsidRDefault="003F0CDB" w:rsidP="00CE607C">
            <w:pPr>
              <w:spacing w:line="276" w:lineRule="auto"/>
              <w:jc w:val="center"/>
              <w:rPr>
                <w:rFonts w:eastAsia="Times New Roman" w:cs="Arial"/>
                <w:szCs w:val="24"/>
              </w:rPr>
            </w:pPr>
          </w:p>
        </w:tc>
        <w:tc>
          <w:tcPr>
            <w:tcW w:w="1429" w:type="dxa"/>
            <w:tcBorders>
              <w:left w:val="nil"/>
              <w:right w:val="nil"/>
            </w:tcBorders>
            <w:shd w:val="clear" w:color="auto" w:fill="auto"/>
            <w:noWrap/>
            <w:hideMark/>
          </w:tcPr>
          <w:p w14:paraId="259B5215" w14:textId="77777777" w:rsidR="003F0CDB" w:rsidRPr="00EA0DC7" w:rsidRDefault="003F0CDB" w:rsidP="00CE607C">
            <w:pPr>
              <w:spacing w:line="276" w:lineRule="auto"/>
              <w:jc w:val="center"/>
              <w:rPr>
                <w:rFonts w:eastAsia="Times New Roman" w:cs="Arial"/>
                <w:szCs w:val="24"/>
              </w:rPr>
            </w:pPr>
          </w:p>
        </w:tc>
      </w:tr>
      <w:tr w:rsidR="003F0CDB" w:rsidRPr="00EA0DC7" w14:paraId="440F026E" w14:textId="77777777" w:rsidTr="00CE607C">
        <w:trPr>
          <w:trHeight w:val="567"/>
        </w:trPr>
        <w:tc>
          <w:tcPr>
            <w:tcW w:w="3969" w:type="dxa"/>
            <w:tcBorders>
              <w:top w:val="nil"/>
              <w:left w:val="nil"/>
              <w:right w:val="nil"/>
            </w:tcBorders>
            <w:shd w:val="clear" w:color="auto" w:fill="auto"/>
            <w:hideMark/>
          </w:tcPr>
          <w:p w14:paraId="2DB66FC1"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Wetchler (1990)</w:t>
            </w:r>
          </w:p>
        </w:tc>
        <w:tc>
          <w:tcPr>
            <w:tcW w:w="1465" w:type="dxa"/>
            <w:tcBorders>
              <w:top w:val="nil"/>
              <w:left w:val="nil"/>
              <w:right w:val="nil"/>
            </w:tcBorders>
            <w:shd w:val="clear" w:color="auto" w:fill="auto"/>
            <w:noWrap/>
            <w:hideMark/>
          </w:tcPr>
          <w:p w14:paraId="4AEA050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0ECF7CB7"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48F04189" w14:textId="77777777" w:rsidR="003F0CDB" w:rsidRPr="00EA0DC7" w:rsidRDefault="003F0CDB" w:rsidP="00CE607C">
            <w:pPr>
              <w:spacing w:line="276" w:lineRule="auto"/>
              <w:jc w:val="center"/>
              <w:rPr>
                <w:rFonts w:eastAsia="Times New Roman" w:cs="Arial"/>
                <w:szCs w:val="24"/>
              </w:rPr>
            </w:pPr>
          </w:p>
        </w:tc>
      </w:tr>
      <w:tr w:rsidR="003F0CDB" w:rsidRPr="00EA0DC7" w14:paraId="789F8FA7" w14:textId="77777777" w:rsidTr="00CE607C">
        <w:trPr>
          <w:trHeight w:val="567"/>
        </w:trPr>
        <w:tc>
          <w:tcPr>
            <w:tcW w:w="3969" w:type="dxa"/>
            <w:tcBorders>
              <w:left w:val="nil"/>
              <w:bottom w:val="nil"/>
              <w:right w:val="nil"/>
            </w:tcBorders>
            <w:shd w:val="clear" w:color="auto" w:fill="auto"/>
            <w:hideMark/>
          </w:tcPr>
          <w:p w14:paraId="0EDD11C0"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Mead (1990)</w:t>
            </w:r>
          </w:p>
        </w:tc>
        <w:tc>
          <w:tcPr>
            <w:tcW w:w="1465" w:type="dxa"/>
            <w:tcBorders>
              <w:left w:val="nil"/>
              <w:bottom w:val="nil"/>
              <w:right w:val="nil"/>
            </w:tcBorders>
            <w:shd w:val="clear" w:color="auto" w:fill="auto"/>
            <w:noWrap/>
            <w:hideMark/>
          </w:tcPr>
          <w:p w14:paraId="51FEB9C8"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bottom w:val="nil"/>
              <w:right w:val="nil"/>
            </w:tcBorders>
            <w:shd w:val="clear" w:color="auto" w:fill="auto"/>
            <w:noWrap/>
            <w:hideMark/>
          </w:tcPr>
          <w:p w14:paraId="342A0EFD"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bottom w:val="nil"/>
              <w:right w:val="nil"/>
            </w:tcBorders>
            <w:shd w:val="clear" w:color="auto" w:fill="auto"/>
            <w:noWrap/>
            <w:hideMark/>
          </w:tcPr>
          <w:p w14:paraId="4C8DD7E0"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02528823" w14:textId="77777777" w:rsidTr="00CE607C">
        <w:trPr>
          <w:trHeight w:val="567"/>
        </w:trPr>
        <w:tc>
          <w:tcPr>
            <w:tcW w:w="3969" w:type="dxa"/>
            <w:tcBorders>
              <w:top w:val="nil"/>
              <w:left w:val="nil"/>
              <w:bottom w:val="nil"/>
              <w:right w:val="nil"/>
            </w:tcBorders>
            <w:shd w:val="clear" w:color="auto" w:fill="auto"/>
            <w:hideMark/>
          </w:tcPr>
          <w:p w14:paraId="1C56ED5C"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Hawkins &amp; Shohet (1993)</w:t>
            </w:r>
          </w:p>
        </w:tc>
        <w:tc>
          <w:tcPr>
            <w:tcW w:w="1465" w:type="dxa"/>
            <w:tcBorders>
              <w:top w:val="nil"/>
              <w:left w:val="nil"/>
              <w:bottom w:val="nil"/>
              <w:right w:val="nil"/>
            </w:tcBorders>
            <w:shd w:val="clear" w:color="auto" w:fill="auto"/>
            <w:noWrap/>
            <w:hideMark/>
          </w:tcPr>
          <w:p w14:paraId="4DDCA748"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250A4C3A"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171B0319"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4DD6579A" w14:textId="77777777" w:rsidTr="00CE607C">
        <w:trPr>
          <w:trHeight w:val="567"/>
        </w:trPr>
        <w:tc>
          <w:tcPr>
            <w:tcW w:w="3969" w:type="dxa"/>
            <w:tcBorders>
              <w:top w:val="nil"/>
              <w:left w:val="nil"/>
              <w:bottom w:val="nil"/>
              <w:right w:val="nil"/>
            </w:tcBorders>
            <w:shd w:val="clear" w:color="auto" w:fill="auto"/>
            <w:hideMark/>
          </w:tcPr>
          <w:p w14:paraId="333D6714"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Rodenhauser (1994)</w:t>
            </w:r>
          </w:p>
        </w:tc>
        <w:tc>
          <w:tcPr>
            <w:tcW w:w="1465" w:type="dxa"/>
            <w:tcBorders>
              <w:top w:val="nil"/>
              <w:left w:val="nil"/>
              <w:bottom w:val="nil"/>
              <w:right w:val="nil"/>
            </w:tcBorders>
            <w:shd w:val="clear" w:color="auto" w:fill="auto"/>
            <w:noWrap/>
            <w:hideMark/>
          </w:tcPr>
          <w:p w14:paraId="55A8453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3374C68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21F1A1B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29F537C4" w14:textId="77777777" w:rsidTr="00CE607C">
        <w:trPr>
          <w:trHeight w:val="567"/>
        </w:trPr>
        <w:tc>
          <w:tcPr>
            <w:tcW w:w="3969" w:type="dxa"/>
            <w:tcBorders>
              <w:top w:val="nil"/>
              <w:left w:val="nil"/>
              <w:right w:val="nil"/>
            </w:tcBorders>
            <w:shd w:val="clear" w:color="auto" w:fill="auto"/>
            <w:hideMark/>
          </w:tcPr>
          <w:p w14:paraId="32EB9287"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Thomas (1994)</w:t>
            </w:r>
          </w:p>
        </w:tc>
        <w:tc>
          <w:tcPr>
            <w:tcW w:w="1465" w:type="dxa"/>
            <w:tcBorders>
              <w:top w:val="nil"/>
              <w:left w:val="nil"/>
              <w:right w:val="nil"/>
            </w:tcBorders>
            <w:shd w:val="clear" w:color="auto" w:fill="auto"/>
            <w:noWrap/>
            <w:hideMark/>
          </w:tcPr>
          <w:p w14:paraId="126107E2" w14:textId="77777777" w:rsidR="003F0CDB" w:rsidRPr="00EA0DC7" w:rsidRDefault="003F0CDB" w:rsidP="00CE607C">
            <w:pPr>
              <w:spacing w:line="276" w:lineRule="auto"/>
              <w:jc w:val="center"/>
              <w:rPr>
                <w:rFonts w:eastAsia="Times New Roman" w:cs="Arial"/>
                <w:szCs w:val="24"/>
              </w:rPr>
            </w:pPr>
          </w:p>
        </w:tc>
        <w:tc>
          <w:tcPr>
            <w:tcW w:w="1471" w:type="dxa"/>
            <w:tcBorders>
              <w:top w:val="nil"/>
              <w:left w:val="nil"/>
              <w:right w:val="nil"/>
            </w:tcBorders>
            <w:shd w:val="clear" w:color="auto" w:fill="auto"/>
            <w:noWrap/>
            <w:hideMark/>
          </w:tcPr>
          <w:p w14:paraId="2F781D7A"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2E0FA9E3" w14:textId="77777777" w:rsidR="003F0CDB" w:rsidRPr="00EA0DC7" w:rsidRDefault="003F0CDB" w:rsidP="00CE607C">
            <w:pPr>
              <w:spacing w:line="276" w:lineRule="auto"/>
              <w:jc w:val="center"/>
              <w:rPr>
                <w:rFonts w:eastAsia="Times New Roman" w:cs="Arial"/>
                <w:szCs w:val="24"/>
              </w:rPr>
            </w:pPr>
          </w:p>
        </w:tc>
      </w:tr>
      <w:tr w:rsidR="003F0CDB" w:rsidRPr="00EA0DC7" w14:paraId="52584C9F" w14:textId="77777777" w:rsidTr="00CE607C">
        <w:trPr>
          <w:trHeight w:val="567"/>
        </w:trPr>
        <w:tc>
          <w:tcPr>
            <w:tcW w:w="3969" w:type="dxa"/>
            <w:tcBorders>
              <w:top w:val="nil"/>
              <w:left w:val="nil"/>
              <w:right w:val="nil"/>
            </w:tcBorders>
            <w:shd w:val="clear" w:color="auto" w:fill="auto"/>
            <w:hideMark/>
          </w:tcPr>
          <w:p w14:paraId="3F692CED"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Rigazio-DiGilio &amp; Anderson (1994)</w:t>
            </w:r>
          </w:p>
        </w:tc>
        <w:tc>
          <w:tcPr>
            <w:tcW w:w="1465" w:type="dxa"/>
            <w:tcBorders>
              <w:top w:val="nil"/>
              <w:left w:val="nil"/>
              <w:right w:val="nil"/>
            </w:tcBorders>
            <w:shd w:val="clear" w:color="auto" w:fill="auto"/>
            <w:noWrap/>
            <w:hideMark/>
          </w:tcPr>
          <w:p w14:paraId="40ED47F4"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69EE3CE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73A3148D"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499E00D0" w14:textId="77777777" w:rsidTr="00CE607C">
        <w:trPr>
          <w:trHeight w:val="567"/>
        </w:trPr>
        <w:tc>
          <w:tcPr>
            <w:tcW w:w="3969" w:type="dxa"/>
            <w:tcBorders>
              <w:left w:val="nil"/>
              <w:bottom w:val="nil"/>
              <w:right w:val="nil"/>
            </w:tcBorders>
            <w:shd w:val="clear" w:color="auto" w:fill="auto"/>
          </w:tcPr>
          <w:p w14:paraId="60F35699"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Holloway (1995)</w:t>
            </w:r>
          </w:p>
        </w:tc>
        <w:tc>
          <w:tcPr>
            <w:tcW w:w="1465" w:type="dxa"/>
            <w:tcBorders>
              <w:left w:val="nil"/>
              <w:bottom w:val="nil"/>
              <w:right w:val="nil"/>
            </w:tcBorders>
            <w:shd w:val="clear" w:color="auto" w:fill="auto"/>
            <w:noWrap/>
          </w:tcPr>
          <w:p w14:paraId="724E26C3"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bottom w:val="nil"/>
              <w:right w:val="nil"/>
            </w:tcBorders>
            <w:shd w:val="clear" w:color="auto" w:fill="auto"/>
            <w:noWrap/>
          </w:tcPr>
          <w:p w14:paraId="3B31F85B"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bottom w:val="nil"/>
              <w:right w:val="nil"/>
            </w:tcBorders>
            <w:shd w:val="clear" w:color="auto" w:fill="auto"/>
            <w:noWrap/>
          </w:tcPr>
          <w:p w14:paraId="07119C18"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70CE6167" w14:textId="77777777" w:rsidTr="00CE607C">
        <w:trPr>
          <w:trHeight w:val="567"/>
        </w:trPr>
        <w:tc>
          <w:tcPr>
            <w:tcW w:w="3969" w:type="dxa"/>
            <w:tcBorders>
              <w:top w:val="nil"/>
              <w:left w:val="nil"/>
              <w:bottom w:val="nil"/>
              <w:right w:val="nil"/>
            </w:tcBorders>
            <w:shd w:val="clear" w:color="auto" w:fill="auto"/>
            <w:hideMark/>
          </w:tcPr>
          <w:p w14:paraId="4D91F8F7"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Hipp &amp; Munson (1995)</w:t>
            </w:r>
          </w:p>
        </w:tc>
        <w:tc>
          <w:tcPr>
            <w:tcW w:w="1465" w:type="dxa"/>
            <w:tcBorders>
              <w:top w:val="nil"/>
              <w:left w:val="nil"/>
              <w:bottom w:val="nil"/>
              <w:right w:val="nil"/>
            </w:tcBorders>
            <w:shd w:val="clear" w:color="auto" w:fill="auto"/>
            <w:noWrap/>
            <w:hideMark/>
          </w:tcPr>
          <w:p w14:paraId="7408E78E"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4A82BE6"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12A8CD08"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37279969" w14:textId="77777777" w:rsidTr="00CE607C">
        <w:trPr>
          <w:trHeight w:val="567"/>
        </w:trPr>
        <w:tc>
          <w:tcPr>
            <w:tcW w:w="3969" w:type="dxa"/>
            <w:tcBorders>
              <w:top w:val="nil"/>
              <w:left w:val="nil"/>
              <w:bottom w:val="nil"/>
              <w:right w:val="nil"/>
            </w:tcBorders>
            <w:shd w:val="clear" w:color="auto" w:fill="auto"/>
            <w:hideMark/>
          </w:tcPr>
          <w:p w14:paraId="387BA0C8"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Carroll (1996)</w:t>
            </w:r>
          </w:p>
        </w:tc>
        <w:tc>
          <w:tcPr>
            <w:tcW w:w="1465" w:type="dxa"/>
            <w:tcBorders>
              <w:top w:val="nil"/>
              <w:left w:val="nil"/>
              <w:bottom w:val="nil"/>
              <w:right w:val="nil"/>
            </w:tcBorders>
            <w:shd w:val="clear" w:color="auto" w:fill="auto"/>
            <w:noWrap/>
            <w:hideMark/>
          </w:tcPr>
          <w:p w14:paraId="79D3F5F0"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538EFDDC"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2FADBC8F" w14:textId="77777777" w:rsidR="003F0CDB" w:rsidRPr="00EA0DC7" w:rsidRDefault="003F0CDB" w:rsidP="00CE607C">
            <w:pPr>
              <w:spacing w:line="276" w:lineRule="auto"/>
              <w:jc w:val="center"/>
              <w:rPr>
                <w:rFonts w:eastAsia="Times New Roman" w:cs="Arial"/>
                <w:szCs w:val="24"/>
              </w:rPr>
            </w:pPr>
          </w:p>
        </w:tc>
      </w:tr>
      <w:tr w:rsidR="003F0CDB" w:rsidRPr="00EA0DC7" w14:paraId="70C9B8FE" w14:textId="77777777" w:rsidTr="00CE607C">
        <w:trPr>
          <w:trHeight w:val="567"/>
        </w:trPr>
        <w:tc>
          <w:tcPr>
            <w:tcW w:w="3969" w:type="dxa"/>
            <w:tcBorders>
              <w:top w:val="nil"/>
              <w:left w:val="nil"/>
              <w:bottom w:val="nil"/>
              <w:right w:val="nil"/>
            </w:tcBorders>
            <w:shd w:val="clear" w:color="auto" w:fill="auto"/>
            <w:hideMark/>
          </w:tcPr>
          <w:p w14:paraId="0535145C"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Carroll (1996)</w:t>
            </w:r>
          </w:p>
        </w:tc>
        <w:tc>
          <w:tcPr>
            <w:tcW w:w="1465" w:type="dxa"/>
            <w:tcBorders>
              <w:top w:val="nil"/>
              <w:left w:val="nil"/>
              <w:bottom w:val="nil"/>
              <w:right w:val="nil"/>
            </w:tcBorders>
            <w:shd w:val="clear" w:color="auto" w:fill="auto"/>
            <w:noWrap/>
            <w:hideMark/>
          </w:tcPr>
          <w:p w14:paraId="605ABE46"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4426DC2"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3795549" w14:textId="77777777" w:rsidR="003F0CDB" w:rsidRPr="00EA0DC7" w:rsidRDefault="003F0CDB" w:rsidP="00CE607C">
            <w:pPr>
              <w:spacing w:line="276" w:lineRule="auto"/>
              <w:jc w:val="center"/>
              <w:rPr>
                <w:rFonts w:eastAsia="Times New Roman" w:cs="Arial"/>
                <w:szCs w:val="24"/>
              </w:rPr>
            </w:pPr>
          </w:p>
        </w:tc>
      </w:tr>
      <w:tr w:rsidR="003F0CDB" w:rsidRPr="00EA0DC7" w14:paraId="2F22BA3A" w14:textId="77777777" w:rsidTr="00CE607C">
        <w:trPr>
          <w:trHeight w:val="567"/>
        </w:trPr>
        <w:tc>
          <w:tcPr>
            <w:tcW w:w="3969" w:type="dxa"/>
            <w:tcBorders>
              <w:top w:val="nil"/>
              <w:left w:val="nil"/>
              <w:bottom w:val="nil"/>
              <w:right w:val="nil"/>
            </w:tcBorders>
            <w:shd w:val="clear" w:color="auto" w:fill="auto"/>
            <w:hideMark/>
          </w:tcPr>
          <w:p w14:paraId="05CAE28F"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Haber (1996)</w:t>
            </w:r>
          </w:p>
        </w:tc>
        <w:tc>
          <w:tcPr>
            <w:tcW w:w="1465" w:type="dxa"/>
            <w:tcBorders>
              <w:top w:val="nil"/>
              <w:left w:val="nil"/>
              <w:bottom w:val="nil"/>
              <w:right w:val="nil"/>
            </w:tcBorders>
            <w:shd w:val="clear" w:color="auto" w:fill="auto"/>
            <w:noWrap/>
            <w:hideMark/>
          </w:tcPr>
          <w:p w14:paraId="53624C35"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7D12794C"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48C455F7"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r>
      <w:tr w:rsidR="003F0CDB" w:rsidRPr="00EA0DC7" w14:paraId="368A7199" w14:textId="77777777" w:rsidTr="00CE607C">
        <w:trPr>
          <w:trHeight w:val="567"/>
        </w:trPr>
        <w:tc>
          <w:tcPr>
            <w:tcW w:w="3969" w:type="dxa"/>
            <w:tcBorders>
              <w:top w:val="nil"/>
              <w:left w:val="nil"/>
              <w:bottom w:val="nil"/>
              <w:right w:val="nil"/>
            </w:tcBorders>
            <w:shd w:val="clear" w:color="auto" w:fill="auto"/>
            <w:hideMark/>
          </w:tcPr>
          <w:p w14:paraId="624F0036"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Liese &amp; Beck (1997)</w:t>
            </w:r>
          </w:p>
        </w:tc>
        <w:tc>
          <w:tcPr>
            <w:tcW w:w="1465" w:type="dxa"/>
            <w:tcBorders>
              <w:top w:val="nil"/>
              <w:left w:val="nil"/>
              <w:bottom w:val="nil"/>
              <w:right w:val="nil"/>
            </w:tcBorders>
            <w:shd w:val="clear" w:color="auto" w:fill="auto"/>
            <w:noWrap/>
            <w:hideMark/>
          </w:tcPr>
          <w:p w14:paraId="0BC7F9DA"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1C8D8B2"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612DD67D" w14:textId="77777777" w:rsidR="003F0CDB" w:rsidRPr="00EA0DC7" w:rsidRDefault="003F0CDB" w:rsidP="00CE607C">
            <w:pPr>
              <w:spacing w:line="276" w:lineRule="auto"/>
              <w:jc w:val="center"/>
              <w:rPr>
                <w:rFonts w:eastAsia="Times New Roman" w:cs="Arial"/>
                <w:szCs w:val="24"/>
              </w:rPr>
            </w:pPr>
          </w:p>
        </w:tc>
      </w:tr>
      <w:tr w:rsidR="003F0CDB" w:rsidRPr="00EA0DC7" w14:paraId="2C62B425" w14:textId="77777777" w:rsidTr="00CE607C">
        <w:trPr>
          <w:trHeight w:val="567"/>
        </w:trPr>
        <w:tc>
          <w:tcPr>
            <w:tcW w:w="3969" w:type="dxa"/>
            <w:tcBorders>
              <w:top w:val="nil"/>
              <w:left w:val="nil"/>
              <w:bottom w:val="single" w:sz="4" w:space="0" w:color="auto"/>
              <w:right w:val="nil"/>
            </w:tcBorders>
            <w:shd w:val="clear" w:color="auto" w:fill="auto"/>
            <w:hideMark/>
          </w:tcPr>
          <w:p w14:paraId="7834BB8B" w14:textId="77777777" w:rsidR="003F0CDB" w:rsidRPr="00EA0DC7" w:rsidRDefault="003F0CDB" w:rsidP="005F181E">
            <w:pPr>
              <w:spacing w:line="276" w:lineRule="auto"/>
              <w:jc w:val="left"/>
              <w:rPr>
                <w:rFonts w:eastAsia="Times New Roman" w:cs="Arial"/>
                <w:szCs w:val="24"/>
              </w:rPr>
            </w:pPr>
            <w:r w:rsidRPr="00EA0DC7">
              <w:rPr>
                <w:rFonts w:eastAsia="Times New Roman" w:cs="Arial"/>
                <w:szCs w:val="24"/>
              </w:rPr>
              <w:t>Ward &amp; House (1998)</w:t>
            </w:r>
          </w:p>
        </w:tc>
        <w:tc>
          <w:tcPr>
            <w:tcW w:w="1465" w:type="dxa"/>
            <w:tcBorders>
              <w:top w:val="nil"/>
              <w:left w:val="nil"/>
              <w:bottom w:val="single" w:sz="4" w:space="0" w:color="auto"/>
              <w:right w:val="nil"/>
            </w:tcBorders>
            <w:shd w:val="clear" w:color="auto" w:fill="auto"/>
            <w:noWrap/>
            <w:hideMark/>
          </w:tcPr>
          <w:p w14:paraId="1A0BAFD8" w14:textId="77777777" w:rsidR="003F0CDB" w:rsidRPr="00EA0DC7" w:rsidRDefault="003F0CDB" w:rsidP="00CE607C">
            <w:pPr>
              <w:spacing w:line="276" w:lineRule="auto"/>
              <w:jc w:val="center"/>
              <w:rPr>
                <w:rFonts w:eastAsia="Times New Roman" w:cs="Arial"/>
                <w:szCs w:val="24"/>
              </w:rPr>
            </w:pPr>
          </w:p>
        </w:tc>
        <w:tc>
          <w:tcPr>
            <w:tcW w:w="1471" w:type="dxa"/>
            <w:tcBorders>
              <w:top w:val="nil"/>
              <w:left w:val="nil"/>
              <w:bottom w:val="single" w:sz="4" w:space="0" w:color="auto"/>
              <w:right w:val="nil"/>
            </w:tcBorders>
            <w:shd w:val="clear" w:color="auto" w:fill="auto"/>
            <w:noWrap/>
            <w:hideMark/>
          </w:tcPr>
          <w:p w14:paraId="4D65BE1F" w14:textId="77777777" w:rsidR="003F0CDB" w:rsidRPr="00EA0DC7" w:rsidRDefault="003F0CDB"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single" w:sz="4" w:space="0" w:color="auto"/>
              <w:right w:val="nil"/>
            </w:tcBorders>
            <w:shd w:val="clear" w:color="auto" w:fill="auto"/>
            <w:noWrap/>
            <w:hideMark/>
          </w:tcPr>
          <w:p w14:paraId="533B7E22" w14:textId="77777777" w:rsidR="003F0CDB" w:rsidRPr="00EA0DC7" w:rsidRDefault="003F0CDB" w:rsidP="00CE607C">
            <w:pPr>
              <w:spacing w:line="276" w:lineRule="auto"/>
              <w:jc w:val="center"/>
              <w:rPr>
                <w:rFonts w:eastAsia="Times New Roman" w:cs="Arial"/>
                <w:szCs w:val="24"/>
              </w:rPr>
            </w:pPr>
          </w:p>
        </w:tc>
      </w:tr>
      <w:tr w:rsidR="00CE607C" w:rsidRPr="00EA0DC7" w14:paraId="50C0596B" w14:textId="77777777" w:rsidTr="00CE607C">
        <w:trPr>
          <w:trHeight w:val="567"/>
        </w:trPr>
        <w:tc>
          <w:tcPr>
            <w:tcW w:w="3969" w:type="dxa"/>
            <w:tcBorders>
              <w:top w:val="single" w:sz="4" w:space="0" w:color="auto"/>
              <w:left w:val="nil"/>
              <w:bottom w:val="single" w:sz="4" w:space="0" w:color="auto"/>
              <w:right w:val="nil"/>
            </w:tcBorders>
            <w:shd w:val="clear" w:color="auto" w:fill="auto"/>
            <w:vAlign w:val="center"/>
            <w:hideMark/>
          </w:tcPr>
          <w:p w14:paraId="61A5C874" w14:textId="530D819E" w:rsidR="00CE607C" w:rsidRPr="00EA0DC7" w:rsidRDefault="00CE607C" w:rsidP="00CE607C">
            <w:pPr>
              <w:spacing w:line="276" w:lineRule="auto"/>
              <w:jc w:val="center"/>
              <w:rPr>
                <w:rFonts w:eastAsia="Times New Roman" w:cs="Arial"/>
                <w:b/>
                <w:szCs w:val="24"/>
              </w:rPr>
            </w:pPr>
            <w:r w:rsidRPr="00EA0DC7">
              <w:rPr>
                <w:rFonts w:eastAsia="Times New Roman" w:cs="Arial"/>
                <w:b/>
                <w:bCs/>
                <w:szCs w:val="24"/>
              </w:rPr>
              <w:lastRenderedPageBreak/>
              <w:t>Model/ approach</w:t>
            </w:r>
          </w:p>
        </w:tc>
        <w:tc>
          <w:tcPr>
            <w:tcW w:w="1465" w:type="dxa"/>
            <w:tcBorders>
              <w:top w:val="single" w:sz="4" w:space="0" w:color="auto"/>
              <w:left w:val="nil"/>
              <w:bottom w:val="single" w:sz="4" w:space="0" w:color="auto"/>
              <w:right w:val="nil"/>
            </w:tcBorders>
            <w:shd w:val="clear" w:color="auto" w:fill="auto"/>
            <w:noWrap/>
            <w:vAlign w:val="center"/>
            <w:hideMark/>
          </w:tcPr>
          <w:p w14:paraId="30080241" w14:textId="5002CC6B" w:rsidR="00CE607C" w:rsidRPr="00EA0DC7" w:rsidRDefault="00CE607C" w:rsidP="00CE607C">
            <w:pPr>
              <w:spacing w:line="276" w:lineRule="auto"/>
              <w:jc w:val="center"/>
              <w:rPr>
                <w:rFonts w:eastAsia="Times New Roman" w:cs="Arial"/>
                <w:b/>
                <w:szCs w:val="24"/>
              </w:rPr>
            </w:pPr>
            <w:r w:rsidRPr="00EA0DC7">
              <w:rPr>
                <w:rFonts w:eastAsia="Times New Roman" w:cs="Arial"/>
                <w:b/>
                <w:bCs/>
                <w:szCs w:val="24"/>
              </w:rPr>
              <w:t>Focus on supervisor</w:t>
            </w:r>
          </w:p>
        </w:tc>
        <w:tc>
          <w:tcPr>
            <w:tcW w:w="1471" w:type="dxa"/>
            <w:tcBorders>
              <w:top w:val="single" w:sz="4" w:space="0" w:color="auto"/>
              <w:left w:val="nil"/>
              <w:bottom w:val="single" w:sz="4" w:space="0" w:color="auto"/>
              <w:right w:val="nil"/>
            </w:tcBorders>
            <w:shd w:val="clear" w:color="auto" w:fill="auto"/>
            <w:noWrap/>
            <w:vAlign w:val="center"/>
            <w:hideMark/>
          </w:tcPr>
          <w:p w14:paraId="3E4B319C" w14:textId="55C994BC" w:rsidR="00CE607C" w:rsidRPr="00EA0DC7" w:rsidRDefault="00CE607C" w:rsidP="00CE607C">
            <w:pPr>
              <w:spacing w:line="276" w:lineRule="auto"/>
              <w:jc w:val="center"/>
              <w:rPr>
                <w:rFonts w:eastAsia="Times New Roman" w:cs="Arial"/>
                <w:b/>
                <w:szCs w:val="24"/>
              </w:rPr>
            </w:pPr>
            <w:r w:rsidRPr="00EA0DC7">
              <w:rPr>
                <w:rFonts w:eastAsia="Times New Roman" w:cs="Arial"/>
                <w:b/>
                <w:bCs/>
                <w:szCs w:val="24"/>
              </w:rPr>
              <w:t>Focus on supervisee</w:t>
            </w:r>
          </w:p>
        </w:tc>
        <w:tc>
          <w:tcPr>
            <w:tcW w:w="1429" w:type="dxa"/>
            <w:tcBorders>
              <w:top w:val="single" w:sz="4" w:space="0" w:color="auto"/>
              <w:left w:val="nil"/>
              <w:bottom w:val="single" w:sz="4" w:space="0" w:color="auto"/>
              <w:right w:val="nil"/>
            </w:tcBorders>
            <w:shd w:val="clear" w:color="auto" w:fill="auto"/>
            <w:noWrap/>
            <w:vAlign w:val="center"/>
            <w:hideMark/>
          </w:tcPr>
          <w:p w14:paraId="65BAF7C6" w14:textId="2C18535A" w:rsidR="00CE607C" w:rsidRPr="00EA0DC7" w:rsidRDefault="00CE607C" w:rsidP="00CE607C">
            <w:pPr>
              <w:spacing w:line="276" w:lineRule="auto"/>
              <w:jc w:val="center"/>
              <w:rPr>
                <w:rFonts w:eastAsia="Times New Roman" w:cs="Arial"/>
                <w:b/>
                <w:szCs w:val="24"/>
              </w:rPr>
            </w:pPr>
            <w:r w:rsidRPr="00EA0DC7">
              <w:rPr>
                <w:rFonts w:eastAsia="Times New Roman" w:cs="Arial"/>
                <w:b/>
                <w:bCs/>
                <w:szCs w:val="24"/>
              </w:rPr>
              <w:t>Focus on client</w:t>
            </w:r>
          </w:p>
        </w:tc>
      </w:tr>
      <w:tr w:rsidR="00CE607C" w:rsidRPr="00EA0DC7" w14:paraId="41C76789" w14:textId="77777777" w:rsidTr="00CE607C">
        <w:trPr>
          <w:trHeight w:val="567"/>
        </w:trPr>
        <w:tc>
          <w:tcPr>
            <w:tcW w:w="3969" w:type="dxa"/>
            <w:tcBorders>
              <w:top w:val="single" w:sz="4" w:space="0" w:color="auto"/>
              <w:left w:val="nil"/>
              <w:right w:val="nil"/>
            </w:tcBorders>
            <w:shd w:val="clear" w:color="auto" w:fill="auto"/>
            <w:hideMark/>
          </w:tcPr>
          <w:p w14:paraId="7E334CB0"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Nelson &amp; Johnson (1999)</w:t>
            </w:r>
          </w:p>
        </w:tc>
        <w:tc>
          <w:tcPr>
            <w:tcW w:w="1465" w:type="dxa"/>
            <w:tcBorders>
              <w:top w:val="single" w:sz="4" w:space="0" w:color="auto"/>
              <w:left w:val="nil"/>
              <w:right w:val="nil"/>
            </w:tcBorders>
            <w:shd w:val="clear" w:color="auto" w:fill="auto"/>
            <w:noWrap/>
            <w:hideMark/>
          </w:tcPr>
          <w:p w14:paraId="1111EE95"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single" w:sz="4" w:space="0" w:color="auto"/>
              <w:left w:val="nil"/>
              <w:right w:val="nil"/>
            </w:tcBorders>
            <w:shd w:val="clear" w:color="auto" w:fill="auto"/>
            <w:noWrap/>
            <w:hideMark/>
          </w:tcPr>
          <w:p w14:paraId="77FA7A4E"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single" w:sz="4" w:space="0" w:color="auto"/>
              <w:left w:val="nil"/>
              <w:right w:val="nil"/>
            </w:tcBorders>
            <w:shd w:val="clear" w:color="auto" w:fill="auto"/>
            <w:noWrap/>
            <w:hideMark/>
          </w:tcPr>
          <w:p w14:paraId="5F32FAAB" w14:textId="77777777" w:rsidR="00CE607C" w:rsidRPr="00EA0DC7" w:rsidRDefault="00CE607C" w:rsidP="00CE607C">
            <w:pPr>
              <w:spacing w:line="276" w:lineRule="auto"/>
              <w:jc w:val="center"/>
              <w:rPr>
                <w:rFonts w:eastAsia="Times New Roman" w:cs="Arial"/>
                <w:szCs w:val="24"/>
              </w:rPr>
            </w:pPr>
          </w:p>
        </w:tc>
      </w:tr>
      <w:tr w:rsidR="00CE607C" w:rsidRPr="00EA0DC7" w14:paraId="48DA1D51" w14:textId="77777777" w:rsidTr="00CE607C">
        <w:trPr>
          <w:trHeight w:val="567"/>
        </w:trPr>
        <w:tc>
          <w:tcPr>
            <w:tcW w:w="3969" w:type="dxa"/>
            <w:tcBorders>
              <w:top w:val="nil"/>
              <w:left w:val="nil"/>
              <w:right w:val="nil"/>
            </w:tcBorders>
            <w:shd w:val="clear" w:color="auto" w:fill="auto"/>
            <w:hideMark/>
          </w:tcPr>
          <w:p w14:paraId="19DBBE73"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Edwards &amp; Chen (1999)</w:t>
            </w:r>
          </w:p>
        </w:tc>
        <w:tc>
          <w:tcPr>
            <w:tcW w:w="1465" w:type="dxa"/>
            <w:tcBorders>
              <w:top w:val="nil"/>
              <w:left w:val="nil"/>
              <w:right w:val="nil"/>
            </w:tcBorders>
            <w:shd w:val="clear" w:color="auto" w:fill="auto"/>
            <w:noWrap/>
            <w:hideMark/>
          </w:tcPr>
          <w:p w14:paraId="1E2606CA" w14:textId="77777777" w:rsidR="00CE607C" w:rsidRPr="00EA0DC7" w:rsidRDefault="00CE607C" w:rsidP="00CE607C">
            <w:pPr>
              <w:spacing w:line="276" w:lineRule="auto"/>
              <w:jc w:val="center"/>
              <w:rPr>
                <w:rFonts w:eastAsia="Times New Roman" w:cs="Arial"/>
                <w:szCs w:val="24"/>
              </w:rPr>
            </w:pPr>
          </w:p>
        </w:tc>
        <w:tc>
          <w:tcPr>
            <w:tcW w:w="1471" w:type="dxa"/>
            <w:tcBorders>
              <w:top w:val="nil"/>
              <w:left w:val="nil"/>
              <w:right w:val="nil"/>
            </w:tcBorders>
            <w:shd w:val="clear" w:color="auto" w:fill="auto"/>
            <w:noWrap/>
            <w:hideMark/>
          </w:tcPr>
          <w:p w14:paraId="33DF3206" w14:textId="77777777" w:rsidR="00CE607C" w:rsidRPr="00EA0DC7" w:rsidRDefault="00CE607C" w:rsidP="00CE607C">
            <w:pPr>
              <w:spacing w:line="276" w:lineRule="auto"/>
              <w:jc w:val="center"/>
              <w:rPr>
                <w:rFonts w:eastAsia="Times New Roman" w:cs="Arial"/>
                <w:szCs w:val="24"/>
              </w:rPr>
            </w:pPr>
          </w:p>
        </w:tc>
        <w:tc>
          <w:tcPr>
            <w:tcW w:w="1429" w:type="dxa"/>
            <w:tcBorders>
              <w:top w:val="nil"/>
              <w:left w:val="nil"/>
              <w:right w:val="nil"/>
            </w:tcBorders>
            <w:shd w:val="clear" w:color="auto" w:fill="auto"/>
            <w:noWrap/>
            <w:hideMark/>
          </w:tcPr>
          <w:p w14:paraId="148EE454" w14:textId="77777777" w:rsidR="00CE607C" w:rsidRPr="00EA0DC7" w:rsidRDefault="00CE607C" w:rsidP="00CE607C">
            <w:pPr>
              <w:spacing w:line="276" w:lineRule="auto"/>
              <w:jc w:val="center"/>
              <w:rPr>
                <w:rFonts w:eastAsia="Times New Roman" w:cs="Arial"/>
                <w:szCs w:val="24"/>
              </w:rPr>
            </w:pPr>
          </w:p>
        </w:tc>
      </w:tr>
      <w:tr w:rsidR="00CE607C" w:rsidRPr="00EA0DC7" w14:paraId="525BE6FF" w14:textId="77777777" w:rsidTr="00CE607C">
        <w:trPr>
          <w:trHeight w:val="567"/>
        </w:trPr>
        <w:tc>
          <w:tcPr>
            <w:tcW w:w="3969" w:type="dxa"/>
            <w:tcBorders>
              <w:left w:val="nil"/>
              <w:bottom w:val="nil"/>
              <w:right w:val="nil"/>
            </w:tcBorders>
            <w:shd w:val="clear" w:color="auto" w:fill="auto"/>
            <w:hideMark/>
          </w:tcPr>
          <w:p w14:paraId="72A38C1B"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Granello (2000)</w:t>
            </w:r>
          </w:p>
        </w:tc>
        <w:tc>
          <w:tcPr>
            <w:tcW w:w="1465" w:type="dxa"/>
            <w:tcBorders>
              <w:left w:val="nil"/>
              <w:bottom w:val="nil"/>
              <w:right w:val="nil"/>
            </w:tcBorders>
            <w:shd w:val="clear" w:color="auto" w:fill="auto"/>
            <w:noWrap/>
            <w:hideMark/>
          </w:tcPr>
          <w:p w14:paraId="0742E64B" w14:textId="77777777" w:rsidR="00CE607C" w:rsidRPr="00EA0DC7" w:rsidRDefault="00CE607C" w:rsidP="00CE607C">
            <w:pPr>
              <w:spacing w:line="276" w:lineRule="auto"/>
              <w:jc w:val="center"/>
              <w:rPr>
                <w:rFonts w:eastAsia="Times New Roman" w:cs="Arial"/>
                <w:szCs w:val="24"/>
              </w:rPr>
            </w:pPr>
          </w:p>
        </w:tc>
        <w:tc>
          <w:tcPr>
            <w:tcW w:w="1471" w:type="dxa"/>
            <w:tcBorders>
              <w:left w:val="nil"/>
              <w:bottom w:val="nil"/>
              <w:right w:val="nil"/>
            </w:tcBorders>
            <w:shd w:val="clear" w:color="auto" w:fill="auto"/>
            <w:noWrap/>
            <w:hideMark/>
          </w:tcPr>
          <w:p w14:paraId="2C896FB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bottom w:val="nil"/>
              <w:right w:val="nil"/>
            </w:tcBorders>
            <w:shd w:val="clear" w:color="auto" w:fill="auto"/>
            <w:noWrap/>
            <w:hideMark/>
          </w:tcPr>
          <w:p w14:paraId="2F906ABF" w14:textId="77777777" w:rsidR="00CE607C" w:rsidRPr="00EA0DC7" w:rsidRDefault="00CE607C" w:rsidP="00CE607C">
            <w:pPr>
              <w:spacing w:line="276" w:lineRule="auto"/>
              <w:jc w:val="center"/>
              <w:rPr>
                <w:rFonts w:eastAsia="Times New Roman" w:cs="Arial"/>
                <w:szCs w:val="24"/>
              </w:rPr>
            </w:pPr>
          </w:p>
        </w:tc>
      </w:tr>
      <w:tr w:rsidR="00CE607C" w:rsidRPr="00EA0DC7" w14:paraId="489390F6" w14:textId="77777777" w:rsidTr="00CE607C">
        <w:trPr>
          <w:trHeight w:val="567"/>
        </w:trPr>
        <w:tc>
          <w:tcPr>
            <w:tcW w:w="3969" w:type="dxa"/>
            <w:tcBorders>
              <w:top w:val="nil"/>
              <w:left w:val="nil"/>
              <w:bottom w:val="nil"/>
              <w:right w:val="nil"/>
            </w:tcBorders>
            <w:shd w:val="clear" w:color="auto" w:fill="auto"/>
            <w:hideMark/>
          </w:tcPr>
          <w:p w14:paraId="2AB994A9"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Gilbert &amp; Evans (2000)</w:t>
            </w:r>
          </w:p>
        </w:tc>
        <w:tc>
          <w:tcPr>
            <w:tcW w:w="1465" w:type="dxa"/>
            <w:tcBorders>
              <w:top w:val="nil"/>
              <w:left w:val="nil"/>
              <w:bottom w:val="nil"/>
              <w:right w:val="nil"/>
            </w:tcBorders>
            <w:shd w:val="clear" w:color="auto" w:fill="auto"/>
            <w:noWrap/>
            <w:hideMark/>
          </w:tcPr>
          <w:p w14:paraId="2C88F0EF"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1C8FDCF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61D996B" w14:textId="77777777" w:rsidR="00CE607C" w:rsidRPr="00EA0DC7" w:rsidRDefault="00CE607C" w:rsidP="00CE607C">
            <w:pPr>
              <w:spacing w:line="276" w:lineRule="auto"/>
              <w:jc w:val="center"/>
              <w:rPr>
                <w:rFonts w:eastAsia="Times New Roman" w:cs="Arial"/>
                <w:szCs w:val="24"/>
              </w:rPr>
            </w:pPr>
          </w:p>
        </w:tc>
      </w:tr>
      <w:tr w:rsidR="00CE607C" w:rsidRPr="00EA0DC7" w14:paraId="3C1D83F8" w14:textId="77777777" w:rsidTr="00CE607C">
        <w:trPr>
          <w:trHeight w:val="567"/>
        </w:trPr>
        <w:tc>
          <w:tcPr>
            <w:tcW w:w="3969" w:type="dxa"/>
            <w:tcBorders>
              <w:top w:val="nil"/>
              <w:left w:val="nil"/>
              <w:bottom w:val="nil"/>
              <w:right w:val="nil"/>
            </w:tcBorders>
            <w:shd w:val="clear" w:color="auto" w:fill="auto"/>
            <w:hideMark/>
          </w:tcPr>
          <w:p w14:paraId="602D0734"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 xml:space="preserve">Scaife (2001) </w:t>
            </w:r>
          </w:p>
        </w:tc>
        <w:tc>
          <w:tcPr>
            <w:tcW w:w="1465" w:type="dxa"/>
            <w:tcBorders>
              <w:top w:val="nil"/>
              <w:left w:val="nil"/>
              <w:bottom w:val="nil"/>
              <w:right w:val="nil"/>
            </w:tcBorders>
            <w:shd w:val="clear" w:color="auto" w:fill="auto"/>
            <w:noWrap/>
            <w:hideMark/>
          </w:tcPr>
          <w:p w14:paraId="3A7A4DE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010C567E"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515EC7A2" w14:textId="77777777" w:rsidR="00CE607C" w:rsidRPr="00EA0DC7" w:rsidRDefault="00CE607C" w:rsidP="00CE607C">
            <w:pPr>
              <w:spacing w:line="276" w:lineRule="auto"/>
              <w:jc w:val="center"/>
              <w:rPr>
                <w:rFonts w:eastAsia="Times New Roman" w:cs="Arial"/>
                <w:szCs w:val="24"/>
              </w:rPr>
            </w:pPr>
          </w:p>
        </w:tc>
      </w:tr>
      <w:tr w:rsidR="00CE607C" w:rsidRPr="00EA0DC7" w14:paraId="5A8A0902" w14:textId="77777777" w:rsidTr="00CE607C">
        <w:trPr>
          <w:trHeight w:val="567"/>
        </w:trPr>
        <w:tc>
          <w:tcPr>
            <w:tcW w:w="3969" w:type="dxa"/>
            <w:tcBorders>
              <w:top w:val="nil"/>
              <w:left w:val="nil"/>
              <w:bottom w:val="nil"/>
              <w:right w:val="nil"/>
            </w:tcBorders>
            <w:shd w:val="clear" w:color="auto" w:fill="auto"/>
            <w:hideMark/>
          </w:tcPr>
          <w:p w14:paraId="535C9889"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Frawley-O'Dea &amp; Sarnat (2001)</w:t>
            </w:r>
          </w:p>
        </w:tc>
        <w:tc>
          <w:tcPr>
            <w:tcW w:w="1465" w:type="dxa"/>
            <w:tcBorders>
              <w:top w:val="nil"/>
              <w:left w:val="nil"/>
              <w:bottom w:val="nil"/>
              <w:right w:val="nil"/>
            </w:tcBorders>
            <w:shd w:val="clear" w:color="auto" w:fill="auto"/>
            <w:noWrap/>
            <w:hideMark/>
          </w:tcPr>
          <w:p w14:paraId="225498A3"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22706907"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4D79F3C7" w14:textId="77777777" w:rsidR="00CE607C" w:rsidRPr="00EA0DC7" w:rsidRDefault="00CE607C" w:rsidP="00CE607C">
            <w:pPr>
              <w:spacing w:line="276" w:lineRule="auto"/>
              <w:jc w:val="center"/>
              <w:rPr>
                <w:rFonts w:eastAsia="Times New Roman" w:cs="Arial"/>
                <w:szCs w:val="24"/>
              </w:rPr>
            </w:pPr>
          </w:p>
        </w:tc>
      </w:tr>
      <w:tr w:rsidR="00CE607C" w:rsidRPr="00EA0DC7" w14:paraId="63A5BE0D" w14:textId="77777777" w:rsidTr="00CE607C">
        <w:trPr>
          <w:trHeight w:val="567"/>
        </w:trPr>
        <w:tc>
          <w:tcPr>
            <w:tcW w:w="3969" w:type="dxa"/>
            <w:tcBorders>
              <w:top w:val="nil"/>
              <w:left w:val="nil"/>
              <w:bottom w:val="nil"/>
              <w:right w:val="nil"/>
            </w:tcBorders>
            <w:shd w:val="clear" w:color="auto" w:fill="auto"/>
            <w:hideMark/>
          </w:tcPr>
          <w:p w14:paraId="7C888B42"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Lee &amp; Everett (2004)</w:t>
            </w:r>
          </w:p>
        </w:tc>
        <w:tc>
          <w:tcPr>
            <w:tcW w:w="1465" w:type="dxa"/>
            <w:tcBorders>
              <w:top w:val="nil"/>
              <w:left w:val="nil"/>
              <w:bottom w:val="nil"/>
              <w:right w:val="nil"/>
            </w:tcBorders>
            <w:shd w:val="clear" w:color="auto" w:fill="auto"/>
            <w:noWrap/>
            <w:hideMark/>
          </w:tcPr>
          <w:p w14:paraId="1D5354A5"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20E3068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407F0313"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r>
      <w:tr w:rsidR="00CE607C" w:rsidRPr="00EA0DC7" w14:paraId="1CD2881D" w14:textId="77777777" w:rsidTr="00CE607C">
        <w:trPr>
          <w:trHeight w:val="567"/>
        </w:trPr>
        <w:tc>
          <w:tcPr>
            <w:tcW w:w="3969" w:type="dxa"/>
            <w:tcBorders>
              <w:top w:val="nil"/>
              <w:left w:val="nil"/>
              <w:bottom w:val="nil"/>
              <w:right w:val="nil"/>
            </w:tcBorders>
            <w:shd w:val="clear" w:color="auto" w:fill="auto"/>
            <w:hideMark/>
          </w:tcPr>
          <w:p w14:paraId="6878E3DE"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Ladany et al. (2005)</w:t>
            </w:r>
          </w:p>
        </w:tc>
        <w:tc>
          <w:tcPr>
            <w:tcW w:w="1465" w:type="dxa"/>
            <w:tcBorders>
              <w:top w:val="nil"/>
              <w:left w:val="nil"/>
              <w:bottom w:val="nil"/>
              <w:right w:val="nil"/>
            </w:tcBorders>
            <w:shd w:val="clear" w:color="auto" w:fill="auto"/>
            <w:noWrap/>
            <w:hideMark/>
          </w:tcPr>
          <w:p w14:paraId="00CAB21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nil"/>
              <w:right w:val="nil"/>
            </w:tcBorders>
            <w:shd w:val="clear" w:color="auto" w:fill="auto"/>
            <w:noWrap/>
            <w:hideMark/>
          </w:tcPr>
          <w:p w14:paraId="7B1FBCAD"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nil"/>
              <w:right w:val="nil"/>
            </w:tcBorders>
            <w:shd w:val="clear" w:color="auto" w:fill="auto"/>
            <w:noWrap/>
            <w:hideMark/>
          </w:tcPr>
          <w:p w14:paraId="0B963742"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r>
      <w:tr w:rsidR="00CE607C" w:rsidRPr="00EA0DC7" w14:paraId="2792A94F" w14:textId="77777777" w:rsidTr="00CE607C">
        <w:trPr>
          <w:trHeight w:val="567"/>
        </w:trPr>
        <w:tc>
          <w:tcPr>
            <w:tcW w:w="3969" w:type="dxa"/>
            <w:tcBorders>
              <w:top w:val="nil"/>
              <w:left w:val="nil"/>
              <w:right w:val="nil"/>
            </w:tcBorders>
            <w:shd w:val="clear" w:color="auto" w:fill="auto"/>
            <w:hideMark/>
          </w:tcPr>
          <w:p w14:paraId="53BC8FA9"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Armstrong &amp; Freeston (2006)</w:t>
            </w:r>
          </w:p>
        </w:tc>
        <w:tc>
          <w:tcPr>
            <w:tcW w:w="1465" w:type="dxa"/>
            <w:tcBorders>
              <w:top w:val="nil"/>
              <w:left w:val="nil"/>
              <w:right w:val="nil"/>
            </w:tcBorders>
            <w:shd w:val="clear" w:color="auto" w:fill="auto"/>
            <w:noWrap/>
            <w:hideMark/>
          </w:tcPr>
          <w:p w14:paraId="03E0190B"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472D7BE2"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36F6727B"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r>
      <w:tr w:rsidR="00CE607C" w:rsidRPr="00EA0DC7" w14:paraId="1ED90456" w14:textId="77777777" w:rsidTr="00CE607C">
        <w:trPr>
          <w:trHeight w:val="567"/>
        </w:trPr>
        <w:tc>
          <w:tcPr>
            <w:tcW w:w="3969" w:type="dxa"/>
            <w:tcBorders>
              <w:top w:val="nil"/>
              <w:left w:val="nil"/>
              <w:right w:val="nil"/>
            </w:tcBorders>
            <w:shd w:val="clear" w:color="auto" w:fill="auto"/>
            <w:hideMark/>
          </w:tcPr>
          <w:p w14:paraId="09F4C589" w14:textId="4923F409" w:rsidR="00CE607C" w:rsidRPr="00EA0DC7" w:rsidRDefault="00CE607C" w:rsidP="00CE607C">
            <w:pPr>
              <w:spacing w:line="276" w:lineRule="auto"/>
              <w:jc w:val="left"/>
              <w:rPr>
                <w:rFonts w:eastAsia="Times New Roman" w:cs="Arial"/>
                <w:szCs w:val="24"/>
              </w:rPr>
            </w:pPr>
            <w:r w:rsidRPr="00EA0DC7">
              <w:rPr>
                <w:rFonts w:eastAsia="Times New Roman" w:cs="Arial"/>
                <w:szCs w:val="24"/>
              </w:rPr>
              <w:t>Morgan &amp; Sprenkle (2007)</w:t>
            </w:r>
          </w:p>
        </w:tc>
        <w:tc>
          <w:tcPr>
            <w:tcW w:w="1465" w:type="dxa"/>
            <w:tcBorders>
              <w:top w:val="nil"/>
              <w:left w:val="nil"/>
              <w:right w:val="nil"/>
            </w:tcBorders>
            <w:shd w:val="clear" w:color="auto" w:fill="auto"/>
            <w:noWrap/>
            <w:hideMark/>
          </w:tcPr>
          <w:p w14:paraId="0E4ADF48"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right w:val="nil"/>
            </w:tcBorders>
            <w:shd w:val="clear" w:color="auto" w:fill="auto"/>
            <w:noWrap/>
            <w:hideMark/>
          </w:tcPr>
          <w:p w14:paraId="69647DB5"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right w:val="nil"/>
            </w:tcBorders>
            <w:shd w:val="clear" w:color="auto" w:fill="auto"/>
            <w:noWrap/>
            <w:hideMark/>
          </w:tcPr>
          <w:p w14:paraId="4F377D91" w14:textId="77777777" w:rsidR="00CE607C" w:rsidRPr="00EA0DC7" w:rsidRDefault="00CE607C" w:rsidP="00CE607C">
            <w:pPr>
              <w:spacing w:line="276" w:lineRule="auto"/>
              <w:jc w:val="center"/>
              <w:rPr>
                <w:rFonts w:eastAsia="Times New Roman" w:cs="Arial"/>
                <w:szCs w:val="24"/>
              </w:rPr>
            </w:pPr>
          </w:p>
        </w:tc>
      </w:tr>
      <w:tr w:rsidR="00CE607C" w:rsidRPr="00EA0DC7" w14:paraId="4DEDF547" w14:textId="77777777" w:rsidTr="00CE607C">
        <w:trPr>
          <w:trHeight w:val="567"/>
        </w:trPr>
        <w:tc>
          <w:tcPr>
            <w:tcW w:w="3969" w:type="dxa"/>
            <w:tcBorders>
              <w:left w:val="nil"/>
              <w:right w:val="nil"/>
            </w:tcBorders>
            <w:shd w:val="clear" w:color="auto" w:fill="auto"/>
            <w:hideMark/>
          </w:tcPr>
          <w:p w14:paraId="22F35832"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Inskipp and Proctor (2009)</w:t>
            </w:r>
          </w:p>
        </w:tc>
        <w:tc>
          <w:tcPr>
            <w:tcW w:w="1465" w:type="dxa"/>
            <w:tcBorders>
              <w:left w:val="nil"/>
              <w:right w:val="nil"/>
            </w:tcBorders>
            <w:shd w:val="clear" w:color="auto" w:fill="auto"/>
            <w:noWrap/>
            <w:hideMark/>
          </w:tcPr>
          <w:p w14:paraId="6C8B2D3C"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left w:val="nil"/>
              <w:right w:val="nil"/>
            </w:tcBorders>
            <w:shd w:val="clear" w:color="auto" w:fill="auto"/>
            <w:noWrap/>
            <w:hideMark/>
          </w:tcPr>
          <w:p w14:paraId="3253440B"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left w:val="nil"/>
              <w:right w:val="nil"/>
            </w:tcBorders>
            <w:shd w:val="clear" w:color="auto" w:fill="auto"/>
            <w:noWrap/>
            <w:hideMark/>
          </w:tcPr>
          <w:p w14:paraId="3F662D8B"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r>
      <w:tr w:rsidR="00CE607C" w:rsidRPr="00EA0DC7" w14:paraId="7A4AEB2B" w14:textId="77777777" w:rsidTr="00CE607C">
        <w:trPr>
          <w:trHeight w:val="567"/>
        </w:trPr>
        <w:tc>
          <w:tcPr>
            <w:tcW w:w="3969" w:type="dxa"/>
            <w:tcBorders>
              <w:top w:val="nil"/>
              <w:left w:val="nil"/>
              <w:bottom w:val="single" w:sz="4" w:space="0" w:color="000000"/>
              <w:right w:val="nil"/>
            </w:tcBorders>
            <w:shd w:val="clear" w:color="auto" w:fill="auto"/>
            <w:hideMark/>
          </w:tcPr>
          <w:p w14:paraId="3CE77F15" w14:textId="77777777" w:rsidR="00CE607C" w:rsidRPr="00EA0DC7" w:rsidRDefault="00CE607C" w:rsidP="00CE607C">
            <w:pPr>
              <w:spacing w:line="276" w:lineRule="auto"/>
              <w:jc w:val="left"/>
              <w:rPr>
                <w:rFonts w:eastAsia="Times New Roman" w:cs="Arial"/>
                <w:szCs w:val="24"/>
              </w:rPr>
            </w:pPr>
            <w:r w:rsidRPr="00EA0DC7">
              <w:rPr>
                <w:rFonts w:eastAsia="Times New Roman" w:cs="Arial"/>
                <w:szCs w:val="24"/>
              </w:rPr>
              <w:t>Page and Wosket (2015)</w:t>
            </w:r>
          </w:p>
        </w:tc>
        <w:tc>
          <w:tcPr>
            <w:tcW w:w="1465" w:type="dxa"/>
            <w:tcBorders>
              <w:top w:val="nil"/>
              <w:left w:val="nil"/>
              <w:bottom w:val="single" w:sz="4" w:space="0" w:color="000000"/>
              <w:right w:val="nil"/>
            </w:tcBorders>
            <w:shd w:val="clear" w:color="auto" w:fill="auto"/>
            <w:noWrap/>
            <w:hideMark/>
          </w:tcPr>
          <w:p w14:paraId="18031DC0"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71" w:type="dxa"/>
            <w:tcBorders>
              <w:top w:val="nil"/>
              <w:left w:val="nil"/>
              <w:bottom w:val="single" w:sz="4" w:space="0" w:color="000000"/>
              <w:right w:val="nil"/>
            </w:tcBorders>
            <w:shd w:val="clear" w:color="auto" w:fill="auto"/>
            <w:noWrap/>
            <w:hideMark/>
          </w:tcPr>
          <w:p w14:paraId="4A990F6A"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c>
          <w:tcPr>
            <w:tcW w:w="1429" w:type="dxa"/>
            <w:tcBorders>
              <w:top w:val="nil"/>
              <w:left w:val="nil"/>
              <w:bottom w:val="single" w:sz="4" w:space="0" w:color="000000"/>
              <w:right w:val="nil"/>
            </w:tcBorders>
            <w:shd w:val="clear" w:color="auto" w:fill="auto"/>
            <w:noWrap/>
            <w:hideMark/>
          </w:tcPr>
          <w:p w14:paraId="6CF125FA" w14:textId="77777777" w:rsidR="00CE607C" w:rsidRPr="00EA0DC7" w:rsidRDefault="00CE607C" w:rsidP="00CE607C">
            <w:pPr>
              <w:spacing w:line="276" w:lineRule="auto"/>
              <w:jc w:val="center"/>
              <w:rPr>
                <w:rFonts w:eastAsia="Times New Roman" w:cs="Arial"/>
                <w:szCs w:val="24"/>
              </w:rPr>
            </w:pPr>
            <w:r w:rsidRPr="00EA0DC7">
              <w:rPr>
                <w:rFonts w:eastAsia="Times New Roman" w:cs="Arial"/>
                <w:szCs w:val="24"/>
              </w:rPr>
              <w:sym w:font="Wingdings" w:char="F0FC"/>
            </w:r>
          </w:p>
        </w:tc>
      </w:tr>
    </w:tbl>
    <w:p w14:paraId="272CBA7F" w14:textId="77777777" w:rsidR="003F0CDB" w:rsidRPr="00EA0DC7" w:rsidRDefault="003F0CDB" w:rsidP="003F0CDB">
      <w:pPr>
        <w:rPr>
          <w:rFonts w:eastAsia="Times New Roman" w:cs="Arial"/>
          <w:szCs w:val="24"/>
        </w:rPr>
        <w:sectPr w:rsidR="003F0CDB" w:rsidRPr="00EA0DC7" w:rsidSect="00A927EF">
          <w:pgSz w:w="11906" w:h="16838"/>
          <w:pgMar w:top="1440" w:right="1440" w:bottom="1440" w:left="2268" w:header="709" w:footer="709" w:gutter="0"/>
          <w:cols w:space="708"/>
          <w:docGrid w:linePitch="360"/>
        </w:sectPr>
      </w:pPr>
    </w:p>
    <w:p w14:paraId="79FB66EF" w14:textId="147E3FA6" w:rsidR="003F0CDB" w:rsidRPr="00EA0DC7" w:rsidRDefault="003F0CDB" w:rsidP="006B3274">
      <w:pPr>
        <w:pStyle w:val="Heading2"/>
        <w:rPr>
          <w:lang w:eastAsia="zh-CN"/>
        </w:rPr>
      </w:pPr>
      <w:bookmarkStart w:id="222" w:name="_Toc23881301"/>
      <w:bookmarkStart w:id="223" w:name="_Toc24548592"/>
      <w:bookmarkStart w:id="224" w:name="_Toc24548695"/>
      <w:bookmarkStart w:id="225" w:name="_Toc47039882"/>
      <w:r w:rsidRPr="00EA0DC7">
        <w:rPr>
          <w:lang w:eastAsia="zh-CN"/>
        </w:rPr>
        <w:lastRenderedPageBreak/>
        <w:t xml:space="preserve">Appendix </w:t>
      </w:r>
      <w:r w:rsidR="00D247AC" w:rsidRPr="00EA0DC7">
        <w:rPr>
          <w:lang w:eastAsia="zh-CN"/>
        </w:rPr>
        <w:t>2</w:t>
      </w:r>
      <w:r w:rsidRPr="00EA0DC7">
        <w:rPr>
          <w:lang w:eastAsia="zh-CN"/>
        </w:rPr>
        <w:t>C</w:t>
      </w:r>
      <w:r w:rsidR="006B3274" w:rsidRPr="00EA0DC7">
        <w:rPr>
          <w:lang w:eastAsia="zh-CN"/>
        </w:rPr>
        <w:t>. Supervisor aspects focus in supervision models</w:t>
      </w:r>
      <w:bookmarkEnd w:id="222"/>
      <w:bookmarkEnd w:id="223"/>
      <w:bookmarkEnd w:id="224"/>
      <w:bookmarkEnd w:id="225"/>
    </w:p>
    <w:p w14:paraId="3CA8E5FF" w14:textId="6071B6F6" w:rsidR="003F0CDB" w:rsidRPr="00EA0DC7" w:rsidRDefault="003F0CDB" w:rsidP="003F0CDB">
      <w:pPr>
        <w:keepNext/>
        <w:spacing w:line="240" w:lineRule="auto"/>
        <w:rPr>
          <w:rFonts w:eastAsia="Calibri" w:cs="Arial"/>
          <w:bCs/>
          <w:i/>
          <w:szCs w:val="24"/>
          <w:lang w:eastAsia="en-US"/>
        </w:rPr>
      </w:pPr>
      <w:r w:rsidRPr="00EA0DC7">
        <w:rPr>
          <w:rFonts w:eastAsia="Calibri" w:cs="Arial"/>
          <w:bCs/>
          <w:szCs w:val="24"/>
          <w:lang w:eastAsia="en-US"/>
        </w:rPr>
        <w:t xml:space="preserve">Table </w:t>
      </w:r>
      <w:r w:rsidR="00D247AC" w:rsidRPr="00EA0DC7">
        <w:rPr>
          <w:rFonts w:eastAsia="Calibri" w:cs="Arial"/>
          <w:bCs/>
          <w:szCs w:val="24"/>
          <w:lang w:eastAsia="en-US"/>
        </w:rPr>
        <w:t xml:space="preserve">2C. </w:t>
      </w:r>
      <w:r w:rsidRPr="00EA0DC7">
        <w:rPr>
          <w:rFonts w:eastAsia="Calibri" w:cs="Arial"/>
          <w:bCs/>
          <w:szCs w:val="24"/>
          <w:lang w:eastAsia="en-US"/>
        </w:rPr>
        <w:t>Model focus on supervisor aspects</w:t>
      </w: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3F0CDB" w:rsidRPr="00EA0DC7" w14:paraId="5B283F12" w14:textId="77777777" w:rsidTr="00F4729C">
        <w:trPr>
          <w:trHeight w:val="1134"/>
        </w:trPr>
        <w:tc>
          <w:tcPr>
            <w:tcW w:w="1843" w:type="dxa"/>
            <w:tcBorders>
              <w:top w:val="single" w:sz="4" w:space="0" w:color="auto"/>
              <w:left w:val="nil"/>
              <w:bottom w:val="single" w:sz="4" w:space="0" w:color="auto"/>
              <w:right w:val="nil"/>
            </w:tcBorders>
            <w:shd w:val="clear" w:color="auto" w:fill="auto"/>
            <w:noWrap/>
            <w:hideMark/>
          </w:tcPr>
          <w:p w14:paraId="368C3530" w14:textId="77777777" w:rsidR="003F0CDB" w:rsidRPr="00EA0DC7" w:rsidRDefault="003F0CDB" w:rsidP="001A55AB">
            <w:pPr>
              <w:spacing w:before="240" w:after="120" w:line="240" w:lineRule="auto"/>
              <w:jc w:val="center"/>
              <w:rPr>
                <w:rFonts w:eastAsia="Times New Roman" w:cs="Arial"/>
                <w:bCs/>
                <w:sz w:val="20"/>
                <w:szCs w:val="20"/>
              </w:rPr>
            </w:pPr>
          </w:p>
        </w:tc>
        <w:tc>
          <w:tcPr>
            <w:tcW w:w="1701" w:type="dxa"/>
            <w:tcBorders>
              <w:top w:val="single" w:sz="4" w:space="0" w:color="auto"/>
              <w:left w:val="nil"/>
              <w:bottom w:val="single" w:sz="4" w:space="0" w:color="auto"/>
              <w:right w:val="nil"/>
            </w:tcBorders>
            <w:shd w:val="clear" w:color="auto" w:fill="auto"/>
            <w:vAlign w:val="center"/>
            <w:hideMark/>
          </w:tcPr>
          <w:p w14:paraId="3BE14C34"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vAlign w:val="center"/>
            <w:hideMark/>
          </w:tcPr>
          <w:p w14:paraId="4D353198"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vAlign w:val="center"/>
            <w:hideMark/>
          </w:tcPr>
          <w:p w14:paraId="0CBC71BC"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3463E0C9"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76B34E4A"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57CF73D4"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4C9B6B19"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01688B2F"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22B0292C" w14:textId="77777777" w:rsidR="003F0CDB" w:rsidRPr="00EA0DC7" w:rsidRDefault="003F0CDB" w:rsidP="001A55AB">
            <w:pPr>
              <w:spacing w:before="240" w:after="120" w:line="240"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3F0CDB" w:rsidRPr="00EA0DC7" w14:paraId="27F746E6" w14:textId="77777777" w:rsidTr="00F4729C">
        <w:trPr>
          <w:trHeight w:val="283"/>
        </w:trPr>
        <w:tc>
          <w:tcPr>
            <w:tcW w:w="1843" w:type="dxa"/>
            <w:tcBorders>
              <w:top w:val="single" w:sz="4" w:space="0" w:color="auto"/>
              <w:left w:val="nil"/>
              <w:right w:val="nil"/>
              <w:tl2br w:val="single" w:sz="4" w:space="0" w:color="auto"/>
            </w:tcBorders>
            <w:shd w:val="clear" w:color="auto" w:fill="auto"/>
            <w:hideMark/>
          </w:tcPr>
          <w:p w14:paraId="320882D3" w14:textId="77777777" w:rsidR="003F0CDB" w:rsidRPr="00EA0DC7" w:rsidRDefault="003F0CDB" w:rsidP="001A55AB">
            <w:pPr>
              <w:spacing w:before="240" w:after="0" w:line="240" w:lineRule="auto"/>
              <w:jc w:val="right"/>
              <w:rPr>
                <w:rFonts w:eastAsia="Times New Roman" w:cs="Arial"/>
                <w:b/>
                <w:sz w:val="20"/>
                <w:szCs w:val="20"/>
              </w:rPr>
            </w:pPr>
            <w:r w:rsidRPr="00EA0DC7">
              <w:rPr>
                <w:rFonts w:eastAsia="Times New Roman" w:cs="Arial"/>
                <w:b/>
                <w:sz w:val="20"/>
                <w:szCs w:val="20"/>
              </w:rPr>
              <w:t>No. of models</w:t>
            </w:r>
          </w:p>
          <w:p w14:paraId="0B8F9C64" w14:textId="77777777" w:rsidR="003F0CDB" w:rsidRPr="00EA0DC7" w:rsidRDefault="003F0CDB" w:rsidP="00957911">
            <w:pPr>
              <w:spacing w:after="0" w:line="240" w:lineRule="auto"/>
              <w:jc w:val="right"/>
              <w:rPr>
                <w:rFonts w:eastAsia="Times New Roman" w:cs="Arial"/>
                <w:b/>
                <w:sz w:val="20"/>
                <w:szCs w:val="20"/>
              </w:rPr>
            </w:pPr>
            <w:r w:rsidRPr="00EA0DC7">
              <w:rPr>
                <w:rFonts w:eastAsia="Times New Roman" w:cs="Arial"/>
                <w:b/>
                <w:sz w:val="20"/>
                <w:szCs w:val="20"/>
              </w:rPr>
              <w:t>with</w:t>
            </w:r>
          </w:p>
          <w:p w14:paraId="1F6F6399" w14:textId="77777777" w:rsidR="003F0CDB" w:rsidRPr="00EA0DC7" w:rsidRDefault="003F0CDB" w:rsidP="00957911">
            <w:pPr>
              <w:spacing w:after="0" w:line="240" w:lineRule="auto"/>
              <w:jc w:val="right"/>
              <w:rPr>
                <w:rFonts w:eastAsia="Times New Roman" w:cs="Arial"/>
                <w:b/>
                <w:sz w:val="20"/>
                <w:szCs w:val="20"/>
              </w:rPr>
            </w:pPr>
            <w:r w:rsidRPr="00EA0DC7">
              <w:rPr>
                <w:rFonts w:eastAsia="Times New Roman" w:cs="Arial"/>
                <w:b/>
                <w:sz w:val="20"/>
                <w:szCs w:val="20"/>
              </w:rPr>
              <w:t>element</w:t>
            </w:r>
          </w:p>
          <w:p w14:paraId="0F4CB210" w14:textId="77777777" w:rsidR="003F0CDB" w:rsidRPr="00EA0DC7" w:rsidRDefault="003F0CDB" w:rsidP="00957911">
            <w:pPr>
              <w:spacing w:after="0" w:line="240" w:lineRule="auto"/>
              <w:jc w:val="right"/>
              <w:rPr>
                <w:rFonts w:eastAsia="Times New Roman" w:cs="Arial"/>
                <w:b/>
                <w:sz w:val="20"/>
                <w:szCs w:val="20"/>
              </w:rPr>
            </w:pPr>
          </w:p>
          <w:p w14:paraId="450C16AF" w14:textId="77777777" w:rsidR="001A55AB" w:rsidRPr="00EA0DC7" w:rsidRDefault="003F0CDB" w:rsidP="001A55AB">
            <w:pPr>
              <w:spacing w:after="0" w:line="240" w:lineRule="auto"/>
              <w:rPr>
                <w:rFonts w:eastAsia="Times New Roman" w:cs="Arial"/>
                <w:b/>
                <w:bCs/>
                <w:sz w:val="20"/>
                <w:szCs w:val="20"/>
              </w:rPr>
            </w:pPr>
            <w:r w:rsidRPr="00EA0DC7">
              <w:rPr>
                <w:rFonts w:eastAsia="Times New Roman" w:cs="Arial"/>
                <w:b/>
                <w:bCs/>
                <w:sz w:val="20"/>
                <w:szCs w:val="20"/>
              </w:rPr>
              <w:t xml:space="preserve">Model/ </w:t>
            </w:r>
          </w:p>
          <w:p w14:paraId="0C57BC40" w14:textId="6E86D0FB" w:rsidR="003F0CDB" w:rsidRPr="00EA0DC7" w:rsidRDefault="003F0CDB" w:rsidP="001A55AB">
            <w:pPr>
              <w:spacing w:line="240" w:lineRule="auto"/>
              <w:rPr>
                <w:rFonts w:eastAsia="Times New Roman" w:cs="Arial"/>
                <w:b/>
                <w:bCs/>
                <w:sz w:val="20"/>
                <w:szCs w:val="20"/>
              </w:rPr>
            </w:pPr>
            <w:r w:rsidRPr="00EA0DC7">
              <w:rPr>
                <w:rFonts w:eastAsia="Times New Roman" w:cs="Arial"/>
                <w:b/>
                <w:bCs/>
                <w:sz w:val="20"/>
                <w:szCs w:val="20"/>
              </w:rPr>
              <w:t>approach</w:t>
            </w:r>
          </w:p>
        </w:tc>
        <w:tc>
          <w:tcPr>
            <w:tcW w:w="1701" w:type="dxa"/>
            <w:tcBorders>
              <w:top w:val="single" w:sz="4" w:space="0" w:color="auto"/>
              <w:left w:val="nil"/>
              <w:right w:val="nil"/>
            </w:tcBorders>
            <w:shd w:val="clear" w:color="auto" w:fill="auto"/>
            <w:vAlign w:val="center"/>
            <w:hideMark/>
          </w:tcPr>
          <w:p w14:paraId="1CDD8BB7"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18</w:t>
            </w:r>
          </w:p>
          <w:p w14:paraId="7A45A240"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(34.62%)</w:t>
            </w:r>
          </w:p>
        </w:tc>
        <w:tc>
          <w:tcPr>
            <w:tcW w:w="1276" w:type="dxa"/>
            <w:tcBorders>
              <w:top w:val="single" w:sz="4" w:space="0" w:color="auto"/>
              <w:left w:val="nil"/>
              <w:right w:val="nil"/>
            </w:tcBorders>
            <w:shd w:val="clear" w:color="auto" w:fill="auto"/>
            <w:vAlign w:val="center"/>
            <w:hideMark/>
          </w:tcPr>
          <w:p w14:paraId="5C6E68FC"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9</w:t>
            </w:r>
          </w:p>
          <w:p w14:paraId="12BE6F94"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(17.31%)</w:t>
            </w:r>
          </w:p>
        </w:tc>
        <w:tc>
          <w:tcPr>
            <w:tcW w:w="1276" w:type="dxa"/>
            <w:tcBorders>
              <w:top w:val="single" w:sz="4" w:space="0" w:color="auto"/>
              <w:left w:val="nil"/>
              <w:right w:val="nil"/>
            </w:tcBorders>
            <w:shd w:val="clear" w:color="auto" w:fill="auto"/>
            <w:vAlign w:val="center"/>
            <w:hideMark/>
          </w:tcPr>
          <w:p w14:paraId="2ECB470D"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7</w:t>
            </w:r>
          </w:p>
          <w:p w14:paraId="47717FBC"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(13.46%)</w:t>
            </w:r>
          </w:p>
        </w:tc>
        <w:tc>
          <w:tcPr>
            <w:tcW w:w="1275" w:type="dxa"/>
            <w:tcBorders>
              <w:top w:val="single" w:sz="4" w:space="0" w:color="auto"/>
              <w:left w:val="nil"/>
              <w:right w:val="nil"/>
            </w:tcBorders>
            <w:vAlign w:val="center"/>
          </w:tcPr>
          <w:p w14:paraId="683E2A1C"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3</w:t>
            </w:r>
          </w:p>
          <w:p w14:paraId="33E253B5"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(5.77%)</w:t>
            </w:r>
          </w:p>
        </w:tc>
        <w:tc>
          <w:tcPr>
            <w:tcW w:w="1276" w:type="dxa"/>
            <w:tcBorders>
              <w:top w:val="single" w:sz="4" w:space="0" w:color="auto"/>
              <w:left w:val="nil"/>
              <w:right w:val="nil"/>
            </w:tcBorders>
            <w:vAlign w:val="center"/>
          </w:tcPr>
          <w:p w14:paraId="0CB210F0"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19</w:t>
            </w:r>
          </w:p>
          <w:p w14:paraId="264073EC"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(36.54%)</w:t>
            </w:r>
          </w:p>
        </w:tc>
        <w:tc>
          <w:tcPr>
            <w:tcW w:w="1559" w:type="dxa"/>
            <w:tcBorders>
              <w:top w:val="single" w:sz="4" w:space="0" w:color="auto"/>
              <w:left w:val="nil"/>
              <w:right w:val="nil"/>
            </w:tcBorders>
            <w:vAlign w:val="center"/>
          </w:tcPr>
          <w:p w14:paraId="11ABE912"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5</w:t>
            </w:r>
          </w:p>
          <w:p w14:paraId="0B192432"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(9.62%)</w:t>
            </w:r>
          </w:p>
        </w:tc>
        <w:tc>
          <w:tcPr>
            <w:tcW w:w="1276" w:type="dxa"/>
            <w:tcBorders>
              <w:top w:val="single" w:sz="4" w:space="0" w:color="auto"/>
              <w:left w:val="nil"/>
              <w:right w:val="nil"/>
            </w:tcBorders>
            <w:vAlign w:val="center"/>
          </w:tcPr>
          <w:p w14:paraId="5E8E3EAC"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4</w:t>
            </w:r>
          </w:p>
          <w:p w14:paraId="12072248"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(7.69%)</w:t>
            </w:r>
          </w:p>
        </w:tc>
        <w:tc>
          <w:tcPr>
            <w:tcW w:w="1276" w:type="dxa"/>
            <w:tcBorders>
              <w:top w:val="single" w:sz="4" w:space="0" w:color="auto"/>
              <w:left w:val="nil"/>
              <w:right w:val="nil"/>
            </w:tcBorders>
            <w:vAlign w:val="center"/>
          </w:tcPr>
          <w:p w14:paraId="36BAD6CF"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11</w:t>
            </w:r>
          </w:p>
          <w:p w14:paraId="38CF94F2"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(21.15%)</w:t>
            </w:r>
          </w:p>
        </w:tc>
        <w:tc>
          <w:tcPr>
            <w:tcW w:w="1417" w:type="dxa"/>
            <w:tcBorders>
              <w:top w:val="single" w:sz="4" w:space="0" w:color="auto"/>
              <w:left w:val="nil"/>
              <w:right w:val="nil"/>
            </w:tcBorders>
            <w:vAlign w:val="center"/>
          </w:tcPr>
          <w:p w14:paraId="0E91E846"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2</w:t>
            </w:r>
          </w:p>
          <w:p w14:paraId="0E888F8A" w14:textId="77777777" w:rsidR="003F0CDB" w:rsidRPr="00EA0DC7" w:rsidRDefault="003F0CDB" w:rsidP="00A96E13">
            <w:pPr>
              <w:spacing w:after="0" w:line="240" w:lineRule="auto"/>
              <w:jc w:val="center"/>
              <w:rPr>
                <w:rFonts w:eastAsia="Times New Roman" w:cs="Arial"/>
                <w:sz w:val="20"/>
                <w:szCs w:val="20"/>
              </w:rPr>
            </w:pPr>
            <w:r w:rsidRPr="00EA0DC7">
              <w:rPr>
                <w:rFonts w:eastAsia="Times New Roman" w:cs="Arial"/>
                <w:sz w:val="20"/>
                <w:szCs w:val="20"/>
              </w:rPr>
              <w:t>(3.85%)</w:t>
            </w:r>
          </w:p>
        </w:tc>
      </w:tr>
      <w:tr w:rsidR="003F0CDB" w:rsidRPr="00EA0DC7" w14:paraId="464D00D6" w14:textId="77777777" w:rsidTr="00F4729C">
        <w:trPr>
          <w:trHeight w:val="567"/>
        </w:trPr>
        <w:tc>
          <w:tcPr>
            <w:tcW w:w="1843" w:type="dxa"/>
            <w:tcBorders>
              <w:left w:val="nil"/>
              <w:bottom w:val="nil"/>
              <w:right w:val="nil"/>
            </w:tcBorders>
            <w:shd w:val="clear" w:color="auto" w:fill="auto"/>
            <w:hideMark/>
          </w:tcPr>
          <w:p w14:paraId="5467AE02" w14:textId="77777777" w:rsidR="003F0CDB" w:rsidRPr="00EA0DC7" w:rsidRDefault="003F0CDB" w:rsidP="001A55AB">
            <w:pPr>
              <w:spacing w:before="240" w:line="276" w:lineRule="auto"/>
              <w:jc w:val="left"/>
              <w:rPr>
                <w:rFonts w:eastAsia="Times New Roman" w:cs="Arial"/>
                <w:sz w:val="20"/>
                <w:szCs w:val="20"/>
              </w:rPr>
            </w:pPr>
            <w:r w:rsidRPr="00EA0DC7">
              <w:rPr>
                <w:rFonts w:eastAsia="Times New Roman" w:cs="Arial"/>
                <w:sz w:val="20"/>
                <w:szCs w:val="20"/>
              </w:rPr>
              <w:t>Hogan (1964)</w:t>
            </w:r>
          </w:p>
        </w:tc>
        <w:tc>
          <w:tcPr>
            <w:tcW w:w="1701" w:type="dxa"/>
            <w:tcBorders>
              <w:left w:val="nil"/>
              <w:bottom w:val="nil"/>
              <w:right w:val="nil"/>
            </w:tcBorders>
            <w:shd w:val="clear" w:color="auto" w:fill="auto"/>
            <w:noWrap/>
            <w:hideMark/>
          </w:tcPr>
          <w:p w14:paraId="288B755E"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09226D8B"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08D13189" w14:textId="77777777" w:rsidR="003F0CDB" w:rsidRPr="00EA0DC7" w:rsidRDefault="003F0CDB" w:rsidP="001A55AB">
            <w:pPr>
              <w:spacing w:before="240" w:line="276" w:lineRule="auto"/>
              <w:jc w:val="center"/>
              <w:rPr>
                <w:rFonts w:eastAsia="Times New Roman" w:cs="Arial"/>
                <w:sz w:val="20"/>
                <w:szCs w:val="20"/>
              </w:rPr>
            </w:pPr>
          </w:p>
        </w:tc>
        <w:tc>
          <w:tcPr>
            <w:tcW w:w="1275" w:type="dxa"/>
            <w:tcBorders>
              <w:left w:val="nil"/>
              <w:bottom w:val="nil"/>
              <w:right w:val="nil"/>
            </w:tcBorders>
          </w:tcPr>
          <w:p w14:paraId="5C66058C"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left w:val="nil"/>
              <w:bottom w:val="nil"/>
              <w:right w:val="nil"/>
            </w:tcBorders>
          </w:tcPr>
          <w:p w14:paraId="50EFAF37" w14:textId="77777777" w:rsidR="003F0CDB" w:rsidRPr="00EA0DC7" w:rsidRDefault="003F0CDB" w:rsidP="001A55AB">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bottom w:val="nil"/>
              <w:right w:val="nil"/>
            </w:tcBorders>
          </w:tcPr>
          <w:p w14:paraId="1621A547"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left w:val="nil"/>
              <w:bottom w:val="nil"/>
              <w:right w:val="nil"/>
            </w:tcBorders>
          </w:tcPr>
          <w:p w14:paraId="23CE5588"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left w:val="nil"/>
              <w:bottom w:val="nil"/>
              <w:right w:val="nil"/>
            </w:tcBorders>
          </w:tcPr>
          <w:p w14:paraId="3DB419D9" w14:textId="77777777" w:rsidR="003F0CDB" w:rsidRPr="00EA0DC7" w:rsidRDefault="003F0CDB" w:rsidP="001A55AB">
            <w:pPr>
              <w:spacing w:before="240" w:line="276" w:lineRule="auto"/>
              <w:jc w:val="center"/>
              <w:rPr>
                <w:rFonts w:eastAsia="Times New Roman" w:cs="Arial"/>
                <w:sz w:val="20"/>
                <w:szCs w:val="20"/>
              </w:rPr>
            </w:pPr>
          </w:p>
        </w:tc>
        <w:tc>
          <w:tcPr>
            <w:tcW w:w="1417" w:type="dxa"/>
            <w:tcBorders>
              <w:left w:val="nil"/>
              <w:bottom w:val="nil"/>
              <w:right w:val="nil"/>
            </w:tcBorders>
          </w:tcPr>
          <w:p w14:paraId="415072B2" w14:textId="77777777" w:rsidR="003F0CDB" w:rsidRPr="00EA0DC7" w:rsidRDefault="003F0CDB" w:rsidP="001A55AB">
            <w:pPr>
              <w:spacing w:before="240" w:line="276" w:lineRule="auto"/>
              <w:jc w:val="center"/>
              <w:rPr>
                <w:rFonts w:eastAsia="Times New Roman" w:cs="Arial"/>
                <w:sz w:val="20"/>
                <w:szCs w:val="20"/>
              </w:rPr>
            </w:pPr>
          </w:p>
        </w:tc>
      </w:tr>
      <w:tr w:rsidR="003F0CDB" w:rsidRPr="00EA0DC7" w14:paraId="43CAD829" w14:textId="77777777" w:rsidTr="00BB2600">
        <w:trPr>
          <w:trHeight w:val="567"/>
        </w:trPr>
        <w:tc>
          <w:tcPr>
            <w:tcW w:w="1843" w:type="dxa"/>
            <w:tcBorders>
              <w:top w:val="nil"/>
              <w:left w:val="nil"/>
              <w:bottom w:val="nil"/>
              <w:right w:val="nil"/>
            </w:tcBorders>
            <w:shd w:val="clear" w:color="auto" w:fill="auto"/>
            <w:hideMark/>
          </w:tcPr>
          <w:p w14:paraId="1325FA58"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Ekstein &amp; Wallerstein (1972)</w:t>
            </w:r>
          </w:p>
        </w:tc>
        <w:tc>
          <w:tcPr>
            <w:tcW w:w="1701" w:type="dxa"/>
            <w:tcBorders>
              <w:top w:val="nil"/>
              <w:left w:val="nil"/>
              <w:bottom w:val="nil"/>
              <w:right w:val="nil"/>
            </w:tcBorders>
            <w:shd w:val="clear" w:color="auto" w:fill="auto"/>
            <w:noWrap/>
            <w:hideMark/>
          </w:tcPr>
          <w:p w14:paraId="3301CB53"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shd w:val="clear" w:color="auto" w:fill="auto"/>
            <w:noWrap/>
            <w:hideMark/>
          </w:tcPr>
          <w:p w14:paraId="66E20252"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077FF576"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nil"/>
              <w:right w:val="nil"/>
            </w:tcBorders>
          </w:tcPr>
          <w:p w14:paraId="52F8520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1B6FF684"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nil"/>
              <w:right w:val="nil"/>
            </w:tcBorders>
          </w:tcPr>
          <w:p w14:paraId="3150F83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0A4F8D7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28F37B4E"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1FCE2E16" w14:textId="77777777" w:rsidR="003F0CDB" w:rsidRPr="00EA0DC7" w:rsidRDefault="003F0CDB" w:rsidP="00A96E13">
            <w:pPr>
              <w:spacing w:line="276" w:lineRule="auto"/>
              <w:jc w:val="center"/>
              <w:rPr>
                <w:rFonts w:eastAsia="Times New Roman" w:cs="Arial"/>
                <w:sz w:val="20"/>
                <w:szCs w:val="20"/>
              </w:rPr>
            </w:pPr>
          </w:p>
        </w:tc>
      </w:tr>
      <w:tr w:rsidR="003F0CDB" w:rsidRPr="00EA0DC7" w14:paraId="215D97CB" w14:textId="77777777" w:rsidTr="00BB2600">
        <w:trPr>
          <w:trHeight w:val="567"/>
        </w:trPr>
        <w:tc>
          <w:tcPr>
            <w:tcW w:w="1843" w:type="dxa"/>
            <w:tcBorders>
              <w:top w:val="nil"/>
              <w:left w:val="nil"/>
              <w:bottom w:val="nil"/>
              <w:right w:val="nil"/>
            </w:tcBorders>
            <w:shd w:val="clear" w:color="auto" w:fill="auto"/>
            <w:hideMark/>
          </w:tcPr>
          <w:p w14:paraId="57D37263"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Mueller &amp; Kell (1971)</w:t>
            </w:r>
          </w:p>
        </w:tc>
        <w:tc>
          <w:tcPr>
            <w:tcW w:w="1701" w:type="dxa"/>
            <w:tcBorders>
              <w:top w:val="nil"/>
              <w:left w:val="nil"/>
              <w:bottom w:val="nil"/>
              <w:right w:val="nil"/>
            </w:tcBorders>
            <w:shd w:val="clear" w:color="auto" w:fill="auto"/>
            <w:noWrap/>
            <w:hideMark/>
          </w:tcPr>
          <w:p w14:paraId="65D82378"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shd w:val="clear" w:color="auto" w:fill="auto"/>
            <w:noWrap/>
            <w:hideMark/>
          </w:tcPr>
          <w:p w14:paraId="2FD594D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2FBB4183"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nil"/>
              <w:right w:val="nil"/>
            </w:tcBorders>
          </w:tcPr>
          <w:p w14:paraId="3DCD16C8"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tcPr>
          <w:p w14:paraId="7FEFC879"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bottom w:val="nil"/>
              <w:right w:val="nil"/>
            </w:tcBorders>
          </w:tcPr>
          <w:p w14:paraId="2CEAD7A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485FC15D"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1C89E042"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706D04C9" w14:textId="77777777" w:rsidR="003F0CDB" w:rsidRPr="00EA0DC7" w:rsidRDefault="003F0CDB" w:rsidP="00A96E13">
            <w:pPr>
              <w:spacing w:line="276" w:lineRule="auto"/>
              <w:jc w:val="center"/>
              <w:rPr>
                <w:rFonts w:eastAsia="Times New Roman" w:cs="Arial"/>
                <w:sz w:val="20"/>
                <w:szCs w:val="20"/>
              </w:rPr>
            </w:pPr>
          </w:p>
        </w:tc>
      </w:tr>
      <w:tr w:rsidR="003F0CDB" w:rsidRPr="00EA0DC7" w14:paraId="678EA8D9" w14:textId="77777777" w:rsidTr="001A55AB">
        <w:trPr>
          <w:trHeight w:val="567"/>
        </w:trPr>
        <w:tc>
          <w:tcPr>
            <w:tcW w:w="1843" w:type="dxa"/>
            <w:tcBorders>
              <w:top w:val="nil"/>
              <w:left w:val="nil"/>
              <w:right w:val="nil"/>
            </w:tcBorders>
            <w:shd w:val="clear" w:color="auto" w:fill="auto"/>
            <w:hideMark/>
          </w:tcPr>
          <w:p w14:paraId="1E951B7E"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Delaney (1972)</w:t>
            </w:r>
          </w:p>
        </w:tc>
        <w:tc>
          <w:tcPr>
            <w:tcW w:w="1701" w:type="dxa"/>
            <w:tcBorders>
              <w:top w:val="nil"/>
              <w:left w:val="nil"/>
              <w:right w:val="nil"/>
            </w:tcBorders>
            <w:shd w:val="clear" w:color="auto" w:fill="auto"/>
            <w:noWrap/>
            <w:hideMark/>
          </w:tcPr>
          <w:p w14:paraId="594C74F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652FC01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3E8C0BD"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43370E1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3223824F"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174AEC4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30569ED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61818B7"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6578D4F5" w14:textId="77777777" w:rsidR="003F0CDB" w:rsidRPr="00EA0DC7" w:rsidRDefault="003F0CDB" w:rsidP="00A96E13">
            <w:pPr>
              <w:spacing w:line="276" w:lineRule="auto"/>
              <w:jc w:val="center"/>
              <w:rPr>
                <w:rFonts w:eastAsia="Times New Roman" w:cs="Arial"/>
                <w:sz w:val="20"/>
                <w:szCs w:val="20"/>
              </w:rPr>
            </w:pPr>
          </w:p>
        </w:tc>
      </w:tr>
      <w:tr w:rsidR="003F0CDB" w:rsidRPr="00EA0DC7" w14:paraId="164565D4" w14:textId="77777777" w:rsidTr="001A55AB">
        <w:trPr>
          <w:trHeight w:val="567"/>
        </w:trPr>
        <w:tc>
          <w:tcPr>
            <w:tcW w:w="1843" w:type="dxa"/>
            <w:tcBorders>
              <w:top w:val="nil"/>
              <w:left w:val="nil"/>
              <w:bottom w:val="single" w:sz="4" w:space="0" w:color="auto"/>
              <w:right w:val="nil"/>
            </w:tcBorders>
            <w:shd w:val="clear" w:color="auto" w:fill="auto"/>
            <w:hideMark/>
          </w:tcPr>
          <w:p w14:paraId="66F0719C"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Ard (1973)</w:t>
            </w:r>
          </w:p>
        </w:tc>
        <w:tc>
          <w:tcPr>
            <w:tcW w:w="1701" w:type="dxa"/>
            <w:tcBorders>
              <w:top w:val="nil"/>
              <w:left w:val="nil"/>
              <w:bottom w:val="single" w:sz="4" w:space="0" w:color="auto"/>
              <w:right w:val="nil"/>
            </w:tcBorders>
            <w:shd w:val="clear" w:color="auto" w:fill="auto"/>
            <w:noWrap/>
            <w:hideMark/>
          </w:tcPr>
          <w:p w14:paraId="3143534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7EDE89F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3A5F5A90"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single" w:sz="4" w:space="0" w:color="auto"/>
              <w:right w:val="nil"/>
            </w:tcBorders>
          </w:tcPr>
          <w:p w14:paraId="7722292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74913A51"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single" w:sz="4" w:space="0" w:color="auto"/>
              <w:right w:val="nil"/>
            </w:tcBorders>
          </w:tcPr>
          <w:p w14:paraId="0277398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32E6AC8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5674E778"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bottom w:val="single" w:sz="4" w:space="0" w:color="auto"/>
              <w:right w:val="nil"/>
            </w:tcBorders>
          </w:tcPr>
          <w:p w14:paraId="5DE0DB2E" w14:textId="77777777" w:rsidR="003F0CDB" w:rsidRPr="00EA0DC7" w:rsidRDefault="003F0CDB" w:rsidP="00A96E13">
            <w:pPr>
              <w:spacing w:line="276" w:lineRule="auto"/>
              <w:jc w:val="center"/>
              <w:rPr>
                <w:rFonts w:eastAsia="Times New Roman" w:cs="Arial"/>
                <w:sz w:val="20"/>
                <w:szCs w:val="20"/>
              </w:rPr>
            </w:pPr>
          </w:p>
        </w:tc>
      </w:tr>
    </w:tbl>
    <w:p w14:paraId="1AD92E6C" w14:textId="77777777" w:rsidR="001A55AB" w:rsidRPr="00EA0DC7" w:rsidRDefault="001A55AB" w:rsidP="00B93C96">
      <w:pPr>
        <w:spacing w:line="276" w:lineRule="auto"/>
        <w:jc w:val="left"/>
        <w:rPr>
          <w:rFonts w:eastAsia="Times New Roman" w:cs="Arial"/>
          <w:sz w:val="20"/>
          <w:szCs w:val="20"/>
        </w:rPr>
        <w:sectPr w:rsidR="001A55AB" w:rsidRPr="00EA0DC7" w:rsidSect="001A55AB">
          <w:pgSz w:w="16838" w:h="11906" w:orient="landscape" w:code="9"/>
          <w:pgMar w:top="1440" w:right="1440" w:bottom="2268" w:left="1440" w:header="709" w:footer="709" w:gutter="0"/>
          <w:cols w:space="708"/>
          <w:docGrid w:linePitch="360"/>
        </w:sectPr>
      </w:pP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1A55AB" w:rsidRPr="00EA0DC7" w14:paraId="58C8FD51" w14:textId="77777777" w:rsidTr="0070237A">
        <w:trPr>
          <w:trHeight w:val="567"/>
        </w:trPr>
        <w:tc>
          <w:tcPr>
            <w:tcW w:w="1843" w:type="dxa"/>
            <w:tcBorders>
              <w:top w:val="single" w:sz="4" w:space="0" w:color="auto"/>
              <w:left w:val="nil"/>
              <w:bottom w:val="single" w:sz="4" w:space="0" w:color="auto"/>
              <w:right w:val="nil"/>
            </w:tcBorders>
            <w:shd w:val="clear" w:color="auto" w:fill="auto"/>
            <w:vAlign w:val="center"/>
          </w:tcPr>
          <w:p w14:paraId="24C6976A"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71AB9505"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noWrap/>
            <w:vAlign w:val="center"/>
          </w:tcPr>
          <w:p w14:paraId="5E80E703"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noWrap/>
            <w:vAlign w:val="center"/>
          </w:tcPr>
          <w:p w14:paraId="122B4438"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20E4E1ED"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07BC02D0"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52C4A480"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5CE7B284"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3FB860FF"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1F6DF7D2" w14:textId="77777777" w:rsidR="001A55AB" w:rsidRPr="00EA0DC7" w:rsidRDefault="001A55AB" w:rsidP="001A55AB">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1A55AB" w:rsidRPr="00EA0DC7" w14:paraId="6FFE82C5" w14:textId="77777777" w:rsidTr="0070237A">
        <w:trPr>
          <w:trHeight w:val="567"/>
        </w:trPr>
        <w:tc>
          <w:tcPr>
            <w:tcW w:w="1843" w:type="dxa"/>
            <w:tcBorders>
              <w:top w:val="nil"/>
              <w:left w:val="nil"/>
              <w:right w:val="nil"/>
            </w:tcBorders>
            <w:shd w:val="clear" w:color="auto" w:fill="auto"/>
            <w:hideMark/>
          </w:tcPr>
          <w:p w14:paraId="44283FAD" w14:textId="77777777" w:rsidR="001A55AB" w:rsidRPr="00EA0DC7" w:rsidRDefault="001A55AB" w:rsidP="001A55AB">
            <w:pPr>
              <w:spacing w:before="240" w:line="276" w:lineRule="auto"/>
              <w:jc w:val="left"/>
              <w:rPr>
                <w:rFonts w:eastAsia="Times New Roman" w:cs="Arial"/>
                <w:sz w:val="20"/>
                <w:szCs w:val="20"/>
              </w:rPr>
            </w:pPr>
            <w:r w:rsidRPr="00EA0DC7">
              <w:rPr>
                <w:rFonts w:eastAsia="Times New Roman" w:cs="Arial"/>
                <w:sz w:val="20"/>
                <w:szCs w:val="20"/>
              </w:rPr>
              <w:t>Bernard (1979)</w:t>
            </w:r>
          </w:p>
        </w:tc>
        <w:tc>
          <w:tcPr>
            <w:tcW w:w="1701" w:type="dxa"/>
            <w:tcBorders>
              <w:top w:val="nil"/>
              <w:left w:val="nil"/>
              <w:right w:val="nil"/>
            </w:tcBorders>
            <w:shd w:val="clear" w:color="auto" w:fill="auto"/>
            <w:noWrap/>
            <w:hideMark/>
          </w:tcPr>
          <w:p w14:paraId="571FB500" w14:textId="77777777" w:rsidR="001A55AB" w:rsidRPr="00EA0DC7" w:rsidRDefault="001A55AB" w:rsidP="001A55AB">
            <w:pPr>
              <w:spacing w:before="240"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66FA314" w14:textId="77777777" w:rsidR="001A55AB" w:rsidRPr="00EA0DC7" w:rsidRDefault="001A55AB" w:rsidP="001A55AB">
            <w:pPr>
              <w:spacing w:before="240"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33D02D8D" w14:textId="77777777" w:rsidR="001A55AB" w:rsidRPr="00EA0DC7" w:rsidRDefault="001A55AB" w:rsidP="001A55AB">
            <w:pPr>
              <w:spacing w:before="240" w:line="276" w:lineRule="auto"/>
              <w:jc w:val="center"/>
              <w:rPr>
                <w:rFonts w:eastAsia="Times New Roman" w:cs="Arial"/>
                <w:sz w:val="20"/>
                <w:szCs w:val="20"/>
              </w:rPr>
            </w:pPr>
          </w:p>
        </w:tc>
        <w:tc>
          <w:tcPr>
            <w:tcW w:w="1275" w:type="dxa"/>
            <w:tcBorders>
              <w:top w:val="nil"/>
              <w:left w:val="nil"/>
              <w:right w:val="nil"/>
            </w:tcBorders>
          </w:tcPr>
          <w:p w14:paraId="54705AA8" w14:textId="77777777" w:rsidR="001A55AB" w:rsidRPr="00EA0DC7" w:rsidRDefault="001A55A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7552B01A" w14:textId="77777777" w:rsidR="001A55AB" w:rsidRPr="00EA0DC7" w:rsidRDefault="001A55AB" w:rsidP="001A55AB">
            <w:pPr>
              <w:spacing w:before="240" w:line="276" w:lineRule="auto"/>
              <w:jc w:val="center"/>
              <w:rPr>
                <w:rFonts w:eastAsia="Times New Roman" w:cs="Arial"/>
                <w:sz w:val="20"/>
                <w:szCs w:val="20"/>
              </w:rPr>
            </w:pPr>
          </w:p>
        </w:tc>
        <w:tc>
          <w:tcPr>
            <w:tcW w:w="1559" w:type="dxa"/>
            <w:tcBorders>
              <w:top w:val="nil"/>
              <w:left w:val="nil"/>
              <w:right w:val="nil"/>
            </w:tcBorders>
          </w:tcPr>
          <w:p w14:paraId="003AC3D2" w14:textId="77777777" w:rsidR="001A55AB" w:rsidRPr="00EA0DC7" w:rsidRDefault="001A55A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6976F1D4" w14:textId="77777777" w:rsidR="001A55AB" w:rsidRPr="00EA0DC7" w:rsidRDefault="001A55A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1328481B" w14:textId="77777777" w:rsidR="001A55AB" w:rsidRPr="00EA0DC7" w:rsidRDefault="001A55AB" w:rsidP="001A55AB">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right w:val="nil"/>
            </w:tcBorders>
          </w:tcPr>
          <w:p w14:paraId="0B62FFDD" w14:textId="77777777" w:rsidR="001A55AB" w:rsidRPr="00EA0DC7" w:rsidRDefault="001A55AB" w:rsidP="001A55AB">
            <w:pPr>
              <w:spacing w:before="240" w:line="276" w:lineRule="auto"/>
              <w:jc w:val="center"/>
              <w:rPr>
                <w:rFonts w:eastAsia="Times New Roman" w:cs="Arial"/>
                <w:sz w:val="20"/>
                <w:szCs w:val="20"/>
              </w:rPr>
            </w:pPr>
          </w:p>
        </w:tc>
      </w:tr>
      <w:tr w:rsidR="003F0CDB" w:rsidRPr="00EA0DC7" w14:paraId="4208D7D5" w14:textId="77777777" w:rsidTr="001A55AB">
        <w:trPr>
          <w:trHeight w:val="567"/>
        </w:trPr>
        <w:tc>
          <w:tcPr>
            <w:tcW w:w="1843" w:type="dxa"/>
            <w:tcBorders>
              <w:left w:val="nil"/>
              <w:right w:val="nil"/>
            </w:tcBorders>
            <w:shd w:val="clear" w:color="auto" w:fill="auto"/>
            <w:hideMark/>
          </w:tcPr>
          <w:p w14:paraId="70BEDE00" w14:textId="4FB35D65"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Littrell et al. (1979)</w:t>
            </w:r>
          </w:p>
        </w:tc>
        <w:tc>
          <w:tcPr>
            <w:tcW w:w="1701" w:type="dxa"/>
            <w:tcBorders>
              <w:left w:val="nil"/>
              <w:right w:val="nil"/>
            </w:tcBorders>
            <w:shd w:val="clear" w:color="auto" w:fill="auto"/>
            <w:noWrap/>
            <w:hideMark/>
          </w:tcPr>
          <w:p w14:paraId="6557956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6C0C079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248CA811"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4318573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17D78871"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429A2341"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E47440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7F09FBC9"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left w:val="nil"/>
              <w:right w:val="nil"/>
            </w:tcBorders>
          </w:tcPr>
          <w:p w14:paraId="3D0D4B26" w14:textId="77777777" w:rsidR="003F0CDB" w:rsidRPr="00EA0DC7" w:rsidRDefault="003F0CDB" w:rsidP="00A96E13">
            <w:pPr>
              <w:spacing w:line="276" w:lineRule="auto"/>
              <w:jc w:val="center"/>
              <w:rPr>
                <w:rFonts w:eastAsia="Times New Roman" w:cs="Arial"/>
                <w:sz w:val="20"/>
                <w:szCs w:val="20"/>
              </w:rPr>
            </w:pPr>
          </w:p>
        </w:tc>
      </w:tr>
      <w:tr w:rsidR="003F0CDB" w:rsidRPr="00EA0DC7" w14:paraId="222DF40A" w14:textId="77777777" w:rsidTr="001A55AB">
        <w:trPr>
          <w:trHeight w:val="567"/>
        </w:trPr>
        <w:tc>
          <w:tcPr>
            <w:tcW w:w="1843" w:type="dxa"/>
            <w:tcBorders>
              <w:left w:val="nil"/>
              <w:right w:val="nil"/>
            </w:tcBorders>
            <w:shd w:val="clear" w:color="auto" w:fill="auto"/>
            <w:hideMark/>
          </w:tcPr>
          <w:p w14:paraId="684CD6DA"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Langs (1980)</w:t>
            </w:r>
          </w:p>
        </w:tc>
        <w:tc>
          <w:tcPr>
            <w:tcW w:w="1701" w:type="dxa"/>
            <w:tcBorders>
              <w:left w:val="nil"/>
              <w:right w:val="nil"/>
            </w:tcBorders>
            <w:shd w:val="clear" w:color="auto" w:fill="auto"/>
            <w:noWrap/>
            <w:hideMark/>
          </w:tcPr>
          <w:p w14:paraId="66DB462E"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05203C8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40BE3359"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5BC4BB4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551FD8C"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55789A6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0EC86A9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39AED2EA"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02DE3899" w14:textId="77777777" w:rsidR="003F0CDB" w:rsidRPr="00EA0DC7" w:rsidRDefault="003F0CDB" w:rsidP="00A96E13">
            <w:pPr>
              <w:spacing w:line="276" w:lineRule="auto"/>
              <w:jc w:val="center"/>
              <w:rPr>
                <w:rFonts w:eastAsia="Times New Roman" w:cs="Arial"/>
                <w:sz w:val="20"/>
                <w:szCs w:val="20"/>
              </w:rPr>
            </w:pPr>
          </w:p>
        </w:tc>
      </w:tr>
      <w:tr w:rsidR="003F0CDB" w:rsidRPr="00EA0DC7" w14:paraId="529BF441" w14:textId="77777777" w:rsidTr="001A55AB">
        <w:trPr>
          <w:trHeight w:val="567"/>
        </w:trPr>
        <w:tc>
          <w:tcPr>
            <w:tcW w:w="1843" w:type="dxa"/>
            <w:tcBorders>
              <w:left w:val="nil"/>
              <w:right w:val="nil"/>
            </w:tcBorders>
            <w:shd w:val="clear" w:color="auto" w:fill="auto"/>
            <w:hideMark/>
          </w:tcPr>
          <w:p w14:paraId="7EA9ABBD"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Rice (1980)</w:t>
            </w:r>
          </w:p>
        </w:tc>
        <w:tc>
          <w:tcPr>
            <w:tcW w:w="1701" w:type="dxa"/>
            <w:tcBorders>
              <w:left w:val="nil"/>
              <w:right w:val="nil"/>
            </w:tcBorders>
            <w:shd w:val="clear" w:color="auto" w:fill="auto"/>
            <w:noWrap/>
            <w:hideMark/>
          </w:tcPr>
          <w:p w14:paraId="4E2E760F"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6773F5C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66A92624"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0229122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7CAA9BFD"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382F24B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03A11964"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5657C3AE"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7FFAC67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2CEA6708" w14:textId="77777777" w:rsidTr="00BB2600">
        <w:trPr>
          <w:trHeight w:val="567"/>
        </w:trPr>
        <w:tc>
          <w:tcPr>
            <w:tcW w:w="1843" w:type="dxa"/>
            <w:tcBorders>
              <w:top w:val="nil"/>
              <w:left w:val="nil"/>
              <w:right w:val="nil"/>
            </w:tcBorders>
            <w:shd w:val="clear" w:color="auto" w:fill="auto"/>
            <w:hideMark/>
          </w:tcPr>
          <w:p w14:paraId="43F650BB"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Linehan (1980)</w:t>
            </w:r>
          </w:p>
        </w:tc>
        <w:tc>
          <w:tcPr>
            <w:tcW w:w="1701" w:type="dxa"/>
            <w:tcBorders>
              <w:top w:val="nil"/>
              <w:left w:val="nil"/>
              <w:right w:val="nil"/>
            </w:tcBorders>
            <w:shd w:val="clear" w:color="auto" w:fill="auto"/>
            <w:noWrap/>
            <w:hideMark/>
          </w:tcPr>
          <w:p w14:paraId="5B83FE1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1B757E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21B3FE74"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1135713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4A4468D3"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3D76427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7CDFB01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2C72F6F6"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51791368" w14:textId="77777777" w:rsidR="003F0CDB" w:rsidRPr="00EA0DC7" w:rsidRDefault="003F0CDB" w:rsidP="00A96E13">
            <w:pPr>
              <w:spacing w:line="276" w:lineRule="auto"/>
              <w:jc w:val="center"/>
              <w:rPr>
                <w:rFonts w:eastAsia="Times New Roman" w:cs="Arial"/>
                <w:sz w:val="20"/>
                <w:szCs w:val="20"/>
              </w:rPr>
            </w:pPr>
          </w:p>
        </w:tc>
      </w:tr>
      <w:tr w:rsidR="003F0CDB" w:rsidRPr="00EA0DC7" w14:paraId="3BEC5653" w14:textId="77777777" w:rsidTr="00BB2600">
        <w:trPr>
          <w:trHeight w:val="567"/>
        </w:trPr>
        <w:tc>
          <w:tcPr>
            <w:tcW w:w="1843" w:type="dxa"/>
            <w:tcBorders>
              <w:left w:val="nil"/>
              <w:right w:val="nil"/>
            </w:tcBorders>
            <w:shd w:val="clear" w:color="auto" w:fill="auto"/>
            <w:hideMark/>
          </w:tcPr>
          <w:p w14:paraId="377F671D"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Beier &amp; Young (1980)</w:t>
            </w:r>
          </w:p>
        </w:tc>
        <w:tc>
          <w:tcPr>
            <w:tcW w:w="1701" w:type="dxa"/>
            <w:tcBorders>
              <w:left w:val="nil"/>
              <w:right w:val="nil"/>
            </w:tcBorders>
            <w:shd w:val="clear" w:color="auto" w:fill="auto"/>
            <w:noWrap/>
            <w:hideMark/>
          </w:tcPr>
          <w:p w14:paraId="2DA388C5"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75C2C11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4B773D51"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387826D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7477CF56"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335A1B64"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2D99CA1"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115A830A"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5861D319" w14:textId="77777777" w:rsidR="003F0CDB" w:rsidRPr="00EA0DC7" w:rsidRDefault="003F0CDB" w:rsidP="00A96E13">
            <w:pPr>
              <w:spacing w:line="276" w:lineRule="auto"/>
              <w:jc w:val="center"/>
              <w:rPr>
                <w:rFonts w:eastAsia="Times New Roman" w:cs="Arial"/>
                <w:sz w:val="20"/>
                <w:szCs w:val="20"/>
              </w:rPr>
            </w:pPr>
          </w:p>
        </w:tc>
      </w:tr>
      <w:tr w:rsidR="003F0CDB" w:rsidRPr="00EA0DC7" w14:paraId="45DF4F7C" w14:textId="77777777" w:rsidTr="00BB2600">
        <w:trPr>
          <w:trHeight w:val="567"/>
        </w:trPr>
        <w:tc>
          <w:tcPr>
            <w:tcW w:w="1843" w:type="dxa"/>
            <w:tcBorders>
              <w:left w:val="nil"/>
              <w:right w:val="nil"/>
            </w:tcBorders>
            <w:shd w:val="clear" w:color="auto" w:fill="auto"/>
          </w:tcPr>
          <w:p w14:paraId="74B88BBC" w14:textId="77777777" w:rsidR="003F0CDB" w:rsidRPr="00EA0DC7" w:rsidRDefault="003F0CDB" w:rsidP="00B93C96">
            <w:pPr>
              <w:spacing w:after="120" w:line="276" w:lineRule="auto"/>
              <w:jc w:val="left"/>
              <w:rPr>
                <w:rFonts w:eastAsia="Times New Roman" w:cs="Arial"/>
                <w:bCs/>
                <w:sz w:val="20"/>
                <w:szCs w:val="20"/>
              </w:rPr>
            </w:pPr>
            <w:r w:rsidRPr="00EA0DC7">
              <w:rPr>
                <w:rFonts w:eastAsia="Times New Roman" w:cs="Arial"/>
                <w:sz w:val="20"/>
                <w:szCs w:val="20"/>
              </w:rPr>
              <w:t>Stoltenberg (1981)</w:t>
            </w:r>
          </w:p>
        </w:tc>
        <w:tc>
          <w:tcPr>
            <w:tcW w:w="1701" w:type="dxa"/>
            <w:tcBorders>
              <w:left w:val="nil"/>
              <w:right w:val="nil"/>
            </w:tcBorders>
            <w:shd w:val="clear" w:color="auto" w:fill="auto"/>
            <w:noWrap/>
          </w:tcPr>
          <w:p w14:paraId="66D5A67A"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left w:val="nil"/>
              <w:right w:val="nil"/>
            </w:tcBorders>
            <w:shd w:val="clear" w:color="auto" w:fill="auto"/>
            <w:noWrap/>
          </w:tcPr>
          <w:p w14:paraId="2D6087D7"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left w:val="nil"/>
              <w:right w:val="nil"/>
            </w:tcBorders>
            <w:shd w:val="clear" w:color="auto" w:fill="auto"/>
            <w:noWrap/>
          </w:tcPr>
          <w:p w14:paraId="6B47FDB2" w14:textId="77777777" w:rsidR="003F0CDB" w:rsidRPr="00EA0DC7" w:rsidRDefault="003F0CDB" w:rsidP="00A96E13">
            <w:pPr>
              <w:spacing w:after="120" w:line="276" w:lineRule="auto"/>
              <w:jc w:val="center"/>
              <w:rPr>
                <w:rFonts w:eastAsia="Times New Roman" w:cs="Arial"/>
                <w:bCs/>
                <w:sz w:val="20"/>
                <w:szCs w:val="20"/>
              </w:rPr>
            </w:pPr>
          </w:p>
        </w:tc>
        <w:tc>
          <w:tcPr>
            <w:tcW w:w="1275" w:type="dxa"/>
            <w:tcBorders>
              <w:left w:val="nil"/>
              <w:right w:val="nil"/>
            </w:tcBorders>
          </w:tcPr>
          <w:p w14:paraId="43DC9784"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left w:val="nil"/>
              <w:right w:val="nil"/>
            </w:tcBorders>
          </w:tcPr>
          <w:p w14:paraId="00AD748E" w14:textId="77777777" w:rsidR="003F0CDB" w:rsidRPr="00EA0DC7" w:rsidRDefault="003F0CDB" w:rsidP="00A96E13">
            <w:pPr>
              <w:spacing w:after="120" w:line="276" w:lineRule="auto"/>
              <w:jc w:val="center"/>
              <w:rPr>
                <w:rFonts w:eastAsia="Times New Roman" w:cs="Arial"/>
                <w:bCs/>
                <w:sz w:val="20"/>
                <w:szCs w:val="20"/>
              </w:rPr>
            </w:pPr>
            <w:r w:rsidRPr="00EA0DC7">
              <w:rPr>
                <w:rFonts w:eastAsia="Times New Roman" w:cs="Arial"/>
                <w:sz w:val="20"/>
                <w:szCs w:val="20"/>
              </w:rPr>
              <w:sym w:font="Wingdings" w:char="F0FC"/>
            </w:r>
          </w:p>
        </w:tc>
        <w:tc>
          <w:tcPr>
            <w:tcW w:w="1559" w:type="dxa"/>
            <w:tcBorders>
              <w:left w:val="nil"/>
              <w:right w:val="nil"/>
            </w:tcBorders>
          </w:tcPr>
          <w:p w14:paraId="195D17A5"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left w:val="nil"/>
              <w:right w:val="nil"/>
            </w:tcBorders>
          </w:tcPr>
          <w:p w14:paraId="2360E74A"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left w:val="nil"/>
              <w:right w:val="nil"/>
            </w:tcBorders>
          </w:tcPr>
          <w:p w14:paraId="5795D8C3" w14:textId="77777777" w:rsidR="003F0CDB" w:rsidRPr="00EA0DC7" w:rsidRDefault="003F0CDB" w:rsidP="00A96E13">
            <w:pPr>
              <w:spacing w:after="120" w:line="276" w:lineRule="auto"/>
              <w:jc w:val="center"/>
              <w:rPr>
                <w:rFonts w:eastAsia="Times New Roman" w:cs="Arial"/>
                <w:bCs/>
                <w:sz w:val="20"/>
                <w:szCs w:val="20"/>
              </w:rPr>
            </w:pPr>
          </w:p>
        </w:tc>
        <w:tc>
          <w:tcPr>
            <w:tcW w:w="1417" w:type="dxa"/>
            <w:tcBorders>
              <w:left w:val="nil"/>
              <w:right w:val="nil"/>
            </w:tcBorders>
          </w:tcPr>
          <w:p w14:paraId="2AA98EFD" w14:textId="77777777" w:rsidR="003F0CDB" w:rsidRPr="00EA0DC7" w:rsidRDefault="003F0CDB" w:rsidP="00A96E13">
            <w:pPr>
              <w:spacing w:after="120" w:line="276" w:lineRule="auto"/>
              <w:jc w:val="center"/>
              <w:rPr>
                <w:rFonts w:eastAsia="Times New Roman" w:cs="Arial"/>
                <w:bCs/>
                <w:sz w:val="20"/>
                <w:szCs w:val="20"/>
              </w:rPr>
            </w:pPr>
          </w:p>
        </w:tc>
      </w:tr>
      <w:tr w:rsidR="003F0CDB" w:rsidRPr="00EA0DC7" w14:paraId="484A1B6B" w14:textId="77777777" w:rsidTr="00BB2600">
        <w:trPr>
          <w:trHeight w:val="567"/>
        </w:trPr>
        <w:tc>
          <w:tcPr>
            <w:tcW w:w="1843" w:type="dxa"/>
            <w:tcBorders>
              <w:left w:val="nil"/>
              <w:right w:val="nil"/>
            </w:tcBorders>
            <w:shd w:val="clear" w:color="auto" w:fill="auto"/>
            <w:hideMark/>
          </w:tcPr>
          <w:p w14:paraId="22F91E24"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Loganbill et al. (1982)</w:t>
            </w:r>
          </w:p>
        </w:tc>
        <w:tc>
          <w:tcPr>
            <w:tcW w:w="1701" w:type="dxa"/>
            <w:tcBorders>
              <w:left w:val="nil"/>
              <w:right w:val="nil"/>
            </w:tcBorders>
            <w:shd w:val="clear" w:color="auto" w:fill="auto"/>
            <w:noWrap/>
            <w:hideMark/>
          </w:tcPr>
          <w:p w14:paraId="4A06199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67111092"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14B592E6"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14D13D9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3A33F6D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76913FB0"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3D453BDF"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416BA72"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16FB787D" w14:textId="77777777" w:rsidR="003F0CDB" w:rsidRPr="00EA0DC7" w:rsidRDefault="003F0CDB" w:rsidP="00A96E13">
            <w:pPr>
              <w:spacing w:line="276" w:lineRule="auto"/>
              <w:jc w:val="center"/>
              <w:rPr>
                <w:rFonts w:eastAsia="Times New Roman" w:cs="Arial"/>
                <w:sz w:val="20"/>
                <w:szCs w:val="20"/>
              </w:rPr>
            </w:pPr>
          </w:p>
        </w:tc>
      </w:tr>
      <w:tr w:rsidR="003F0CDB" w:rsidRPr="00EA0DC7" w14:paraId="6C52C43E" w14:textId="77777777" w:rsidTr="001A55AB">
        <w:trPr>
          <w:trHeight w:val="567"/>
        </w:trPr>
        <w:tc>
          <w:tcPr>
            <w:tcW w:w="1843" w:type="dxa"/>
            <w:tcBorders>
              <w:top w:val="nil"/>
              <w:left w:val="nil"/>
              <w:right w:val="nil"/>
            </w:tcBorders>
            <w:shd w:val="clear" w:color="auto" w:fill="auto"/>
            <w:hideMark/>
          </w:tcPr>
          <w:p w14:paraId="5E0AA0B3"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Yogev (1982)</w:t>
            </w:r>
          </w:p>
        </w:tc>
        <w:tc>
          <w:tcPr>
            <w:tcW w:w="1701" w:type="dxa"/>
            <w:tcBorders>
              <w:top w:val="nil"/>
              <w:left w:val="nil"/>
              <w:right w:val="nil"/>
            </w:tcBorders>
            <w:shd w:val="clear" w:color="auto" w:fill="auto"/>
            <w:noWrap/>
            <w:hideMark/>
          </w:tcPr>
          <w:p w14:paraId="58C3E22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6DC78D9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1B8FC621"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75B0A598"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4CDAE9C"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31B049D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30DE5FE"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73D2B25"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60AD1D88" w14:textId="77777777" w:rsidR="003F0CDB" w:rsidRPr="00EA0DC7" w:rsidRDefault="003F0CDB" w:rsidP="00A96E13">
            <w:pPr>
              <w:spacing w:line="276" w:lineRule="auto"/>
              <w:jc w:val="center"/>
              <w:rPr>
                <w:rFonts w:eastAsia="Times New Roman" w:cs="Arial"/>
                <w:sz w:val="20"/>
                <w:szCs w:val="20"/>
              </w:rPr>
            </w:pPr>
          </w:p>
        </w:tc>
      </w:tr>
      <w:tr w:rsidR="003F0CDB" w:rsidRPr="00EA0DC7" w14:paraId="7543867B" w14:textId="77777777" w:rsidTr="001A55AB">
        <w:trPr>
          <w:trHeight w:val="567"/>
        </w:trPr>
        <w:tc>
          <w:tcPr>
            <w:tcW w:w="1843" w:type="dxa"/>
            <w:tcBorders>
              <w:bottom w:val="single" w:sz="4" w:space="0" w:color="auto"/>
            </w:tcBorders>
            <w:shd w:val="clear" w:color="auto" w:fill="auto"/>
            <w:hideMark/>
          </w:tcPr>
          <w:p w14:paraId="3E3F768F"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Blocher (1983)</w:t>
            </w:r>
          </w:p>
        </w:tc>
        <w:tc>
          <w:tcPr>
            <w:tcW w:w="1701" w:type="dxa"/>
            <w:tcBorders>
              <w:bottom w:val="single" w:sz="4" w:space="0" w:color="auto"/>
            </w:tcBorders>
            <w:shd w:val="clear" w:color="auto" w:fill="auto"/>
            <w:noWrap/>
            <w:hideMark/>
          </w:tcPr>
          <w:p w14:paraId="23B4257E"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shd w:val="clear" w:color="auto" w:fill="auto"/>
            <w:noWrap/>
            <w:hideMark/>
          </w:tcPr>
          <w:p w14:paraId="510F0892"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shd w:val="clear" w:color="auto" w:fill="auto"/>
            <w:noWrap/>
            <w:hideMark/>
          </w:tcPr>
          <w:p w14:paraId="48C8B2EA"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single" w:sz="4" w:space="0" w:color="auto"/>
              <w:right w:val="nil"/>
            </w:tcBorders>
          </w:tcPr>
          <w:p w14:paraId="568487B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35581123"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bottom w:val="single" w:sz="4" w:space="0" w:color="auto"/>
              <w:right w:val="nil"/>
            </w:tcBorders>
          </w:tcPr>
          <w:p w14:paraId="0E963D64"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34BDD85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7221E948"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single" w:sz="4" w:space="0" w:color="auto"/>
              <w:right w:val="nil"/>
            </w:tcBorders>
          </w:tcPr>
          <w:p w14:paraId="19FF6146" w14:textId="77777777" w:rsidR="003F0CDB" w:rsidRPr="00EA0DC7" w:rsidRDefault="003F0CDB" w:rsidP="00A96E13">
            <w:pPr>
              <w:spacing w:line="276" w:lineRule="auto"/>
              <w:jc w:val="center"/>
              <w:rPr>
                <w:rFonts w:eastAsia="Times New Roman" w:cs="Arial"/>
                <w:sz w:val="20"/>
                <w:szCs w:val="20"/>
              </w:rPr>
            </w:pPr>
          </w:p>
        </w:tc>
      </w:tr>
    </w:tbl>
    <w:p w14:paraId="28003E49" w14:textId="77777777" w:rsidR="001A55AB" w:rsidRPr="00EA0DC7" w:rsidRDefault="001A55AB" w:rsidP="0070237A">
      <w:pPr>
        <w:spacing w:before="240" w:after="120" w:line="276" w:lineRule="auto"/>
        <w:jc w:val="center"/>
        <w:rPr>
          <w:rFonts w:eastAsia="Times New Roman" w:cs="Arial"/>
          <w:b/>
          <w:bCs/>
          <w:sz w:val="20"/>
          <w:szCs w:val="20"/>
        </w:rPr>
        <w:sectPr w:rsidR="001A55AB" w:rsidRPr="00EA0DC7" w:rsidSect="001A55AB">
          <w:pgSz w:w="16838" w:h="11906" w:orient="landscape" w:code="9"/>
          <w:pgMar w:top="2268" w:right="1440" w:bottom="1440" w:left="1440" w:header="709" w:footer="709" w:gutter="0"/>
          <w:cols w:space="708"/>
          <w:docGrid w:linePitch="360"/>
        </w:sectPr>
      </w:pP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1A55AB" w:rsidRPr="00EA0DC7" w14:paraId="46FF4083" w14:textId="77777777" w:rsidTr="001A55AB">
        <w:trPr>
          <w:trHeight w:val="567"/>
        </w:trPr>
        <w:tc>
          <w:tcPr>
            <w:tcW w:w="1843" w:type="dxa"/>
            <w:tcBorders>
              <w:top w:val="single" w:sz="4" w:space="0" w:color="auto"/>
              <w:left w:val="nil"/>
              <w:bottom w:val="single" w:sz="4" w:space="0" w:color="auto"/>
              <w:right w:val="nil"/>
            </w:tcBorders>
            <w:shd w:val="clear" w:color="auto" w:fill="auto"/>
            <w:vAlign w:val="center"/>
          </w:tcPr>
          <w:p w14:paraId="2DA9B7A9" w14:textId="1B3DAC1B"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62F7AB27"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noWrap/>
            <w:vAlign w:val="center"/>
          </w:tcPr>
          <w:p w14:paraId="526DF26D"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noWrap/>
            <w:vAlign w:val="center"/>
          </w:tcPr>
          <w:p w14:paraId="5EFA11B8"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3A869CAE"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59359B12"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788AF5E6"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06087C22"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0E8ED655"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18C13447"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3F0CDB" w:rsidRPr="00EA0DC7" w14:paraId="754FB1C7" w14:textId="77777777" w:rsidTr="00BB2600">
        <w:trPr>
          <w:trHeight w:val="567"/>
        </w:trPr>
        <w:tc>
          <w:tcPr>
            <w:tcW w:w="1843" w:type="dxa"/>
            <w:shd w:val="clear" w:color="auto" w:fill="auto"/>
            <w:hideMark/>
          </w:tcPr>
          <w:p w14:paraId="3A8B0489" w14:textId="77777777" w:rsidR="003F0CDB" w:rsidRPr="00EA0DC7" w:rsidRDefault="003F0CDB" w:rsidP="001A55AB">
            <w:pPr>
              <w:spacing w:before="240" w:line="276" w:lineRule="auto"/>
              <w:jc w:val="left"/>
              <w:rPr>
                <w:rFonts w:eastAsia="Times New Roman" w:cs="Arial"/>
                <w:sz w:val="20"/>
                <w:szCs w:val="20"/>
              </w:rPr>
            </w:pPr>
            <w:r w:rsidRPr="00EA0DC7">
              <w:rPr>
                <w:rFonts w:eastAsia="Times New Roman" w:cs="Arial"/>
                <w:sz w:val="20"/>
                <w:szCs w:val="20"/>
              </w:rPr>
              <w:t>Bordin (1983)</w:t>
            </w:r>
          </w:p>
        </w:tc>
        <w:tc>
          <w:tcPr>
            <w:tcW w:w="1701" w:type="dxa"/>
            <w:shd w:val="clear" w:color="auto" w:fill="auto"/>
            <w:noWrap/>
            <w:hideMark/>
          </w:tcPr>
          <w:p w14:paraId="0239CC52"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E602360"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493A25EB" w14:textId="77777777" w:rsidR="003F0CDB" w:rsidRPr="00EA0DC7" w:rsidRDefault="003F0CDB" w:rsidP="001A55AB">
            <w:pPr>
              <w:spacing w:before="240" w:line="276" w:lineRule="auto"/>
              <w:jc w:val="center"/>
              <w:rPr>
                <w:rFonts w:eastAsia="Times New Roman" w:cs="Arial"/>
                <w:sz w:val="20"/>
                <w:szCs w:val="20"/>
              </w:rPr>
            </w:pPr>
          </w:p>
        </w:tc>
        <w:tc>
          <w:tcPr>
            <w:tcW w:w="1275" w:type="dxa"/>
            <w:tcBorders>
              <w:top w:val="nil"/>
              <w:left w:val="nil"/>
              <w:right w:val="nil"/>
            </w:tcBorders>
          </w:tcPr>
          <w:p w14:paraId="56CD8582"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25879D9A" w14:textId="77777777" w:rsidR="003F0CDB" w:rsidRPr="00EA0DC7" w:rsidRDefault="003F0CDB" w:rsidP="001A55AB">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right w:val="nil"/>
            </w:tcBorders>
          </w:tcPr>
          <w:p w14:paraId="5EB5DA76"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018ABF95" w14:textId="77777777" w:rsidR="003F0CDB" w:rsidRPr="00EA0DC7" w:rsidRDefault="003F0CDB" w:rsidP="001A55AB">
            <w:pPr>
              <w:spacing w:before="240" w:line="276" w:lineRule="auto"/>
              <w:jc w:val="center"/>
              <w:rPr>
                <w:rFonts w:eastAsia="Times New Roman" w:cs="Arial"/>
                <w:sz w:val="20"/>
                <w:szCs w:val="20"/>
              </w:rPr>
            </w:pPr>
          </w:p>
        </w:tc>
        <w:tc>
          <w:tcPr>
            <w:tcW w:w="1276" w:type="dxa"/>
            <w:tcBorders>
              <w:top w:val="nil"/>
              <w:left w:val="nil"/>
              <w:right w:val="nil"/>
            </w:tcBorders>
          </w:tcPr>
          <w:p w14:paraId="42E45B05" w14:textId="77777777" w:rsidR="003F0CDB" w:rsidRPr="00EA0DC7" w:rsidRDefault="003F0CDB" w:rsidP="001A55AB">
            <w:pPr>
              <w:spacing w:before="240" w:line="276" w:lineRule="auto"/>
              <w:jc w:val="center"/>
              <w:rPr>
                <w:rFonts w:eastAsia="Times New Roman" w:cs="Arial"/>
                <w:sz w:val="20"/>
                <w:szCs w:val="20"/>
              </w:rPr>
            </w:pPr>
          </w:p>
        </w:tc>
        <w:tc>
          <w:tcPr>
            <w:tcW w:w="1417" w:type="dxa"/>
            <w:tcBorders>
              <w:top w:val="nil"/>
              <w:left w:val="nil"/>
              <w:right w:val="nil"/>
            </w:tcBorders>
          </w:tcPr>
          <w:p w14:paraId="4D84A8E2" w14:textId="77777777" w:rsidR="003F0CDB" w:rsidRPr="00EA0DC7" w:rsidRDefault="003F0CDB" w:rsidP="001A55AB">
            <w:pPr>
              <w:spacing w:before="240" w:line="276" w:lineRule="auto"/>
              <w:jc w:val="center"/>
              <w:rPr>
                <w:rFonts w:eastAsia="Times New Roman" w:cs="Arial"/>
                <w:sz w:val="20"/>
                <w:szCs w:val="20"/>
              </w:rPr>
            </w:pPr>
          </w:p>
        </w:tc>
      </w:tr>
      <w:tr w:rsidR="003F0CDB" w:rsidRPr="00EA0DC7" w14:paraId="6E2FA7D9" w14:textId="77777777" w:rsidTr="00BB2600">
        <w:trPr>
          <w:trHeight w:val="567"/>
        </w:trPr>
        <w:tc>
          <w:tcPr>
            <w:tcW w:w="1843" w:type="dxa"/>
            <w:tcBorders>
              <w:left w:val="nil"/>
              <w:right w:val="nil"/>
            </w:tcBorders>
            <w:shd w:val="clear" w:color="auto" w:fill="auto"/>
          </w:tcPr>
          <w:p w14:paraId="0D640AAB"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Hosford &amp; Barmann (1983)</w:t>
            </w:r>
          </w:p>
        </w:tc>
        <w:tc>
          <w:tcPr>
            <w:tcW w:w="1701" w:type="dxa"/>
            <w:tcBorders>
              <w:left w:val="nil"/>
              <w:right w:val="nil"/>
            </w:tcBorders>
            <w:shd w:val="clear" w:color="auto" w:fill="auto"/>
          </w:tcPr>
          <w:p w14:paraId="51FA00D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7EFEECDA"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14D1629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tcPr>
          <w:p w14:paraId="3FC08E1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91770D4"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73504D8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6ABA3B8E"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58BB3CC"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5B7D3A3A" w14:textId="77777777" w:rsidR="003F0CDB" w:rsidRPr="00EA0DC7" w:rsidRDefault="003F0CDB" w:rsidP="00A96E13">
            <w:pPr>
              <w:spacing w:line="276" w:lineRule="auto"/>
              <w:jc w:val="center"/>
              <w:rPr>
                <w:rFonts w:eastAsia="Times New Roman" w:cs="Arial"/>
                <w:sz w:val="20"/>
                <w:szCs w:val="20"/>
              </w:rPr>
            </w:pPr>
          </w:p>
        </w:tc>
      </w:tr>
      <w:tr w:rsidR="003F0CDB" w:rsidRPr="00EA0DC7" w14:paraId="4A7E85E9" w14:textId="77777777" w:rsidTr="00BB2600">
        <w:trPr>
          <w:trHeight w:val="567"/>
        </w:trPr>
        <w:tc>
          <w:tcPr>
            <w:tcW w:w="1843" w:type="dxa"/>
            <w:tcBorders>
              <w:left w:val="nil"/>
              <w:bottom w:val="nil"/>
              <w:right w:val="nil"/>
            </w:tcBorders>
            <w:shd w:val="clear" w:color="auto" w:fill="auto"/>
            <w:hideMark/>
          </w:tcPr>
          <w:p w14:paraId="35471570"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Patterson (1983)</w:t>
            </w:r>
          </w:p>
        </w:tc>
        <w:tc>
          <w:tcPr>
            <w:tcW w:w="1701" w:type="dxa"/>
            <w:tcBorders>
              <w:left w:val="nil"/>
              <w:bottom w:val="nil"/>
              <w:right w:val="nil"/>
            </w:tcBorders>
            <w:shd w:val="clear" w:color="auto" w:fill="auto"/>
            <w:noWrap/>
            <w:hideMark/>
          </w:tcPr>
          <w:p w14:paraId="030E28D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514211C1"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6EAFFBCB"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nil"/>
              <w:right w:val="nil"/>
            </w:tcBorders>
          </w:tcPr>
          <w:p w14:paraId="705B940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044BB9ED"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bottom w:val="nil"/>
              <w:right w:val="nil"/>
            </w:tcBorders>
          </w:tcPr>
          <w:p w14:paraId="68286EA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722A917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661AE83A"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nil"/>
              <w:right w:val="nil"/>
            </w:tcBorders>
          </w:tcPr>
          <w:p w14:paraId="314BF83A" w14:textId="77777777" w:rsidR="003F0CDB" w:rsidRPr="00EA0DC7" w:rsidRDefault="003F0CDB" w:rsidP="00A96E13">
            <w:pPr>
              <w:spacing w:line="276" w:lineRule="auto"/>
              <w:jc w:val="center"/>
              <w:rPr>
                <w:rFonts w:eastAsia="Times New Roman" w:cs="Arial"/>
                <w:sz w:val="20"/>
                <w:szCs w:val="20"/>
              </w:rPr>
            </w:pPr>
          </w:p>
        </w:tc>
      </w:tr>
      <w:tr w:rsidR="003F0CDB" w:rsidRPr="00EA0DC7" w14:paraId="1FA3B827" w14:textId="77777777" w:rsidTr="00BB2600">
        <w:trPr>
          <w:trHeight w:val="567"/>
        </w:trPr>
        <w:tc>
          <w:tcPr>
            <w:tcW w:w="1843" w:type="dxa"/>
            <w:tcBorders>
              <w:top w:val="nil"/>
              <w:left w:val="nil"/>
              <w:bottom w:val="nil"/>
              <w:right w:val="nil"/>
            </w:tcBorders>
            <w:shd w:val="clear" w:color="auto" w:fill="auto"/>
            <w:hideMark/>
          </w:tcPr>
          <w:p w14:paraId="72E4285D"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Wessler &amp; Ellis (1983)</w:t>
            </w:r>
          </w:p>
        </w:tc>
        <w:tc>
          <w:tcPr>
            <w:tcW w:w="1701" w:type="dxa"/>
            <w:tcBorders>
              <w:top w:val="nil"/>
              <w:left w:val="nil"/>
              <w:bottom w:val="nil"/>
              <w:right w:val="nil"/>
            </w:tcBorders>
            <w:shd w:val="clear" w:color="auto" w:fill="auto"/>
            <w:noWrap/>
            <w:hideMark/>
          </w:tcPr>
          <w:p w14:paraId="35ED672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6F9A33D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09C339DD"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nil"/>
              <w:right w:val="nil"/>
            </w:tcBorders>
          </w:tcPr>
          <w:p w14:paraId="218F91D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1BDB2560"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nil"/>
              <w:right w:val="nil"/>
            </w:tcBorders>
          </w:tcPr>
          <w:p w14:paraId="41358AC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3E1A936B"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1C964B83"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4CDB99AF" w14:textId="77777777" w:rsidR="003F0CDB" w:rsidRPr="00EA0DC7" w:rsidRDefault="003F0CDB" w:rsidP="00A96E13">
            <w:pPr>
              <w:spacing w:line="276" w:lineRule="auto"/>
              <w:jc w:val="center"/>
              <w:rPr>
                <w:rFonts w:eastAsia="Times New Roman" w:cs="Arial"/>
                <w:sz w:val="20"/>
                <w:szCs w:val="20"/>
              </w:rPr>
            </w:pPr>
          </w:p>
        </w:tc>
      </w:tr>
      <w:tr w:rsidR="003F0CDB" w:rsidRPr="00EA0DC7" w14:paraId="00909D4D" w14:textId="77777777" w:rsidTr="00BB2600">
        <w:trPr>
          <w:trHeight w:val="567"/>
        </w:trPr>
        <w:tc>
          <w:tcPr>
            <w:tcW w:w="1843" w:type="dxa"/>
            <w:tcBorders>
              <w:top w:val="nil"/>
              <w:left w:val="nil"/>
              <w:bottom w:val="nil"/>
              <w:right w:val="nil"/>
            </w:tcBorders>
            <w:shd w:val="clear" w:color="auto" w:fill="auto"/>
            <w:hideMark/>
          </w:tcPr>
          <w:p w14:paraId="66DC6105"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Connell (1984)</w:t>
            </w:r>
          </w:p>
        </w:tc>
        <w:tc>
          <w:tcPr>
            <w:tcW w:w="1701" w:type="dxa"/>
            <w:tcBorders>
              <w:top w:val="nil"/>
              <w:left w:val="nil"/>
              <w:bottom w:val="nil"/>
              <w:right w:val="nil"/>
            </w:tcBorders>
            <w:shd w:val="clear" w:color="auto" w:fill="auto"/>
            <w:noWrap/>
            <w:hideMark/>
          </w:tcPr>
          <w:p w14:paraId="2F82E72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4BEA2040"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6FE41EB9"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nil"/>
              <w:right w:val="nil"/>
            </w:tcBorders>
          </w:tcPr>
          <w:p w14:paraId="1D7B997E"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29BC3B09"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nil"/>
              <w:right w:val="nil"/>
            </w:tcBorders>
          </w:tcPr>
          <w:p w14:paraId="35318DF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491FA0A2"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5D623C45"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1CAEFF9B" w14:textId="77777777" w:rsidR="003F0CDB" w:rsidRPr="00EA0DC7" w:rsidRDefault="003F0CDB" w:rsidP="00A96E13">
            <w:pPr>
              <w:spacing w:line="276" w:lineRule="auto"/>
              <w:jc w:val="center"/>
              <w:rPr>
                <w:rFonts w:eastAsia="Times New Roman" w:cs="Arial"/>
                <w:sz w:val="20"/>
                <w:szCs w:val="20"/>
              </w:rPr>
            </w:pPr>
          </w:p>
        </w:tc>
      </w:tr>
      <w:tr w:rsidR="003F0CDB" w:rsidRPr="00EA0DC7" w14:paraId="3CAFC444" w14:textId="77777777" w:rsidTr="001A55AB">
        <w:trPr>
          <w:trHeight w:val="567"/>
        </w:trPr>
        <w:tc>
          <w:tcPr>
            <w:tcW w:w="1843" w:type="dxa"/>
            <w:tcBorders>
              <w:top w:val="nil"/>
              <w:left w:val="nil"/>
              <w:right w:val="nil"/>
            </w:tcBorders>
            <w:shd w:val="clear" w:color="auto" w:fill="auto"/>
            <w:hideMark/>
          </w:tcPr>
          <w:p w14:paraId="46EF4B18"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Grater (1985)</w:t>
            </w:r>
          </w:p>
        </w:tc>
        <w:tc>
          <w:tcPr>
            <w:tcW w:w="1701" w:type="dxa"/>
            <w:tcBorders>
              <w:top w:val="nil"/>
              <w:left w:val="nil"/>
              <w:right w:val="nil"/>
            </w:tcBorders>
            <w:shd w:val="clear" w:color="auto" w:fill="auto"/>
            <w:noWrap/>
            <w:hideMark/>
          </w:tcPr>
          <w:p w14:paraId="6520B36E"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329074D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6ADFACA1"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21EE89B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726C4D7"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055A5A4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76452389"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tcPr>
          <w:p w14:paraId="55713A40"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73D49046" w14:textId="77777777" w:rsidR="003F0CDB" w:rsidRPr="00EA0DC7" w:rsidRDefault="003F0CDB" w:rsidP="00A96E13">
            <w:pPr>
              <w:spacing w:line="276" w:lineRule="auto"/>
              <w:jc w:val="center"/>
              <w:rPr>
                <w:rFonts w:eastAsia="Times New Roman" w:cs="Arial"/>
                <w:sz w:val="20"/>
                <w:szCs w:val="20"/>
              </w:rPr>
            </w:pPr>
          </w:p>
        </w:tc>
      </w:tr>
      <w:tr w:rsidR="003F0CDB" w:rsidRPr="00EA0DC7" w14:paraId="434AA430" w14:textId="77777777" w:rsidTr="001A55AB">
        <w:trPr>
          <w:trHeight w:val="567"/>
        </w:trPr>
        <w:tc>
          <w:tcPr>
            <w:tcW w:w="1843" w:type="dxa"/>
            <w:tcBorders>
              <w:left w:val="nil"/>
              <w:right w:val="nil"/>
            </w:tcBorders>
            <w:shd w:val="clear" w:color="auto" w:fill="auto"/>
            <w:hideMark/>
          </w:tcPr>
          <w:p w14:paraId="67478F67"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Friedmand &amp; Kaslow (1986)</w:t>
            </w:r>
          </w:p>
        </w:tc>
        <w:tc>
          <w:tcPr>
            <w:tcW w:w="1701" w:type="dxa"/>
            <w:tcBorders>
              <w:left w:val="nil"/>
              <w:right w:val="nil"/>
            </w:tcBorders>
            <w:shd w:val="clear" w:color="auto" w:fill="auto"/>
            <w:noWrap/>
            <w:hideMark/>
          </w:tcPr>
          <w:p w14:paraId="3F5545C6"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45629139"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716A1ECE"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0F2CC2A5"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4333E68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391F471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7FF7483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tcPr>
          <w:p w14:paraId="4C999642"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3B2631A0" w14:textId="77777777" w:rsidR="003F0CDB" w:rsidRPr="00EA0DC7" w:rsidRDefault="003F0CDB" w:rsidP="00A96E13">
            <w:pPr>
              <w:spacing w:line="276" w:lineRule="auto"/>
              <w:jc w:val="center"/>
              <w:rPr>
                <w:rFonts w:eastAsia="Times New Roman" w:cs="Arial"/>
                <w:sz w:val="20"/>
                <w:szCs w:val="20"/>
              </w:rPr>
            </w:pPr>
          </w:p>
        </w:tc>
      </w:tr>
      <w:tr w:rsidR="003F0CDB" w:rsidRPr="00EA0DC7" w14:paraId="012B32C9" w14:textId="77777777" w:rsidTr="00BB2600">
        <w:trPr>
          <w:trHeight w:val="567"/>
        </w:trPr>
        <w:tc>
          <w:tcPr>
            <w:tcW w:w="1843" w:type="dxa"/>
            <w:tcBorders>
              <w:top w:val="nil"/>
              <w:left w:val="nil"/>
              <w:right w:val="nil"/>
            </w:tcBorders>
            <w:shd w:val="clear" w:color="auto" w:fill="auto"/>
            <w:hideMark/>
          </w:tcPr>
          <w:p w14:paraId="21898FD8"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Hess (1986)</w:t>
            </w:r>
          </w:p>
        </w:tc>
        <w:tc>
          <w:tcPr>
            <w:tcW w:w="1701" w:type="dxa"/>
            <w:tcBorders>
              <w:top w:val="nil"/>
              <w:left w:val="nil"/>
              <w:right w:val="nil"/>
            </w:tcBorders>
            <w:shd w:val="clear" w:color="auto" w:fill="auto"/>
            <w:noWrap/>
            <w:hideMark/>
          </w:tcPr>
          <w:p w14:paraId="3560131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41C9D12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6694637"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3FB79AA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1B4B716"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0CE0863C"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tcPr>
          <w:p w14:paraId="1C8A6AF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53654ED"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1064AC1B" w14:textId="77777777" w:rsidR="003F0CDB" w:rsidRPr="00EA0DC7" w:rsidRDefault="003F0CDB" w:rsidP="00A96E13">
            <w:pPr>
              <w:spacing w:line="276" w:lineRule="auto"/>
              <w:jc w:val="center"/>
              <w:rPr>
                <w:rFonts w:eastAsia="Times New Roman" w:cs="Arial"/>
                <w:sz w:val="20"/>
                <w:szCs w:val="20"/>
              </w:rPr>
            </w:pPr>
          </w:p>
        </w:tc>
      </w:tr>
      <w:tr w:rsidR="003F0CDB" w:rsidRPr="00EA0DC7" w14:paraId="28CC5C77" w14:textId="77777777" w:rsidTr="00711051">
        <w:trPr>
          <w:trHeight w:val="567"/>
        </w:trPr>
        <w:tc>
          <w:tcPr>
            <w:tcW w:w="1843" w:type="dxa"/>
            <w:tcBorders>
              <w:left w:val="nil"/>
              <w:right w:val="nil"/>
            </w:tcBorders>
            <w:shd w:val="clear" w:color="auto" w:fill="auto"/>
            <w:hideMark/>
          </w:tcPr>
          <w:p w14:paraId="7147EFDE"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Stoltenberg &amp; Delworth (1987)</w:t>
            </w:r>
          </w:p>
        </w:tc>
        <w:tc>
          <w:tcPr>
            <w:tcW w:w="1701" w:type="dxa"/>
            <w:tcBorders>
              <w:left w:val="nil"/>
              <w:right w:val="nil"/>
            </w:tcBorders>
            <w:shd w:val="clear" w:color="auto" w:fill="auto"/>
            <w:noWrap/>
            <w:hideMark/>
          </w:tcPr>
          <w:p w14:paraId="6FCA0B99"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352BE897"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7086B402"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7AB491AE"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7C45C23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1B387127"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5F59AF6C"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tcPr>
          <w:p w14:paraId="0EAB9C4D"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6897F62F" w14:textId="77777777" w:rsidR="003F0CDB" w:rsidRPr="00EA0DC7" w:rsidRDefault="003F0CDB" w:rsidP="00A96E13">
            <w:pPr>
              <w:spacing w:line="276" w:lineRule="auto"/>
              <w:jc w:val="center"/>
              <w:rPr>
                <w:rFonts w:eastAsia="Times New Roman" w:cs="Arial"/>
                <w:sz w:val="20"/>
                <w:szCs w:val="20"/>
              </w:rPr>
            </w:pPr>
          </w:p>
        </w:tc>
      </w:tr>
      <w:tr w:rsidR="003F0CDB" w:rsidRPr="00EA0DC7" w14:paraId="4CE45CF8" w14:textId="77777777" w:rsidTr="00711051">
        <w:trPr>
          <w:trHeight w:val="567"/>
        </w:trPr>
        <w:tc>
          <w:tcPr>
            <w:tcW w:w="1843" w:type="dxa"/>
            <w:tcBorders>
              <w:left w:val="nil"/>
              <w:bottom w:val="single" w:sz="4" w:space="0" w:color="auto"/>
              <w:right w:val="nil"/>
            </w:tcBorders>
            <w:shd w:val="clear" w:color="auto" w:fill="auto"/>
            <w:hideMark/>
          </w:tcPr>
          <w:p w14:paraId="43041094"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Ault-Riche (1988)</w:t>
            </w:r>
          </w:p>
        </w:tc>
        <w:tc>
          <w:tcPr>
            <w:tcW w:w="1701" w:type="dxa"/>
            <w:tcBorders>
              <w:left w:val="nil"/>
              <w:bottom w:val="single" w:sz="4" w:space="0" w:color="auto"/>
              <w:right w:val="nil"/>
            </w:tcBorders>
            <w:shd w:val="clear" w:color="auto" w:fill="auto"/>
            <w:noWrap/>
            <w:hideMark/>
          </w:tcPr>
          <w:p w14:paraId="0DFCE55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shd w:val="clear" w:color="auto" w:fill="auto"/>
            <w:noWrap/>
            <w:hideMark/>
          </w:tcPr>
          <w:p w14:paraId="39F62F51"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shd w:val="clear" w:color="auto" w:fill="auto"/>
            <w:noWrap/>
            <w:hideMark/>
          </w:tcPr>
          <w:p w14:paraId="3481F691"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single" w:sz="4" w:space="0" w:color="auto"/>
              <w:right w:val="nil"/>
            </w:tcBorders>
          </w:tcPr>
          <w:p w14:paraId="78DCDEB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4C59A5C4"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bottom w:val="single" w:sz="4" w:space="0" w:color="auto"/>
              <w:right w:val="nil"/>
            </w:tcBorders>
          </w:tcPr>
          <w:p w14:paraId="2639378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7C14226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single" w:sz="4" w:space="0" w:color="auto"/>
              <w:right w:val="nil"/>
            </w:tcBorders>
          </w:tcPr>
          <w:p w14:paraId="2B7822D5"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single" w:sz="4" w:space="0" w:color="auto"/>
              <w:right w:val="nil"/>
            </w:tcBorders>
          </w:tcPr>
          <w:p w14:paraId="3ADD0A63" w14:textId="77777777" w:rsidR="003F0CDB" w:rsidRPr="00EA0DC7" w:rsidRDefault="003F0CDB" w:rsidP="00A96E13">
            <w:pPr>
              <w:spacing w:line="276" w:lineRule="auto"/>
              <w:jc w:val="center"/>
              <w:rPr>
                <w:rFonts w:eastAsia="Times New Roman" w:cs="Arial"/>
                <w:sz w:val="20"/>
                <w:szCs w:val="20"/>
              </w:rPr>
            </w:pPr>
          </w:p>
        </w:tc>
      </w:tr>
    </w:tbl>
    <w:p w14:paraId="374DE8AF" w14:textId="77777777" w:rsidR="001A55AB" w:rsidRPr="00EA0DC7" w:rsidRDefault="001A55AB" w:rsidP="0070237A">
      <w:pPr>
        <w:spacing w:before="240" w:after="120" w:line="276" w:lineRule="auto"/>
        <w:jc w:val="center"/>
        <w:rPr>
          <w:rFonts w:eastAsia="Times New Roman" w:cs="Arial"/>
          <w:b/>
          <w:bCs/>
          <w:sz w:val="20"/>
          <w:szCs w:val="20"/>
        </w:rPr>
        <w:sectPr w:rsidR="001A55AB" w:rsidRPr="00EA0DC7" w:rsidSect="001A55AB">
          <w:pgSz w:w="16838" w:h="11906" w:orient="landscape" w:code="9"/>
          <w:pgMar w:top="1440" w:right="1440" w:bottom="2268" w:left="1440" w:header="709" w:footer="709" w:gutter="0"/>
          <w:cols w:space="708"/>
          <w:docGrid w:linePitch="360"/>
        </w:sectPr>
      </w:pP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1A55AB" w:rsidRPr="00EA0DC7" w14:paraId="0BC5378E" w14:textId="77777777" w:rsidTr="0070237A">
        <w:trPr>
          <w:trHeight w:val="567"/>
        </w:trPr>
        <w:tc>
          <w:tcPr>
            <w:tcW w:w="1843" w:type="dxa"/>
            <w:tcBorders>
              <w:top w:val="single" w:sz="4" w:space="0" w:color="auto"/>
              <w:left w:val="nil"/>
              <w:bottom w:val="single" w:sz="4" w:space="0" w:color="auto"/>
              <w:right w:val="nil"/>
            </w:tcBorders>
            <w:shd w:val="clear" w:color="auto" w:fill="auto"/>
            <w:vAlign w:val="center"/>
          </w:tcPr>
          <w:p w14:paraId="12F7648A" w14:textId="1B16086C"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37D8B682"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noWrap/>
            <w:vAlign w:val="center"/>
          </w:tcPr>
          <w:p w14:paraId="0FDE71CC"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noWrap/>
            <w:vAlign w:val="center"/>
          </w:tcPr>
          <w:p w14:paraId="63C0470B"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62726A14"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5A5C6F7C"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272DC94E"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22908656"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1D7E5248"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1227611C" w14:textId="77777777" w:rsidR="001A55AB" w:rsidRPr="00EA0DC7" w:rsidRDefault="001A55AB"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3F0CDB" w:rsidRPr="00EA0DC7" w14:paraId="0484494E" w14:textId="77777777" w:rsidTr="00BB2600">
        <w:trPr>
          <w:trHeight w:val="567"/>
        </w:trPr>
        <w:tc>
          <w:tcPr>
            <w:tcW w:w="1843" w:type="dxa"/>
            <w:tcBorders>
              <w:top w:val="nil"/>
              <w:left w:val="nil"/>
              <w:right w:val="nil"/>
            </w:tcBorders>
            <w:shd w:val="clear" w:color="auto" w:fill="auto"/>
          </w:tcPr>
          <w:p w14:paraId="6FCF6A3C" w14:textId="77777777" w:rsidR="003F0CDB" w:rsidRPr="00EA0DC7" w:rsidRDefault="003F0CDB" w:rsidP="001A55AB">
            <w:pPr>
              <w:spacing w:before="240" w:after="120" w:line="276" w:lineRule="auto"/>
              <w:jc w:val="left"/>
              <w:rPr>
                <w:rFonts w:eastAsia="Times New Roman" w:cs="Arial"/>
                <w:bCs/>
                <w:sz w:val="20"/>
                <w:szCs w:val="20"/>
              </w:rPr>
            </w:pPr>
            <w:r w:rsidRPr="00EA0DC7">
              <w:rPr>
                <w:rFonts w:eastAsia="Times New Roman" w:cs="Arial"/>
                <w:sz w:val="20"/>
                <w:szCs w:val="20"/>
              </w:rPr>
              <w:t>Watkins (1990)</w:t>
            </w:r>
          </w:p>
        </w:tc>
        <w:tc>
          <w:tcPr>
            <w:tcW w:w="1701" w:type="dxa"/>
            <w:tcBorders>
              <w:top w:val="nil"/>
              <w:left w:val="nil"/>
              <w:right w:val="nil"/>
            </w:tcBorders>
            <w:shd w:val="clear" w:color="auto" w:fill="auto"/>
            <w:noWrap/>
          </w:tcPr>
          <w:p w14:paraId="032B7F54" w14:textId="77777777" w:rsidR="003F0CDB" w:rsidRPr="00EA0DC7" w:rsidRDefault="003F0CDB" w:rsidP="001A55AB">
            <w:pPr>
              <w:spacing w:before="240" w:after="120" w:line="276" w:lineRule="auto"/>
              <w:jc w:val="center"/>
              <w:rPr>
                <w:rFonts w:eastAsia="Times New Roman" w:cs="Arial"/>
                <w:bCs/>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tcPr>
          <w:p w14:paraId="36C072FD" w14:textId="77777777" w:rsidR="003F0CDB" w:rsidRPr="00EA0DC7" w:rsidRDefault="003F0CDB" w:rsidP="001A55AB">
            <w:pPr>
              <w:spacing w:before="240" w:after="120" w:line="276" w:lineRule="auto"/>
              <w:jc w:val="center"/>
              <w:rPr>
                <w:rFonts w:eastAsia="Times New Roman" w:cs="Arial"/>
                <w:bCs/>
                <w:sz w:val="20"/>
                <w:szCs w:val="20"/>
              </w:rPr>
            </w:pPr>
          </w:p>
        </w:tc>
        <w:tc>
          <w:tcPr>
            <w:tcW w:w="1276" w:type="dxa"/>
            <w:tcBorders>
              <w:top w:val="nil"/>
              <w:left w:val="nil"/>
              <w:right w:val="nil"/>
            </w:tcBorders>
            <w:shd w:val="clear" w:color="auto" w:fill="auto"/>
            <w:noWrap/>
          </w:tcPr>
          <w:p w14:paraId="1008139B" w14:textId="77777777" w:rsidR="003F0CDB" w:rsidRPr="00EA0DC7" w:rsidRDefault="003F0CDB" w:rsidP="001A55AB">
            <w:pPr>
              <w:spacing w:before="240" w:after="120" w:line="276" w:lineRule="auto"/>
              <w:jc w:val="center"/>
              <w:rPr>
                <w:rFonts w:eastAsia="Times New Roman" w:cs="Arial"/>
                <w:bCs/>
                <w:sz w:val="20"/>
                <w:szCs w:val="20"/>
              </w:rPr>
            </w:pPr>
          </w:p>
        </w:tc>
        <w:tc>
          <w:tcPr>
            <w:tcW w:w="1275" w:type="dxa"/>
            <w:tcBorders>
              <w:top w:val="nil"/>
              <w:left w:val="nil"/>
              <w:right w:val="nil"/>
            </w:tcBorders>
          </w:tcPr>
          <w:p w14:paraId="20E4D490" w14:textId="77777777" w:rsidR="003F0CDB" w:rsidRPr="00EA0DC7" w:rsidRDefault="003F0CDB" w:rsidP="001A55AB">
            <w:pPr>
              <w:spacing w:before="240" w:after="120" w:line="276" w:lineRule="auto"/>
              <w:jc w:val="center"/>
              <w:rPr>
                <w:rFonts w:eastAsia="Times New Roman" w:cs="Arial"/>
                <w:bCs/>
                <w:sz w:val="20"/>
                <w:szCs w:val="20"/>
              </w:rPr>
            </w:pPr>
          </w:p>
        </w:tc>
        <w:tc>
          <w:tcPr>
            <w:tcW w:w="1276" w:type="dxa"/>
            <w:tcBorders>
              <w:top w:val="nil"/>
              <w:left w:val="nil"/>
              <w:right w:val="nil"/>
            </w:tcBorders>
          </w:tcPr>
          <w:p w14:paraId="05BB5515" w14:textId="77777777" w:rsidR="003F0CDB" w:rsidRPr="00EA0DC7" w:rsidRDefault="003F0CDB" w:rsidP="001A55AB">
            <w:pPr>
              <w:spacing w:before="240" w:after="120" w:line="276" w:lineRule="auto"/>
              <w:jc w:val="center"/>
              <w:rPr>
                <w:rFonts w:eastAsia="Times New Roman" w:cs="Arial"/>
                <w:bCs/>
                <w:sz w:val="20"/>
                <w:szCs w:val="20"/>
              </w:rPr>
            </w:pPr>
          </w:p>
        </w:tc>
        <w:tc>
          <w:tcPr>
            <w:tcW w:w="1559" w:type="dxa"/>
            <w:tcBorders>
              <w:top w:val="nil"/>
              <w:left w:val="nil"/>
              <w:right w:val="nil"/>
            </w:tcBorders>
          </w:tcPr>
          <w:p w14:paraId="7EBBC604" w14:textId="77777777" w:rsidR="003F0CDB" w:rsidRPr="00EA0DC7" w:rsidRDefault="003F0CDB" w:rsidP="001A55AB">
            <w:pPr>
              <w:spacing w:before="240" w:after="120" w:line="276" w:lineRule="auto"/>
              <w:jc w:val="center"/>
              <w:rPr>
                <w:rFonts w:eastAsia="Times New Roman" w:cs="Arial"/>
                <w:bCs/>
                <w:sz w:val="20"/>
                <w:szCs w:val="20"/>
              </w:rPr>
            </w:pPr>
            <w:r w:rsidRPr="00EA0DC7">
              <w:rPr>
                <w:rFonts w:eastAsia="Times New Roman" w:cs="Arial"/>
                <w:sz w:val="20"/>
                <w:szCs w:val="20"/>
              </w:rPr>
              <w:sym w:font="Wingdings" w:char="F0FC"/>
            </w:r>
          </w:p>
        </w:tc>
        <w:tc>
          <w:tcPr>
            <w:tcW w:w="1276" w:type="dxa"/>
            <w:tcBorders>
              <w:top w:val="nil"/>
              <w:left w:val="nil"/>
              <w:right w:val="nil"/>
            </w:tcBorders>
          </w:tcPr>
          <w:p w14:paraId="04A87AEC" w14:textId="77777777" w:rsidR="003F0CDB" w:rsidRPr="00EA0DC7" w:rsidRDefault="003F0CDB" w:rsidP="001A55AB">
            <w:pPr>
              <w:spacing w:before="240" w:after="120" w:line="276" w:lineRule="auto"/>
              <w:jc w:val="center"/>
              <w:rPr>
                <w:rFonts w:eastAsia="Times New Roman" w:cs="Arial"/>
                <w:bCs/>
                <w:sz w:val="20"/>
                <w:szCs w:val="20"/>
              </w:rPr>
            </w:pPr>
          </w:p>
        </w:tc>
        <w:tc>
          <w:tcPr>
            <w:tcW w:w="1276" w:type="dxa"/>
            <w:tcBorders>
              <w:top w:val="nil"/>
              <w:left w:val="nil"/>
              <w:right w:val="nil"/>
            </w:tcBorders>
          </w:tcPr>
          <w:p w14:paraId="4E805FC3" w14:textId="77777777" w:rsidR="003F0CDB" w:rsidRPr="00EA0DC7" w:rsidRDefault="003F0CDB" w:rsidP="001A55AB">
            <w:pPr>
              <w:spacing w:before="240" w:after="120" w:line="276" w:lineRule="auto"/>
              <w:jc w:val="center"/>
              <w:rPr>
                <w:rFonts w:eastAsia="Times New Roman" w:cs="Arial"/>
                <w:bCs/>
                <w:sz w:val="20"/>
                <w:szCs w:val="20"/>
              </w:rPr>
            </w:pPr>
          </w:p>
        </w:tc>
        <w:tc>
          <w:tcPr>
            <w:tcW w:w="1417" w:type="dxa"/>
            <w:tcBorders>
              <w:top w:val="nil"/>
              <w:left w:val="nil"/>
              <w:right w:val="nil"/>
            </w:tcBorders>
          </w:tcPr>
          <w:p w14:paraId="2DE6A63D" w14:textId="77777777" w:rsidR="003F0CDB" w:rsidRPr="00EA0DC7" w:rsidRDefault="003F0CDB" w:rsidP="001A55AB">
            <w:pPr>
              <w:spacing w:before="240" w:after="120" w:line="276" w:lineRule="auto"/>
              <w:jc w:val="center"/>
              <w:rPr>
                <w:rFonts w:eastAsia="Times New Roman" w:cs="Arial"/>
                <w:bCs/>
                <w:sz w:val="20"/>
                <w:szCs w:val="20"/>
              </w:rPr>
            </w:pPr>
          </w:p>
        </w:tc>
      </w:tr>
      <w:tr w:rsidR="003F0CDB" w:rsidRPr="00EA0DC7" w14:paraId="776A2015" w14:textId="77777777" w:rsidTr="00BB2600">
        <w:trPr>
          <w:trHeight w:val="567"/>
        </w:trPr>
        <w:tc>
          <w:tcPr>
            <w:tcW w:w="1843" w:type="dxa"/>
            <w:tcBorders>
              <w:left w:val="nil"/>
              <w:right w:val="nil"/>
            </w:tcBorders>
            <w:shd w:val="clear" w:color="auto" w:fill="auto"/>
            <w:hideMark/>
          </w:tcPr>
          <w:p w14:paraId="61FCF253"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Wetchler (1990)</w:t>
            </w:r>
          </w:p>
        </w:tc>
        <w:tc>
          <w:tcPr>
            <w:tcW w:w="1701" w:type="dxa"/>
            <w:tcBorders>
              <w:left w:val="nil"/>
              <w:right w:val="nil"/>
            </w:tcBorders>
            <w:shd w:val="clear" w:color="auto" w:fill="auto"/>
            <w:noWrap/>
            <w:hideMark/>
          </w:tcPr>
          <w:p w14:paraId="3FE954CF"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7567704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1C4C116B"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2D44E87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47964E8E"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6C508210"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679A8FE7"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F8F86EE"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30383586" w14:textId="77777777" w:rsidR="003F0CDB" w:rsidRPr="00EA0DC7" w:rsidRDefault="003F0CDB" w:rsidP="00A96E13">
            <w:pPr>
              <w:spacing w:line="276" w:lineRule="auto"/>
              <w:jc w:val="center"/>
              <w:rPr>
                <w:rFonts w:eastAsia="Times New Roman" w:cs="Arial"/>
                <w:sz w:val="20"/>
                <w:szCs w:val="20"/>
              </w:rPr>
            </w:pPr>
          </w:p>
        </w:tc>
      </w:tr>
      <w:tr w:rsidR="003F0CDB" w:rsidRPr="00EA0DC7" w14:paraId="4E91514A" w14:textId="77777777" w:rsidTr="00BB2600">
        <w:trPr>
          <w:trHeight w:val="567"/>
        </w:trPr>
        <w:tc>
          <w:tcPr>
            <w:tcW w:w="1843" w:type="dxa"/>
            <w:tcBorders>
              <w:left w:val="nil"/>
              <w:bottom w:val="nil"/>
              <w:right w:val="nil"/>
            </w:tcBorders>
            <w:shd w:val="clear" w:color="auto" w:fill="auto"/>
            <w:hideMark/>
          </w:tcPr>
          <w:p w14:paraId="3D5DADA1"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Mead (1990)</w:t>
            </w:r>
          </w:p>
        </w:tc>
        <w:tc>
          <w:tcPr>
            <w:tcW w:w="1701" w:type="dxa"/>
            <w:tcBorders>
              <w:left w:val="nil"/>
              <w:bottom w:val="nil"/>
              <w:right w:val="nil"/>
            </w:tcBorders>
            <w:shd w:val="clear" w:color="auto" w:fill="auto"/>
            <w:noWrap/>
            <w:hideMark/>
          </w:tcPr>
          <w:p w14:paraId="4DDAD7D3"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5F96876D"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2CD64F45"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nil"/>
              <w:right w:val="nil"/>
            </w:tcBorders>
          </w:tcPr>
          <w:p w14:paraId="34ABC86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3D341C6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bottom w:val="nil"/>
              <w:right w:val="nil"/>
            </w:tcBorders>
          </w:tcPr>
          <w:p w14:paraId="1332F829"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2566F4B8"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tcPr>
          <w:p w14:paraId="79C6F6AE"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nil"/>
              <w:right w:val="nil"/>
            </w:tcBorders>
          </w:tcPr>
          <w:p w14:paraId="60F2681F" w14:textId="77777777" w:rsidR="003F0CDB" w:rsidRPr="00EA0DC7" w:rsidRDefault="003F0CDB" w:rsidP="00A96E13">
            <w:pPr>
              <w:spacing w:line="276" w:lineRule="auto"/>
              <w:jc w:val="center"/>
              <w:rPr>
                <w:rFonts w:eastAsia="Times New Roman" w:cs="Arial"/>
                <w:sz w:val="20"/>
                <w:szCs w:val="20"/>
              </w:rPr>
            </w:pPr>
          </w:p>
        </w:tc>
      </w:tr>
      <w:tr w:rsidR="003F0CDB" w:rsidRPr="00EA0DC7" w14:paraId="2E79AB9E" w14:textId="77777777" w:rsidTr="00BB2600">
        <w:trPr>
          <w:trHeight w:val="567"/>
        </w:trPr>
        <w:tc>
          <w:tcPr>
            <w:tcW w:w="1843" w:type="dxa"/>
            <w:tcBorders>
              <w:top w:val="nil"/>
              <w:left w:val="nil"/>
              <w:bottom w:val="nil"/>
              <w:right w:val="nil"/>
            </w:tcBorders>
            <w:shd w:val="clear" w:color="auto" w:fill="auto"/>
            <w:hideMark/>
          </w:tcPr>
          <w:p w14:paraId="37E87088"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Hawkins &amp; Shohet (1993)</w:t>
            </w:r>
          </w:p>
        </w:tc>
        <w:tc>
          <w:tcPr>
            <w:tcW w:w="1701" w:type="dxa"/>
            <w:tcBorders>
              <w:top w:val="nil"/>
              <w:left w:val="nil"/>
              <w:bottom w:val="nil"/>
              <w:right w:val="nil"/>
            </w:tcBorders>
            <w:shd w:val="clear" w:color="auto" w:fill="auto"/>
            <w:noWrap/>
            <w:hideMark/>
          </w:tcPr>
          <w:p w14:paraId="6B31D36A"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shd w:val="clear" w:color="auto" w:fill="auto"/>
            <w:noWrap/>
            <w:hideMark/>
          </w:tcPr>
          <w:p w14:paraId="71888AAE"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1E3D3B1C"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nil"/>
              <w:right w:val="nil"/>
            </w:tcBorders>
          </w:tcPr>
          <w:p w14:paraId="2E116B6D"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6D530EA9"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nil"/>
              <w:right w:val="nil"/>
            </w:tcBorders>
          </w:tcPr>
          <w:p w14:paraId="26664FF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3E16D08F"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0C4BD445"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541B1822" w14:textId="77777777" w:rsidR="003F0CDB" w:rsidRPr="00EA0DC7" w:rsidRDefault="003F0CDB" w:rsidP="00A96E13">
            <w:pPr>
              <w:spacing w:line="276" w:lineRule="auto"/>
              <w:jc w:val="center"/>
              <w:rPr>
                <w:rFonts w:eastAsia="Times New Roman" w:cs="Arial"/>
                <w:sz w:val="20"/>
                <w:szCs w:val="20"/>
              </w:rPr>
            </w:pPr>
          </w:p>
        </w:tc>
      </w:tr>
      <w:tr w:rsidR="003F0CDB" w:rsidRPr="00EA0DC7" w14:paraId="2CF90B5E" w14:textId="77777777" w:rsidTr="00BB2600">
        <w:trPr>
          <w:trHeight w:val="567"/>
        </w:trPr>
        <w:tc>
          <w:tcPr>
            <w:tcW w:w="1843" w:type="dxa"/>
            <w:tcBorders>
              <w:top w:val="nil"/>
              <w:left w:val="nil"/>
              <w:bottom w:val="nil"/>
              <w:right w:val="nil"/>
            </w:tcBorders>
            <w:shd w:val="clear" w:color="auto" w:fill="auto"/>
            <w:hideMark/>
          </w:tcPr>
          <w:p w14:paraId="0CB98905"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Rodenhauser (1994)</w:t>
            </w:r>
          </w:p>
        </w:tc>
        <w:tc>
          <w:tcPr>
            <w:tcW w:w="1701" w:type="dxa"/>
            <w:tcBorders>
              <w:top w:val="nil"/>
              <w:left w:val="nil"/>
              <w:bottom w:val="nil"/>
              <w:right w:val="nil"/>
            </w:tcBorders>
            <w:shd w:val="clear" w:color="auto" w:fill="auto"/>
            <w:noWrap/>
            <w:hideMark/>
          </w:tcPr>
          <w:p w14:paraId="44CA364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shd w:val="clear" w:color="auto" w:fill="auto"/>
            <w:noWrap/>
            <w:hideMark/>
          </w:tcPr>
          <w:p w14:paraId="1C90CA6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shd w:val="clear" w:color="auto" w:fill="auto"/>
            <w:noWrap/>
            <w:hideMark/>
          </w:tcPr>
          <w:p w14:paraId="79B1F3B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tcPr>
          <w:p w14:paraId="3ADF779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29FBBA0B"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nil"/>
              <w:right w:val="nil"/>
            </w:tcBorders>
          </w:tcPr>
          <w:p w14:paraId="391CF7D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tcPr>
          <w:p w14:paraId="275C9D4B"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nil"/>
              <w:right w:val="nil"/>
            </w:tcBorders>
          </w:tcPr>
          <w:p w14:paraId="270B03D7"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nil"/>
              <w:right w:val="nil"/>
            </w:tcBorders>
          </w:tcPr>
          <w:p w14:paraId="6C9F0E6B" w14:textId="77777777" w:rsidR="003F0CDB" w:rsidRPr="00EA0DC7" w:rsidRDefault="003F0CDB" w:rsidP="00A96E13">
            <w:pPr>
              <w:spacing w:line="276" w:lineRule="auto"/>
              <w:jc w:val="center"/>
              <w:rPr>
                <w:rFonts w:eastAsia="Times New Roman" w:cs="Arial"/>
                <w:sz w:val="20"/>
                <w:szCs w:val="20"/>
              </w:rPr>
            </w:pPr>
          </w:p>
        </w:tc>
      </w:tr>
      <w:tr w:rsidR="003F0CDB" w:rsidRPr="00EA0DC7" w14:paraId="78D5828F" w14:textId="77777777" w:rsidTr="00BB2600">
        <w:trPr>
          <w:trHeight w:val="567"/>
        </w:trPr>
        <w:tc>
          <w:tcPr>
            <w:tcW w:w="1843" w:type="dxa"/>
            <w:tcBorders>
              <w:top w:val="nil"/>
              <w:left w:val="nil"/>
              <w:right w:val="nil"/>
            </w:tcBorders>
            <w:shd w:val="clear" w:color="auto" w:fill="auto"/>
            <w:hideMark/>
          </w:tcPr>
          <w:p w14:paraId="6935EF96"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Thomas (1994)</w:t>
            </w:r>
          </w:p>
        </w:tc>
        <w:tc>
          <w:tcPr>
            <w:tcW w:w="1701" w:type="dxa"/>
            <w:tcBorders>
              <w:top w:val="nil"/>
              <w:left w:val="nil"/>
              <w:right w:val="nil"/>
            </w:tcBorders>
            <w:shd w:val="clear" w:color="auto" w:fill="auto"/>
            <w:noWrap/>
            <w:hideMark/>
          </w:tcPr>
          <w:p w14:paraId="5535308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49449A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7DA1029"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03AAF13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4FF4188E"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625ED00F"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6A60AC6F"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9C40820"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10787963" w14:textId="77777777" w:rsidR="003F0CDB" w:rsidRPr="00EA0DC7" w:rsidRDefault="003F0CDB" w:rsidP="00A96E13">
            <w:pPr>
              <w:spacing w:line="276" w:lineRule="auto"/>
              <w:jc w:val="center"/>
              <w:rPr>
                <w:rFonts w:eastAsia="Times New Roman" w:cs="Arial"/>
                <w:sz w:val="20"/>
                <w:szCs w:val="20"/>
              </w:rPr>
            </w:pPr>
          </w:p>
        </w:tc>
      </w:tr>
      <w:tr w:rsidR="003F0CDB" w:rsidRPr="00EA0DC7" w14:paraId="7ED9719B" w14:textId="77777777" w:rsidTr="00BB2600">
        <w:trPr>
          <w:trHeight w:val="567"/>
        </w:trPr>
        <w:tc>
          <w:tcPr>
            <w:tcW w:w="1843" w:type="dxa"/>
            <w:tcBorders>
              <w:top w:val="nil"/>
              <w:left w:val="nil"/>
              <w:right w:val="nil"/>
            </w:tcBorders>
            <w:shd w:val="clear" w:color="auto" w:fill="auto"/>
            <w:hideMark/>
          </w:tcPr>
          <w:p w14:paraId="31FE9F9C"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Rigazio-DiGilio &amp; Anderson (1994)</w:t>
            </w:r>
          </w:p>
        </w:tc>
        <w:tc>
          <w:tcPr>
            <w:tcW w:w="1701" w:type="dxa"/>
            <w:tcBorders>
              <w:top w:val="nil"/>
              <w:left w:val="nil"/>
              <w:right w:val="nil"/>
            </w:tcBorders>
            <w:shd w:val="clear" w:color="auto" w:fill="auto"/>
            <w:noWrap/>
            <w:hideMark/>
          </w:tcPr>
          <w:p w14:paraId="103E00A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35AC16D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25F4AF24"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36EFAFAD"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24335126"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5FBCD55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6A51C08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D53C4EC"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right w:val="nil"/>
            </w:tcBorders>
          </w:tcPr>
          <w:p w14:paraId="71B66F51" w14:textId="77777777" w:rsidR="003F0CDB" w:rsidRPr="00EA0DC7" w:rsidRDefault="003F0CDB" w:rsidP="00A96E13">
            <w:pPr>
              <w:spacing w:line="276" w:lineRule="auto"/>
              <w:jc w:val="center"/>
              <w:rPr>
                <w:rFonts w:eastAsia="Times New Roman" w:cs="Arial"/>
                <w:sz w:val="20"/>
                <w:szCs w:val="20"/>
              </w:rPr>
            </w:pPr>
          </w:p>
        </w:tc>
      </w:tr>
      <w:tr w:rsidR="003F0CDB" w:rsidRPr="00EA0DC7" w14:paraId="6D4A3064" w14:textId="77777777" w:rsidTr="00711051">
        <w:trPr>
          <w:trHeight w:val="567"/>
        </w:trPr>
        <w:tc>
          <w:tcPr>
            <w:tcW w:w="1843" w:type="dxa"/>
            <w:tcBorders>
              <w:left w:val="nil"/>
              <w:right w:val="nil"/>
            </w:tcBorders>
            <w:shd w:val="clear" w:color="auto" w:fill="auto"/>
            <w:hideMark/>
          </w:tcPr>
          <w:p w14:paraId="76E838D2"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Holloway (1995)</w:t>
            </w:r>
          </w:p>
        </w:tc>
        <w:tc>
          <w:tcPr>
            <w:tcW w:w="1701" w:type="dxa"/>
            <w:tcBorders>
              <w:left w:val="nil"/>
              <w:right w:val="nil"/>
            </w:tcBorders>
            <w:shd w:val="clear" w:color="auto" w:fill="auto"/>
            <w:noWrap/>
            <w:hideMark/>
          </w:tcPr>
          <w:p w14:paraId="45D8D7AF"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shd w:val="clear" w:color="auto" w:fill="auto"/>
            <w:noWrap/>
            <w:hideMark/>
          </w:tcPr>
          <w:p w14:paraId="2AD7371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shd w:val="clear" w:color="auto" w:fill="auto"/>
            <w:noWrap/>
            <w:hideMark/>
          </w:tcPr>
          <w:p w14:paraId="1D69DB2E"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tcPr>
          <w:p w14:paraId="010A3B6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00964B3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20CF700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510A21C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0CBEE7AA"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left w:val="nil"/>
              <w:right w:val="nil"/>
            </w:tcBorders>
          </w:tcPr>
          <w:p w14:paraId="12CA1311" w14:textId="77777777" w:rsidR="003F0CDB" w:rsidRPr="00EA0DC7" w:rsidRDefault="003F0CDB" w:rsidP="00A96E13">
            <w:pPr>
              <w:spacing w:line="276" w:lineRule="auto"/>
              <w:jc w:val="center"/>
              <w:rPr>
                <w:rFonts w:eastAsia="Times New Roman" w:cs="Arial"/>
                <w:sz w:val="20"/>
                <w:szCs w:val="20"/>
              </w:rPr>
            </w:pPr>
          </w:p>
        </w:tc>
      </w:tr>
      <w:tr w:rsidR="003F0CDB" w:rsidRPr="00EA0DC7" w14:paraId="1CCCC0E0" w14:textId="77777777" w:rsidTr="00711051">
        <w:trPr>
          <w:trHeight w:val="567"/>
        </w:trPr>
        <w:tc>
          <w:tcPr>
            <w:tcW w:w="1843" w:type="dxa"/>
            <w:tcBorders>
              <w:left w:val="nil"/>
              <w:right w:val="nil"/>
            </w:tcBorders>
            <w:shd w:val="clear" w:color="auto" w:fill="auto"/>
            <w:hideMark/>
          </w:tcPr>
          <w:p w14:paraId="3095E51C"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Hipp &amp; Munson (1995)</w:t>
            </w:r>
          </w:p>
        </w:tc>
        <w:tc>
          <w:tcPr>
            <w:tcW w:w="1701" w:type="dxa"/>
            <w:tcBorders>
              <w:left w:val="nil"/>
              <w:right w:val="nil"/>
            </w:tcBorders>
            <w:shd w:val="clear" w:color="auto" w:fill="auto"/>
            <w:noWrap/>
            <w:hideMark/>
          </w:tcPr>
          <w:p w14:paraId="01832BEE"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shd w:val="clear" w:color="auto" w:fill="auto"/>
            <w:noWrap/>
            <w:hideMark/>
          </w:tcPr>
          <w:p w14:paraId="20390B40"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shd w:val="clear" w:color="auto" w:fill="auto"/>
            <w:noWrap/>
            <w:hideMark/>
          </w:tcPr>
          <w:p w14:paraId="47715C29"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62E961E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E5EBF21"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03D71C66"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6E692C80"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53DD1439"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635DB3EF" w14:textId="77777777" w:rsidR="003F0CDB" w:rsidRPr="00EA0DC7" w:rsidRDefault="003F0CDB" w:rsidP="00A96E13">
            <w:pPr>
              <w:spacing w:line="276" w:lineRule="auto"/>
              <w:jc w:val="center"/>
              <w:rPr>
                <w:rFonts w:eastAsia="Times New Roman" w:cs="Arial"/>
                <w:sz w:val="20"/>
                <w:szCs w:val="20"/>
              </w:rPr>
            </w:pPr>
          </w:p>
        </w:tc>
      </w:tr>
      <w:tr w:rsidR="003F0CDB" w:rsidRPr="00EA0DC7" w14:paraId="539B6E0D" w14:textId="77777777" w:rsidTr="00711051">
        <w:trPr>
          <w:trHeight w:val="567"/>
        </w:trPr>
        <w:tc>
          <w:tcPr>
            <w:tcW w:w="1843" w:type="dxa"/>
            <w:tcBorders>
              <w:top w:val="nil"/>
              <w:left w:val="nil"/>
              <w:bottom w:val="single" w:sz="4" w:space="0" w:color="auto"/>
              <w:right w:val="nil"/>
            </w:tcBorders>
            <w:shd w:val="clear" w:color="auto" w:fill="auto"/>
            <w:hideMark/>
          </w:tcPr>
          <w:p w14:paraId="76101E2C"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Carroll (1996)</w:t>
            </w:r>
          </w:p>
        </w:tc>
        <w:tc>
          <w:tcPr>
            <w:tcW w:w="1701" w:type="dxa"/>
            <w:tcBorders>
              <w:top w:val="nil"/>
              <w:left w:val="nil"/>
              <w:bottom w:val="single" w:sz="4" w:space="0" w:color="auto"/>
              <w:right w:val="nil"/>
            </w:tcBorders>
            <w:shd w:val="clear" w:color="auto" w:fill="auto"/>
            <w:noWrap/>
            <w:hideMark/>
          </w:tcPr>
          <w:p w14:paraId="6362852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559B1D1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3AB78865"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single" w:sz="4" w:space="0" w:color="auto"/>
              <w:right w:val="nil"/>
            </w:tcBorders>
          </w:tcPr>
          <w:p w14:paraId="2DF8556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2AF0E134"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single" w:sz="4" w:space="0" w:color="auto"/>
              <w:right w:val="nil"/>
            </w:tcBorders>
          </w:tcPr>
          <w:p w14:paraId="75FC55BD"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6C72294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72A72957"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bottom w:val="single" w:sz="4" w:space="0" w:color="auto"/>
              <w:right w:val="nil"/>
            </w:tcBorders>
          </w:tcPr>
          <w:p w14:paraId="11E9DBA1" w14:textId="77777777" w:rsidR="003F0CDB" w:rsidRPr="00EA0DC7" w:rsidRDefault="003F0CDB" w:rsidP="00A96E13">
            <w:pPr>
              <w:spacing w:line="276" w:lineRule="auto"/>
              <w:jc w:val="center"/>
              <w:rPr>
                <w:rFonts w:eastAsia="Times New Roman" w:cs="Arial"/>
                <w:sz w:val="20"/>
                <w:szCs w:val="20"/>
              </w:rPr>
            </w:pPr>
          </w:p>
        </w:tc>
      </w:tr>
    </w:tbl>
    <w:p w14:paraId="3C0C34B1" w14:textId="77777777" w:rsidR="00711051" w:rsidRPr="00EA0DC7" w:rsidRDefault="00711051" w:rsidP="0070237A">
      <w:pPr>
        <w:spacing w:before="240" w:after="120" w:line="276" w:lineRule="auto"/>
        <w:jc w:val="center"/>
        <w:rPr>
          <w:rFonts w:eastAsia="Times New Roman" w:cs="Arial"/>
          <w:b/>
          <w:bCs/>
          <w:sz w:val="20"/>
          <w:szCs w:val="20"/>
        </w:rPr>
        <w:sectPr w:rsidR="00711051" w:rsidRPr="00EA0DC7" w:rsidSect="001A55AB">
          <w:pgSz w:w="16838" w:h="11906" w:orient="landscape" w:code="9"/>
          <w:pgMar w:top="2268" w:right="1440" w:bottom="1440" w:left="1440" w:header="709" w:footer="709" w:gutter="0"/>
          <w:cols w:space="708"/>
          <w:docGrid w:linePitch="360"/>
        </w:sectPr>
      </w:pP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711051" w:rsidRPr="00EA0DC7" w14:paraId="133543FD" w14:textId="77777777" w:rsidTr="0070237A">
        <w:trPr>
          <w:trHeight w:val="567"/>
        </w:trPr>
        <w:tc>
          <w:tcPr>
            <w:tcW w:w="1843" w:type="dxa"/>
            <w:tcBorders>
              <w:top w:val="single" w:sz="4" w:space="0" w:color="auto"/>
              <w:left w:val="nil"/>
              <w:bottom w:val="single" w:sz="4" w:space="0" w:color="auto"/>
              <w:right w:val="nil"/>
            </w:tcBorders>
            <w:shd w:val="clear" w:color="auto" w:fill="auto"/>
            <w:vAlign w:val="center"/>
          </w:tcPr>
          <w:p w14:paraId="1BD39F24" w14:textId="499D8BE2"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208CED04"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noWrap/>
            <w:vAlign w:val="center"/>
          </w:tcPr>
          <w:p w14:paraId="596D6A20"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noWrap/>
            <w:vAlign w:val="center"/>
          </w:tcPr>
          <w:p w14:paraId="558D25E4"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22F3749F"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70CDB49A"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1E9664AB"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0AA0BD2E"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53864502"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61123983"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3F0CDB" w:rsidRPr="00EA0DC7" w14:paraId="4F501970" w14:textId="77777777" w:rsidTr="00711051">
        <w:trPr>
          <w:trHeight w:val="567"/>
        </w:trPr>
        <w:tc>
          <w:tcPr>
            <w:tcW w:w="1843" w:type="dxa"/>
            <w:tcBorders>
              <w:top w:val="single" w:sz="4" w:space="0" w:color="auto"/>
              <w:left w:val="nil"/>
              <w:right w:val="nil"/>
            </w:tcBorders>
            <w:shd w:val="clear" w:color="auto" w:fill="auto"/>
            <w:hideMark/>
          </w:tcPr>
          <w:p w14:paraId="0CD9DC44" w14:textId="77777777" w:rsidR="003F0CDB" w:rsidRPr="00EA0DC7" w:rsidRDefault="003F0CDB" w:rsidP="00711051">
            <w:pPr>
              <w:spacing w:before="240" w:line="276" w:lineRule="auto"/>
              <w:jc w:val="left"/>
              <w:rPr>
                <w:rFonts w:eastAsia="Times New Roman" w:cs="Arial"/>
                <w:sz w:val="20"/>
                <w:szCs w:val="20"/>
              </w:rPr>
            </w:pPr>
            <w:r w:rsidRPr="00EA0DC7">
              <w:rPr>
                <w:rFonts w:eastAsia="Times New Roman" w:cs="Arial"/>
                <w:sz w:val="20"/>
                <w:szCs w:val="20"/>
              </w:rPr>
              <w:t>Carroll (1996)</w:t>
            </w:r>
          </w:p>
        </w:tc>
        <w:tc>
          <w:tcPr>
            <w:tcW w:w="1701" w:type="dxa"/>
            <w:tcBorders>
              <w:top w:val="single" w:sz="4" w:space="0" w:color="auto"/>
              <w:left w:val="nil"/>
              <w:right w:val="nil"/>
            </w:tcBorders>
            <w:shd w:val="clear" w:color="auto" w:fill="auto"/>
            <w:noWrap/>
            <w:hideMark/>
          </w:tcPr>
          <w:p w14:paraId="1CE3D3A1" w14:textId="77777777" w:rsidR="003F0CDB" w:rsidRPr="00EA0DC7" w:rsidRDefault="003F0CDB" w:rsidP="00711051">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right w:val="nil"/>
            </w:tcBorders>
            <w:shd w:val="clear" w:color="auto" w:fill="auto"/>
            <w:noWrap/>
            <w:hideMark/>
          </w:tcPr>
          <w:p w14:paraId="6B3A806E"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top w:val="single" w:sz="4" w:space="0" w:color="auto"/>
              <w:left w:val="nil"/>
              <w:right w:val="nil"/>
            </w:tcBorders>
            <w:shd w:val="clear" w:color="auto" w:fill="auto"/>
            <w:noWrap/>
            <w:hideMark/>
          </w:tcPr>
          <w:p w14:paraId="3E5DFDF6" w14:textId="77777777" w:rsidR="003F0CDB" w:rsidRPr="00EA0DC7" w:rsidRDefault="003F0CDB" w:rsidP="00711051">
            <w:pPr>
              <w:spacing w:before="240" w:line="276" w:lineRule="auto"/>
              <w:jc w:val="center"/>
              <w:rPr>
                <w:rFonts w:eastAsia="Times New Roman" w:cs="Arial"/>
                <w:sz w:val="20"/>
                <w:szCs w:val="20"/>
              </w:rPr>
            </w:pPr>
          </w:p>
        </w:tc>
        <w:tc>
          <w:tcPr>
            <w:tcW w:w="1275" w:type="dxa"/>
            <w:tcBorders>
              <w:top w:val="single" w:sz="4" w:space="0" w:color="auto"/>
              <w:left w:val="nil"/>
              <w:right w:val="nil"/>
            </w:tcBorders>
          </w:tcPr>
          <w:p w14:paraId="36E4A5E7"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top w:val="single" w:sz="4" w:space="0" w:color="auto"/>
              <w:left w:val="nil"/>
              <w:right w:val="nil"/>
            </w:tcBorders>
          </w:tcPr>
          <w:p w14:paraId="7CBD5918" w14:textId="77777777" w:rsidR="003F0CDB" w:rsidRPr="00EA0DC7" w:rsidRDefault="003F0CDB" w:rsidP="00711051">
            <w:pPr>
              <w:spacing w:before="240" w:line="276" w:lineRule="auto"/>
              <w:jc w:val="center"/>
              <w:rPr>
                <w:rFonts w:eastAsia="Times New Roman" w:cs="Arial"/>
                <w:sz w:val="20"/>
                <w:szCs w:val="20"/>
              </w:rPr>
            </w:pPr>
          </w:p>
        </w:tc>
        <w:tc>
          <w:tcPr>
            <w:tcW w:w="1559" w:type="dxa"/>
            <w:tcBorders>
              <w:top w:val="single" w:sz="4" w:space="0" w:color="auto"/>
              <w:left w:val="nil"/>
              <w:right w:val="nil"/>
            </w:tcBorders>
          </w:tcPr>
          <w:p w14:paraId="070FE72E"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top w:val="single" w:sz="4" w:space="0" w:color="auto"/>
              <w:left w:val="nil"/>
              <w:right w:val="nil"/>
            </w:tcBorders>
          </w:tcPr>
          <w:p w14:paraId="08249420"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top w:val="single" w:sz="4" w:space="0" w:color="auto"/>
              <w:left w:val="nil"/>
              <w:right w:val="nil"/>
            </w:tcBorders>
          </w:tcPr>
          <w:p w14:paraId="7E533CE1" w14:textId="77777777" w:rsidR="003F0CDB" w:rsidRPr="00EA0DC7" w:rsidRDefault="003F0CDB" w:rsidP="00711051">
            <w:pPr>
              <w:spacing w:before="240" w:line="276" w:lineRule="auto"/>
              <w:jc w:val="center"/>
              <w:rPr>
                <w:rFonts w:eastAsia="Times New Roman" w:cs="Arial"/>
                <w:sz w:val="20"/>
                <w:szCs w:val="20"/>
              </w:rPr>
            </w:pPr>
          </w:p>
        </w:tc>
        <w:tc>
          <w:tcPr>
            <w:tcW w:w="1417" w:type="dxa"/>
            <w:tcBorders>
              <w:top w:val="single" w:sz="4" w:space="0" w:color="auto"/>
              <w:left w:val="nil"/>
              <w:right w:val="nil"/>
            </w:tcBorders>
          </w:tcPr>
          <w:p w14:paraId="5A5378DA" w14:textId="77777777" w:rsidR="003F0CDB" w:rsidRPr="00EA0DC7" w:rsidRDefault="003F0CDB" w:rsidP="00711051">
            <w:pPr>
              <w:spacing w:before="240" w:line="276" w:lineRule="auto"/>
              <w:jc w:val="center"/>
              <w:rPr>
                <w:rFonts w:eastAsia="Times New Roman" w:cs="Arial"/>
                <w:sz w:val="20"/>
                <w:szCs w:val="20"/>
              </w:rPr>
            </w:pPr>
          </w:p>
        </w:tc>
      </w:tr>
      <w:tr w:rsidR="003F0CDB" w:rsidRPr="00EA0DC7" w14:paraId="31634B51" w14:textId="77777777" w:rsidTr="00BB2600">
        <w:trPr>
          <w:trHeight w:val="567"/>
        </w:trPr>
        <w:tc>
          <w:tcPr>
            <w:tcW w:w="1843" w:type="dxa"/>
            <w:tcBorders>
              <w:left w:val="nil"/>
              <w:bottom w:val="nil"/>
              <w:right w:val="nil"/>
            </w:tcBorders>
            <w:shd w:val="clear" w:color="auto" w:fill="auto"/>
            <w:hideMark/>
          </w:tcPr>
          <w:p w14:paraId="4EECBA26"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Haber (1996)</w:t>
            </w:r>
          </w:p>
        </w:tc>
        <w:tc>
          <w:tcPr>
            <w:tcW w:w="1701" w:type="dxa"/>
            <w:tcBorders>
              <w:left w:val="nil"/>
              <w:bottom w:val="nil"/>
              <w:right w:val="nil"/>
            </w:tcBorders>
            <w:shd w:val="clear" w:color="auto" w:fill="auto"/>
            <w:noWrap/>
            <w:hideMark/>
          </w:tcPr>
          <w:p w14:paraId="6AAE2330"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3588CB0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5BE2405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tcPr>
          <w:p w14:paraId="11CAE6D5"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300626B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bottom w:val="nil"/>
              <w:right w:val="nil"/>
            </w:tcBorders>
          </w:tcPr>
          <w:p w14:paraId="7707E9D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tcPr>
          <w:p w14:paraId="05A288C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47668353"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nil"/>
              <w:right w:val="nil"/>
            </w:tcBorders>
          </w:tcPr>
          <w:p w14:paraId="42C8EE1B" w14:textId="77777777" w:rsidR="003F0CDB" w:rsidRPr="00EA0DC7" w:rsidRDefault="003F0CDB" w:rsidP="00A96E13">
            <w:pPr>
              <w:spacing w:line="276" w:lineRule="auto"/>
              <w:jc w:val="center"/>
              <w:rPr>
                <w:rFonts w:eastAsia="Times New Roman" w:cs="Arial"/>
                <w:sz w:val="20"/>
                <w:szCs w:val="20"/>
              </w:rPr>
            </w:pPr>
          </w:p>
        </w:tc>
      </w:tr>
      <w:tr w:rsidR="003F0CDB" w:rsidRPr="00EA0DC7" w14:paraId="6D49D91D" w14:textId="77777777" w:rsidTr="00BB2600">
        <w:trPr>
          <w:trHeight w:val="567"/>
        </w:trPr>
        <w:tc>
          <w:tcPr>
            <w:tcW w:w="1843" w:type="dxa"/>
            <w:tcBorders>
              <w:top w:val="nil"/>
              <w:left w:val="nil"/>
              <w:right w:val="nil"/>
            </w:tcBorders>
            <w:shd w:val="clear" w:color="auto" w:fill="auto"/>
            <w:hideMark/>
          </w:tcPr>
          <w:p w14:paraId="494D1D2B"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Liese &amp; Beck (1997)</w:t>
            </w:r>
          </w:p>
        </w:tc>
        <w:tc>
          <w:tcPr>
            <w:tcW w:w="1701" w:type="dxa"/>
            <w:tcBorders>
              <w:top w:val="nil"/>
              <w:left w:val="nil"/>
              <w:right w:val="nil"/>
            </w:tcBorders>
            <w:shd w:val="clear" w:color="auto" w:fill="auto"/>
            <w:noWrap/>
            <w:hideMark/>
          </w:tcPr>
          <w:p w14:paraId="2E64E40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6F8D69A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1F1A84C8"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5764BC2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4E9319A8"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7C4C14A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DC2181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6A235C9C"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69A4AB3B" w14:textId="77777777" w:rsidR="003F0CDB" w:rsidRPr="00EA0DC7" w:rsidRDefault="003F0CDB" w:rsidP="00A96E13">
            <w:pPr>
              <w:spacing w:line="276" w:lineRule="auto"/>
              <w:jc w:val="center"/>
              <w:rPr>
                <w:rFonts w:eastAsia="Times New Roman" w:cs="Arial"/>
                <w:sz w:val="20"/>
                <w:szCs w:val="20"/>
              </w:rPr>
            </w:pPr>
          </w:p>
        </w:tc>
      </w:tr>
      <w:tr w:rsidR="003F0CDB" w:rsidRPr="00EA0DC7" w14:paraId="32049247" w14:textId="77777777" w:rsidTr="00BB2600">
        <w:trPr>
          <w:trHeight w:val="567"/>
        </w:trPr>
        <w:tc>
          <w:tcPr>
            <w:tcW w:w="1843" w:type="dxa"/>
            <w:tcBorders>
              <w:top w:val="nil"/>
              <w:left w:val="nil"/>
              <w:right w:val="nil"/>
            </w:tcBorders>
            <w:shd w:val="clear" w:color="auto" w:fill="auto"/>
            <w:hideMark/>
          </w:tcPr>
          <w:p w14:paraId="451B0FD7"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Ward &amp; House (1998)</w:t>
            </w:r>
          </w:p>
        </w:tc>
        <w:tc>
          <w:tcPr>
            <w:tcW w:w="1701" w:type="dxa"/>
            <w:tcBorders>
              <w:top w:val="nil"/>
              <w:left w:val="nil"/>
              <w:right w:val="nil"/>
            </w:tcBorders>
            <w:shd w:val="clear" w:color="auto" w:fill="auto"/>
            <w:noWrap/>
            <w:hideMark/>
          </w:tcPr>
          <w:p w14:paraId="3A3B90EF"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1A33F4E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5646C763"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745C04C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92FD150"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0A7D922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E5C9C7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1EB40D9"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0923807B" w14:textId="77777777" w:rsidR="003F0CDB" w:rsidRPr="00EA0DC7" w:rsidRDefault="003F0CDB" w:rsidP="00A96E13">
            <w:pPr>
              <w:spacing w:line="276" w:lineRule="auto"/>
              <w:jc w:val="center"/>
              <w:rPr>
                <w:rFonts w:eastAsia="Times New Roman" w:cs="Arial"/>
                <w:sz w:val="20"/>
                <w:szCs w:val="20"/>
              </w:rPr>
            </w:pPr>
          </w:p>
        </w:tc>
      </w:tr>
      <w:tr w:rsidR="003F0CDB" w:rsidRPr="00EA0DC7" w14:paraId="5A7EF9BC" w14:textId="77777777" w:rsidTr="00BB2600">
        <w:trPr>
          <w:trHeight w:val="567"/>
        </w:trPr>
        <w:tc>
          <w:tcPr>
            <w:tcW w:w="1843" w:type="dxa"/>
            <w:tcBorders>
              <w:left w:val="nil"/>
              <w:right w:val="nil"/>
            </w:tcBorders>
            <w:shd w:val="clear" w:color="auto" w:fill="auto"/>
            <w:hideMark/>
          </w:tcPr>
          <w:p w14:paraId="746C6BFB"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Bob (1999)</w:t>
            </w:r>
          </w:p>
        </w:tc>
        <w:tc>
          <w:tcPr>
            <w:tcW w:w="1701" w:type="dxa"/>
            <w:tcBorders>
              <w:left w:val="nil"/>
              <w:right w:val="nil"/>
            </w:tcBorders>
            <w:shd w:val="clear" w:color="auto" w:fill="auto"/>
            <w:noWrap/>
            <w:hideMark/>
          </w:tcPr>
          <w:p w14:paraId="7E77733E"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478D037D"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07CBB6E5"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2D34128F"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41B8C799"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68CE15A4"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4521255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23A288F9"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2D6D706E" w14:textId="77777777" w:rsidR="003F0CDB" w:rsidRPr="00EA0DC7" w:rsidRDefault="003F0CDB" w:rsidP="00A96E13">
            <w:pPr>
              <w:spacing w:line="276" w:lineRule="auto"/>
              <w:jc w:val="center"/>
              <w:rPr>
                <w:rFonts w:eastAsia="Times New Roman" w:cs="Arial"/>
                <w:sz w:val="20"/>
                <w:szCs w:val="20"/>
              </w:rPr>
            </w:pPr>
          </w:p>
        </w:tc>
      </w:tr>
      <w:tr w:rsidR="003F0CDB" w:rsidRPr="00EA0DC7" w14:paraId="3CA680D5" w14:textId="77777777" w:rsidTr="00BB2600">
        <w:trPr>
          <w:trHeight w:val="567"/>
        </w:trPr>
        <w:tc>
          <w:tcPr>
            <w:tcW w:w="1843" w:type="dxa"/>
            <w:tcBorders>
              <w:top w:val="nil"/>
              <w:left w:val="nil"/>
              <w:right w:val="nil"/>
            </w:tcBorders>
            <w:shd w:val="clear" w:color="auto" w:fill="auto"/>
          </w:tcPr>
          <w:p w14:paraId="543F8FF7" w14:textId="77777777" w:rsidR="003F0CDB" w:rsidRPr="00EA0DC7" w:rsidRDefault="003F0CDB" w:rsidP="00B93C96">
            <w:pPr>
              <w:spacing w:after="120" w:line="276" w:lineRule="auto"/>
              <w:jc w:val="left"/>
              <w:rPr>
                <w:rFonts w:eastAsia="Times New Roman" w:cs="Arial"/>
                <w:bCs/>
                <w:sz w:val="20"/>
                <w:szCs w:val="20"/>
              </w:rPr>
            </w:pPr>
            <w:r w:rsidRPr="00EA0DC7">
              <w:rPr>
                <w:rFonts w:eastAsia="Times New Roman" w:cs="Arial"/>
                <w:sz w:val="20"/>
                <w:szCs w:val="20"/>
              </w:rPr>
              <w:t>Nelson &amp; Johnson (1999)</w:t>
            </w:r>
          </w:p>
        </w:tc>
        <w:tc>
          <w:tcPr>
            <w:tcW w:w="1701" w:type="dxa"/>
            <w:tcBorders>
              <w:top w:val="nil"/>
              <w:left w:val="nil"/>
              <w:right w:val="nil"/>
            </w:tcBorders>
            <w:shd w:val="clear" w:color="auto" w:fill="auto"/>
            <w:noWrap/>
          </w:tcPr>
          <w:p w14:paraId="2582DB70"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top w:val="nil"/>
              <w:left w:val="nil"/>
              <w:right w:val="nil"/>
            </w:tcBorders>
            <w:shd w:val="clear" w:color="auto" w:fill="auto"/>
            <w:noWrap/>
          </w:tcPr>
          <w:p w14:paraId="28290FF6"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top w:val="nil"/>
              <w:left w:val="nil"/>
              <w:right w:val="nil"/>
            </w:tcBorders>
            <w:shd w:val="clear" w:color="auto" w:fill="auto"/>
            <w:noWrap/>
          </w:tcPr>
          <w:p w14:paraId="4A5613A7" w14:textId="77777777" w:rsidR="003F0CDB" w:rsidRPr="00EA0DC7" w:rsidRDefault="003F0CDB" w:rsidP="00A96E13">
            <w:pPr>
              <w:spacing w:after="120" w:line="276" w:lineRule="auto"/>
              <w:jc w:val="center"/>
              <w:rPr>
                <w:rFonts w:eastAsia="Times New Roman" w:cs="Arial"/>
                <w:bCs/>
                <w:sz w:val="20"/>
                <w:szCs w:val="20"/>
              </w:rPr>
            </w:pPr>
          </w:p>
        </w:tc>
        <w:tc>
          <w:tcPr>
            <w:tcW w:w="1275" w:type="dxa"/>
            <w:tcBorders>
              <w:top w:val="nil"/>
              <w:left w:val="nil"/>
              <w:right w:val="nil"/>
            </w:tcBorders>
          </w:tcPr>
          <w:p w14:paraId="633CCBDA"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top w:val="nil"/>
              <w:left w:val="nil"/>
              <w:right w:val="nil"/>
            </w:tcBorders>
          </w:tcPr>
          <w:p w14:paraId="2E655066" w14:textId="77777777" w:rsidR="003F0CDB" w:rsidRPr="00EA0DC7" w:rsidRDefault="003F0CDB" w:rsidP="00A96E13">
            <w:pPr>
              <w:spacing w:after="120" w:line="276" w:lineRule="auto"/>
              <w:jc w:val="center"/>
              <w:rPr>
                <w:rFonts w:eastAsia="Times New Roman" w:cs="Arial"/>
                <w:bCs/>
                <w:sz w:val="20"/>
                <w:szCs w:val="20"/>
              </w:rPr>
            </w:pPr>
            <w:r w:rsidRPr="00EA0DC7">
              <w:rPr>
                <w:rFonts w:eastAsia="Times New Roman" w:cs="Arial"/>
                <w:sz w:val="20"/>
                <w:szCs w:val="20"/>
              </w:rPr>
              <w:sym w:font="Wingdings" w:char="F0FC"/>
            </w:r>
          </w:p>
        </w:tc>
        <w:tc>
          <w:tcPr>
            <w:tcW w:w="1559" w:type="dxa"/>
            <w:tcBorders>
              <w:top w:val="nil"/>
              <w:left w:val="nil"/>
              <w:right w:val="nil"/>
            </w:tcBorders>
          </w:tcPr>
          <w:p w14:paraId="7FCA2999"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top w:val="nil"/>
              <w:left w:val="nil"/>
              <w:right w:val="nil"/>
            </w:tcBorders>
          </w:tcPr>
          <w:p w14:paraId="09AADCE7" w14:textId="77777777" w:rsidR="003F0CDB" w:rsidRPr="00EA0DC7" w:rsidRDefault="003F0CDB" w:rsidP="00A96E13">
            <w:pPr>
              <w:spacing w:after="120" w:line="276" w:lineRule="auto"/>
              <w:jc w:val="center"/>
              <w:rPr>
                <w:rFonts w:eastAsia="Times New Roman" w:cs="Arial"/>
                <w:bCs/>
                <w:sz w:val="20"/>
                <w:szCs w:val="20"/>
              </w:rPr>
            </w:pPr>
          </w:p>
        </w:tc>
        <w:tc>
          <w:tcPr>
            <w:tcW w:w="1276" w:type="dxa"/>
            <w:tcBorders>
              <w:top w:val="nil"/>
              <w:left w:val="nil"/>
              <w:right w:val="nil"/>
            </w:tcBorders>
          </w:tcPr>
          <w:p w14:paraId="7AE94961" w14:textId="77777777" w:rsidR="003F0CDB" w:rsidRPr="00EA0DC7" w:rsidRDefault="003F0CDB" w:rsidP="00A96E13">
            <w:pPr>
              <w:spacing w:after="120" w:line="276" w:lineRule="auto"/>
              <w:jc w:val="center"/>
              <w:rPr>
                <w:rFonts w:eastAsia="Times New Roman" w:cs="Arial"/>
                <w:bCs/>
                <w:sz w:val="20"/>
                <w:szCs w:val="20"/>
              </w:rPr>
            </w:pPr>
            <w:r w:rsidRPr="00EA0DC7">
              <w:rPr>
                <w:rFonts w:eastAsia="Times New Roman" w:cs="Arial"/>
                <w:sz w:val="20"/>
                <w:szCs w:val="20"/>
              </w:rPr>
              <w:sym w:font="Wingdings" w:char="F0FC"/>
            </w:r>
          </w:p>
        </w:tc>
        <w:tc>
          <w:tcPr>
            <w:tcW w:w="1417" w:type="dxa"/>
            <w:tcBorders>
              <w:top w:val="nil"/>
              <w:left w:val="nil"/>
              <w:right w:val="nil"/>
            </w:tcBorders>
          </w:tcPr>
          <w:p w14:paraId="62B108AB" w14:textId="77777777" w:rsidR="003F0CDB" w:rsidRPr="00EA0DC7" w:rsidRDefault="003F0CDB" w:rsidP="00A96E13">
            <w:pPr>
              <w:spacing w:after="120" w:line="276" w:lineRule="auto"/>
              <w:jc w:val="center"/>
              <w:rPr>
                <w:rFonts w:eastAsia="Times New Roman" w:cs="Arial"/>
                <w:bCs/>
                <w:sz w:val="20"/>
                <w:szCs w:val="20"/>
              </w:rPr>
            </w:pPr>
          </w:p>
        </w:tc>
      </w:tr>
      <w:tr w:rsidR="003F0CDB" w:rsidRPr="00EA0DC7" w14:paraId="4C4EBC9F" w14:textId="77777777" w:rsidTr="00BB2600">
        <w:trPr>
          <w:trHeight w:val="567"/>
        </w:trPr>
        <w:tc>
          <w:tcPr>
            <w:tcW w:w="1843" w:type="dxa"/>
            <w:tcBorders>
              <w:left w:val="nil"/>
              <w:right w:val="nil"/>
            </w:tcBorders>
            <w:shd w:val="clear" w:color="auto" w:fill="auto"/>
            <w:hideMark/>
          </w:tcPr>
          <w:p w14:paraId="5AA936C1"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Edwards &amp; Chen (1999)</w:t>
            </w:r>
          </w:p>
        </w:tc>
        <w:tc>
          <w:tcPr>
            <w:tcW w:w="1701" w:type="dxa"/>
            <w:tcBorders>
              <w:left w:val="nil"/>
              <w:right w:val="nil"/>
            </w:tcBorders>
            <w:shd w:val="clear" w:color="auto" w:fill="auto"/>
            <w:noWrap/>
            <w:hideMark/>
          </w:tcPr>
          <w:p w14:paraId="28A67FF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168868F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0A2EDE90"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right w:val="nil"/>
            </w:tcBorders>
          </w:tcPr>
          <w:p w14:paraId="431CFB33"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49DDB8E8"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right w:val="nil"/>
            </w:tcBorders>
          </w:tcPr>
          <w:p w14:paraId="5A0B6CE7"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035DC4D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right w:val="nil"/>
            </w:tcBorders>
          </w:tcPr>
          <w:p w14:paraId="3F554DAA"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right w:val="nil"/>
            </w:tcBorders>
          </w:tcPr>
          <w:p w14:paraId="46913944" w14:textId="77777777" w:rsidR="003F0CDB" w:rsidRPr="00EA0DC7" w:rsidRDefault="003F0CDB" w:rsidP="00A96E13">
            <w:pPr>
              <w:spacing w:line="276" w:lineRule="auto"/>
              <w:jc w:val="center"/>
              <w:rPr>
                <w:rFonts w:eastAsia="Times New Roman" w:cs="Arial"/>
                <w:sz w:val="20"/>
                <w:szCs w:val="20"/>
              </w:rPr>
            </w:pPr>
          </w:p>
        </w:tc>
      </w:tr>
      <w:tr w:rsidR="003F0CDB" w:rsidRPr="00EA0DC7" w14:paraId="6172785D" w14:textId="77777777" w:rsidTr="00BB2600">
        <w:trPr>
          <w:trHeight w:val="567"/>
        </w:trPr>
        <w:tc>
          <w:tcPr>
            <w:tcW w:w="1843" w:type="dxa"/>
            <w:tcBorders>
              <w:left w:val="nil"/>
              <w:bottom w:val="nil"/>
              <w:right w:val="nil"/>
            </w:tcBorders>
            <w:shd w:val="clear" w:color="auto" w:fill="auto"/>
            <w:hideMark/>
          </w:tcPr>
          <w:p w14:paraId="03A6EE37"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Granello (2000)</w:t>
            </w:r>
          </w:p>
        </w:tc>
        <w:tc>
          <w:tcPr>
            <w:tcW w:w="1701" w:type="dxa"/>
            <w:tcBorders>
              <w:left w:val="nil"/>
              <w:bottom w:val="nil"/>
              <w:right w:val="nil"/>
            </w:tcBorders>
            <w:shd w:val="clear" w:color="auto" w:fill="auto"/>
            <w:noWrap/>
            <w:hideMark/>
          </w:tcPr>
          <w:p w14:paraId="360D6E47"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3C4C5968"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580ECCC9"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nil"/>
              <w:right w:val="nil"/>
            </w:tcBorders>
          </w:tcPr>
          <w:p w14:paraId="4AD32B56"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223266CC" w14:textId="77777777" w:rsidR="003F0CDB" w:rsidRPr="00EA0DC7" w:rsidRDefault="003F0CDB" w:rsidP="00A96E13">
            <w:pPr>
              <w:spacing w:line="276" w:lineRule="auto"/>
              <w:jc w:val="center"/>
              <w:rPr>
                <w:rFonts w:eastAsia="Times New Roman" w:cs="Arial"/>
                <w:sz w:val="20"/>
                <w:szCs w:val="20"/>
              </w:rPr>
            </w:pPr>
          </w:p>
        </w:tc>
        <w:tc>
          <w:tcPr>
            <w:tcW w:w="1559" w:type="dxa"/>
            <w:tcBorders>
              <w:left w:val="nil"/>
              <w:bottom w:val="nil"/>
              <w:right w:val="nil"/>
            </w:tcBorders>
          </w:tcPr>
          <w:p w14:paraId="029E70D0"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135A80BB"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12093D03"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nil"/>
              <w:right w:val="nil"/>
            </w:tcBorders>
          </w:tcPr>
          <w:p w14:paraId="0776539E" w14:textId="77777777" w:rsidR="003F0CDB" w:rsidRPr="00EA0DC7" w:rsidRDefault="003F0CDB" w:rsidP="00A96E13">
            <w:pPr>
              <w:spacing w:line="276" w:lineRule="auto"/>
              <w:jc w:val="center"/>
              <w:rPr>
                <w:rFonts w:eastAsia="Times New Roman" w:cs="Arial"/>
                <w:sz w:val="20"/>
                <w:szCs w:val="20"/>
              </w:rPr>
            </w:pPr>
          </w:p>
        </w:tc>
      </w:tr>
      <w:tr w:rsidR="003F0CDB" w:rsidRPr="00EA0DC7" w14:paraId="0B010E93" w14:textId="77777777" w:rsidTr="00711051">
        <w:trPr>
          <w:trHeight w:val="567"/>
        </w:trPr>
        <w:tc>
          <w:tcPr>
            <w:tcW w:w="1843" w:type="dxa"/>
            <w:tcBorders>
              <w:top w:val="nil"/>
              <w:left w:val="nil"/>
              <w:right w:val="nil"/>
            </w:tcBorders>
            <w:shd w:val="clear" w:color="auto" w:fill="auto"/>
            <w:hideMark/>
          </w:tcPr>
          <w:p w14:paraId="7F8068D0"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Gilbert &amp; Evans (2000)</w:t>
            </w:r>
          </w:p>
        </w:tc>
        <w:tc>
          <w:tcPr>
            <w:tcW w:w="1701" w:type="dxa"/>
            <w:tcBorders>
              <w:top w:val="nil"/>
              <w:left w:val="nil"/>
              <w:right w:val="nil"/>
            </w:tcBorders>
            <w:shd w:val="clear" w:color="auto" w:fill="auto"/>
            <w:noWrap/>
            <w:hideMark/>
          </w:tcPr>
          <w:p w14:paraId="7C41FC61"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0A7C0928"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5377F70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tcPr>
          <w:p w14:paraId="3C4BD96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tcPr>
          <w:p w14:paraId="44DFF772"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right w:val="nil"/>
            </w:tcBorders>
          </w:tcPr>
          <w:p w14:paraId="5F249EA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AE6C555"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222D19DC"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3745C771" w14:textId="77777777" w:rsidR="003F0CDB" w:rsidRPr="00EA0DC7" w:rsidRDefault="003F0CDB" w:rsidP="00A96E13">
            <w:pPr>
              <w:spacing w:line="276" w:lineRule="auto"/>
              <w:jc w:val="center"/>
              <w:rPr>
                <w:rFonts w:eastAsia="Times New Roman" w:cs="Arial"/>
                <w:sz w:val="20"/>
                <w:szCs w:val="20"/>
              </w:rPr>
            </w:pPr>
          </w:p>
        </w:tc>
      </w:tr>
      <w:tr w:rsidR="003F0CDB" w:rsidRPr="00EA0DC7" w14:paraId="4631552F" w14:textId="77777777" w:rsidTr="00711051">
        <w:trPr>
          <w:trHeight w:val="567"/>
        </w:trPr>
        <w:tc>
          <w:tcPr>
            <w:tcW w:w="1843" w:type="dxa"/>
            <w:tcBorders>
              <w:top w:val="nil"/>
              <w:left w:val="nil"/>
              <w:bottom w:val="single" w:sz="4" w:space="0" w:color="auto"/>
              <w:right w:val="nil"/>
            </w:tcBorders>
            <w:shd w:val="clear" w:color="auto" w:fill="auto"/>
            <w:hideMark/>
          </w:tcPr>
          <w:p w14:paraId="4298CCAF"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 xml:space="preserve">Scaife (2001) </w:t>
            </w:r>
          </w:p>
        </w:tc>
        <w:tc>
          <w:tcPr>
            <w:tcW w:w="1701" w:type="dxa"/>
            <w:tcBorders>
              <w:top w:val="nil"/>
              <w:left w:val="nil"/>
              <w:bottom w:val="single" w:sz="4" w:space="0" w:color="auto"/>
              <w:right w:val="nil"/>
            </w:tcBorders>
            <w:shd w:val="clear" w:color="auto" w:fill="auto"/>
            <w:noWrap/>
            <w:hideMark/>
          </w:tcPr>
          <w:p w14:paraId="7AF120A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0F7E80A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shd w:val="clear" w:color="auto" w:fill="auto"/>
            <w:noWrap/>
            <w:hideMark/>
          </w:tcPr>
          <w:p w14:paraId="031A8CB8"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single" w:sz="4" w:space="0" w:color="auto"/>
              <w:right w:val="nil"/>
            </w:tcBorders>
          </w:tcPr>
          <w:p w14:paraId="2C95209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7010586F"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bottom w:val="single" w:sz="4" w:space="0" w:color="auto"/>
              <w:right w:val="nil"/>
            </w:tcBorders>
          </w:tcPr>
          <w:p w14:paraId="3E1D9CC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11143AE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auto"/>
              <w:right w:val="nil"/>
            </w:tcBorders>
          </w:tcPr>
          <w:p w14:paraId="5024D47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bottom w:val="single" w:sz="4" w:space="0" w:color="auto"/>
              <w:right w:val="nil"/>
            </w:tcBorders>
          </w:tcPr>
          <w:p w14:paraId="2FF78836" w14:textId="77777777" w:rsidR="003F0CDB" w:rsidRPr="00EA0DC7" w:rsidRDefault="003F0CDB" w:rsidP="00A96E13">
            <w:pPr>
              <w:spacing w:line="276" w:lineRule="auto"/>
              <w:jc w:val="center"/>
              <w:rPr>
                <w:rFonts w:eastAsia="Times New Roman" w:cs="Arial"/>
                <w:sz w:val="20"/>
                <w:szCs w:val="20"/>
              </w:rPr>
            </w:pPr>
          </w:p>
        </w:tc>
      </w:tr>
    </w:tbl>
    <w:p w14:paraId="77E14D23" w14:textId="77777777" w:rsidR="00711051" w:rsidRPr="00EA0DC7" w:rsidRDefault="00711051" w:rsidP="0070237A">
      <w:pPr>
        <w:spacing w:before="240" w:after="120" w:line="276" w:lineRule="auto"/>
        <w:jc w:val="center"/>
        <w:rPr>
          <w:rFonts w:eastAsia="Times New Roman" w:cs="Arial"/>
          <w:b/>
          <w:bCs/>
          <w:sz w:val="20"/>
          <w:szCs w:val="20"/>
        </w:rPr>
        <w:sectPr w:rsidR="00711051" w:rsidRPr="00EA0DC7" w:rsidSect="00711051">
          <w:pgSz w:w="16838" w:h="11906" w:orient="landscape" w:code="9"/>
          <w:pgMar w:top="1270" w:right="1440" w:bottom="2268" w:left="1440" w:header="709" w:footer="709" w:gutter="0"/>
          <w:cols w:space="708"/>
          <w:docGrid w:linePitch="360"/>
        </w:sectPr>
      </w:pPr>
    </w:p>
    <w:tbl>
      <w:tblPr>
        <w:tblW w:w="14175" w:type="dxa"/>
        <w:tblLayout w:type="fixed"/>
        <w:tblLook w:val="04A0" w:firstRow="1" w:lastRow="0" w:firstColumn="1" w:lastColumn="0" w:noHBand="0" w:noVBand="1"/>
      </w:tblPr>
      <w:tblGrid>
        <w:gridCol w:w="1843"/>
        <w:gridCol w:w="1701"/>
        <w:gridCol w:w="1276"/>
        <w:gridCol w:w="1276"/>
        <w:gridCol w:w="1275"/>
        <w:gridCol w:w="1276"/>
        <w:gridCol w:w="1559"/>
        <w:gridCol w:w="1276"/>
        <w:gridCol w:w="1276"/>
        <w:gridCol w:w="1417"/>
      </w:tblGrid>
      <w:tr w:rsidR="00711051" w:rsidRPr="00EA0DC7" w14:paraId="62EEFCDA" w14:textId="77777777" w:rsidTr="0070237A">
        <w:trPr>
          <w:trHeight w:val="567"/>
        </w:trPr>
        <w:tc>
          <w:tcPr>
            <w:tcW w:w="1843" w:type="dxa"/>
            <w:tcBorders>
              <w:top w:val="single" w:sz="4" w:space="0" w:color="auto"/>
              <w:left w:val="nil"/>
              <w:bottom w:val="single" w:sz="4" w:space="0" w:color="auto"/>
              <w:right w:val="nil"/>
            </w:tcBorders>
            <w:shd w:val="clear" w:color="auto" w:fill="auto"/>
            <w:vAlign w:val="center"/>
          </w:tcPr>
          <w:p w14:paraId="2B3BCC63" w14:textId="310DC23C"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301CCA02"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personal characteristics</w:t>
            </w:r>
          </w:p>
        </w:tc>
        <w:tc>
          <w:tcPr>
            <w:tcW w:w="1276" w:type="dxa"/>
            <w:tcBorders>
              <w:top w:val="single" w:sz="4" w:space="0" w:color="auto"/>
              <w:left w:val="nil"/>
              <w:bottom w:val="single" w:sz="4" w:space="0" w:color="auto"/>
              <w:right w:val="nil"/>
            </w:tcBorders>
            <w:shd w:val="clear" w:color="auto" w:fill="auto"/>
            <w:noWrap/>
            <w:vAlign w:val="center"/>
          </w:tcPr>
          <w:p w14:paraId="5B7E729C"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gender</w:t>
            </w:r>
          </w:p>
        </w:tc>
        <w:tc>
          <w:tcPr>
            <w:tcW w:w="1276" w:type="dxa"/>
            <w:tcBorders>
              <w:top w:val="single" w:sz="4" w:space="0" w:color="auto"/>
              <w:left w:val="nil"/>
              <w:bottom w:val="single" w:sz="4" w:space="0" w:color="auto"/>
              <w:right w:val="nil"/>
            </w:tcBorders>
            <w:shd w:val="clear" w:color="auto" w:fill="auto"/>
            <w:noWrap/>
            <w:vAlign w:val="center"/>
          </w:tcPr>
          <w:p w14:paraId="1CFFBA3E"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ethnicity/ culture</w:t>
            </w:r>
          </w:p>
        </w:tc>
        <w:tc>
          <w:tcPr>
            <w:tcW w:w="1275" w:type="dxa"/>
            <w:tcBorders>
              <w:top w:val="single" w:sz="4" w:space="0" w:color="auto"/>
              <w:left w:val="nil"/>
              <w:bottom w:val="single" w:sz="4" w:space="0" w:color="auto"/>
              <w:right w:val="nil"/>
            </w:tcBorders>
            <w:vAlign w:val="center"/>
          </w:tcPr>
          <w:p w14:paraId="1998A1C3"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anxiety</w:t>
            </w:r>
          </w:p>
        </w:tc>
        <w:tc>
          <w:tcPr>
            <w:tcW w:w="1276" w:type="dxa"/>
            <w:tcBorders>
              <w:top w:val="single" w:sz="4" w:space="0" w:color="auto"/>
              <w:left w:val="nil"/>
              <w:bottom w:val="single" w:sz="4" w:space="0" w:color="auto"/>
              <w:right w:val="nil"/>
            </w:tcBorders>
            <w:vAlign w:val="center"/>
          </w:tcPr>
          <w:p w14:paraId="0F826306"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as authority figure/ expert</w:t>
            </w:r>
          </w:p>
        </w:tc>
        <w:tc>
          <w:tcPr>
            <w:tcW w:w="1559" w:type="dxa"/>
            <w:tcBorders>
              <w:top w:val="single" w:sz="4" w:space="0" w:color="auto"/>
              <w:left w:val="nil"/>
              <w:bottom w:val="single" w:sz="4" w:space="0" w:color="auto"/>
              <w:right w:val="nil"/>
            </w:tcBorders>
            <w:vAlign w:val="center"/>
          </w:tcPr>
          <w:p w14:paraId="181DA4F7"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Development of supervisor</w:t>
            </w:r>
          </w:p>
        </w:tc>
        <w:tc>
          <w:tcPr>
            <w:tcW w:w="1276" w:type="dxa"/>
            <w:tcBorders>
              <w:top w:val="single" w:sz="4" w:space="0" w:color="auto"/>
              <w:left w:val="nil"/>
              <w:bottom w:val="single" w:sz="4" w:space="0" w:color="auto"/>
              <w:right w:val="nil"/>
            </w:tcBorders>
            <w:vAlign w:val="center"/>
          </w:tcPr>
          <w:p w14:paraId="444E4BA8"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has ability to assign clients</w:t>
            </w:r>
          </w:p>
        </w:tc>
        <w:tc>
          <w:tcPr>
            <w:tcW w:w="1276" w:type="dxa"/>
            <w:tcBorders>
              <w:top w:val="single" w:sz="4" w:space="0" w:color="auto"/>
              <w:left w:val="nil"/>
              <w:bottom w:val="single" w:sz="4" w:space="0" w:color="auto"/>
              <w:right w:val="nil"/>
            </w:tcBorders>
            <w:vAlign w:val="center"/>
          </w:tcPr>
          <w:p w14:paraId="0AB94127"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 can take on a variety of roles</w:t>
            </w:r>
          </w:p>
        </w:tc>
        <w:tc>
          <w:tcPr>
            <w:tcW w:w="1417" w:type="dxa"/>
            <w:tcBorders>
              <w:top w:val="single" w:sz="4" w:space="0" w:color="auto"/>
              <w:left w:val="nil"/>
              <w:bottom w:val="single" w:sz="4" w:space="0" w:color="auto"/>
              <w:right w:val="nil"/>
            </w:tcBorders>
            <w:vAlign w:val="center"/>
          </w:tcPr>
          <w:p w14:paraId="000535D6" w14:textId="77777777" w:rsidR="00711051" w:rsidRPr="00EA0DC7" w:rsidRDefault="00711051" w:rsidP="0070237A">
            <w:pPr>
              <w:spacing w:before="240" w:after="120" w:line="276" w:lineRule="auto"/>
              <w:jc w:val="center"/>
              <w:rPr>
                <w:rFonts w:eastAsia="Times New Roman" w:cs="Arial"/>
                <w:b/>
                <w:bCs/>
                <w:sz w:val="20"/>
                <w:szCs w:val="20"/>
              </w:rPr>
            </w:pPr>
            <w:r w:rsidRPr="00EA0DC7">
              <w:rPr>
                <w:rFonts w:eastAsia="Times New Roman" w:cs="Arial"/>
                <w:b/>
                <w:bCs/>
                <w:sz w:val="20"/>
                <w:szCs w:val="20"/>
              </w:rPr>
              <w:t>Supervisors have their own individual styles</w:t>
            </w:r>
          </w:p>
        </w:tc>
      </w:tr>
      <w:tr w:rsidR="003F0CDB" w:rsidRPr="00EA0DC7" w14:paraId="5FFA1561" w14:textId="77777777" w:rsidTr="00711051">
        <w:trPr>
          <w:trHeight w:val="567"/>
        </w:trPr>
        <w:tc>
          <w:tcPr>
            <w:tcW w:w="1843" w:type="dxa"/>
            <w:tcBorders>
              <w:left w:val="nil"/>
              <w:right w:val="nil"/>
            </w:tcBorders>
            <w:shd w:val="clear" w:color="auto" w:fill="auto"/>
            <w:hideMark/>
          </w:tcPr>
          <w:p w14:paraId="6D9DD68B" w14:textId="77777777" w:rsidR="003F0CDB" w:rsidRPr="00EA0DC7" w:rsidRDefault="003F0CDB" w:rsidP="00711051">
            <w:pPr>
              <w:spacing w:before="240" w:line="276" w:lineRule="auto"/>
              <w:jc w:val="left"/>
              <w:rPr>
                <w:rFonts w:eastAsia="Times New Roman" w:cs="Arial"/>
                <w:sz w:val="20"/>
                <w:szCs w:val="20"/>
              </w:rPr>
            </w:pPr>
            <w:r w:rsidRPr="00EA0DC7">
              <w:rPr>
                <w:rFonts w:eastAsia="Times New Roman" w:cs="Arial"/>
                <w:sz w:val="20"/>
                <w:szCs w:val="20"/>
              </w:rPr>
              <w:t>Frawley-O'Dea &amp; Sarnat (2001)</w:t>
            </w:r>
          </w:p>
        </w:tc>
        <w:tc>
          <w:tcPr>
            <w:tcW w:w="1701" w:type="dxa"/>
            <w:tcBorders>
              <w:left w:val="nil"/>
              <w:right w:val="nil"/>
            </w:tcBorders>
            <w:shd w:val="clear" w:color="auto" w:fill="auto"/>
            <w:noWrap/>
            <w:hideMark/>
          </w:tcPr>
          <w:p w14:paraId="5B3C96F8" w14:textId="77777777" w:rsidR="003F0CDB" w:rsidRPr="00EA0DC7" w:rsidRDefault="003F0CDB" w:rsidP="00711051">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shd w:val="clear" w:color="auto" w:fill="auto"/>
            <w:noWrap/>
            <w:hideMark/>
          </w:tcPr>
          <w:p w14:paraId="3E788754"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left w:val="nil"/>
              <w:right w:val="nil"/>
            </w:tcBorders>
            <w:shd w:val="clear" w:color="auto" w:fill="auto"/>
            <w:noWrap/>
            <w:hideMark/>
          </w:tcPr>
          <w:p w14:paraId="30EC7630" w14:textId="77777777" w:rsidR="003F0CDB" w:rsidRPr="00EA0DC7" w:rsidRDefault="003F0CDB" w:rsidP="00711051">
            <w:pPr>
              <w:spacing w:before="240" w:line="276" w:lineRule="auto"/>
              <w:jc w:val="center"/>
              <w:rPr>
                <w:rFonts w:eastAsia="Times New Roman" w:cs="Arial"/>
                <w:sz w:val="20"/>
                <w:szCs w:val="20"/>
              </w:rPr>
            </w:pPr>
          </w:p>
        </w:tc>
        <w:tc>
          <w:tcPr>
            <w:tcW w:w="1275" w:type="dxa"/>
            <w:tcBorders>
              <w:left w:val="nil"/>
              <w:right w:val="nil"/>
            </w:tcBorders>
          </w:tcPr>
          <w:p w14:paraId="7A7ECCA7" w14:textId="77777777" w:rsidR="003F0CDB" w:rsidRPr="00EA0DC7" w:rsidRDefault="003F0CDB" w:rsidP="00711051">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tcPr>
          <w:p w14:paraId="6D7E0BDD" w14:textId="77777777" w:rsidR="003F0CDB" w:rsidRPr="00EA0DC7" w:rsidRDefault="003F0CDB" w:rsidP="00711051">
            <w:pPr>
              <w:spacing w:before="240"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tcPr>
          <w:p w14:paraId="179A1E64"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left w:val="nil"/>
              <w:right w:val="nil"/>
            </w:tcBorders>
          </w:tcPr>
          <w:p w14:paraId="0E8C949C" w14:textId="77777777" w:rsidR="003F0CDB" w:rsidRPr="00EA0DC7" w:rsidRDefault="003F0CDB" w:rsidP="00711051">
            <w:pPr>
              <w:spacing w:before="240" w:line="276" w:lineRule="auto"/>
              <w:jc w:val="center"/>
              <w:rPr>
                <w:rFonts w:eastAsia="Times New Roman" w:cs="Arial"/>
                <w:sz w:val="20"/>
                <w:szCs w:val="20"/>
              </w:rPr>
            </w:pPr>
          </w:p>
        </w:tc>
        <w:tc>
          <w:tcPr>
            <w:tcW w:w="1276" w:type="dxa"/>
            <w:tcBorders>
              <w:left w:val="nil"/>
              <w:right w:val="nil"/>
            </w:tcBorders>
          </w:tcPr>
          <w:p w14:paraId="422DD394" w14:textId="77777777" w:rsidR="003F0CDB" w:rsidRPr="00EA0DC7" w:rsidRDefault="003F0CDB" w:rsidP="00711051">
            <w:pPr>
              <w:spacing w:before="240" w:line="276" w:lineRule="auto"/>
              <w:jc w:val="center"/>
              <w:rPr>
                <w:rFonts w:eastAsia="Times New Roman" w:cs="Arial"/>
                <w:sz w:val="20"/>
                <w:szCs w:val="20"/>
              </w:rPr>
            </w:pPr>
          </w:p>
        </w:tc>
        <w:tc>
          <w:tcPr>
            <w:tcW w:w="1417" w:type="dxa"/>
            <w:tcBorders>
              <w:left w:val="nil"/>
              <w:right w:val="nil"/>
            </w:tcBorders>
          </w:tcPr>
          <w:p w14:paraId="731AA35D" w14:textId="77777777" w:rsidR="003F0CDB" w:rsidRPr="00EA0DC7" w:rsidRDefault="003F0CDB" w:rsidP="00711051">
            <w:pPr>
              <w:spacing w:before="240" w:line="276" w:lineRule="auto"/>
              <w:jc w:val="center"/>
              <w:rPr>
                <w:rFonts w:eastAsia="Times New Roman" w:cs="Arial"/>
                <w:sz w:val="20"/>
                <w:szCs w:val="20"/>
              </w:rPr>
            </w:pPr>
          </w:p>
        </w:tc>
      </w:tr>
      <w:tr w:rsidR="003F0CDB" w:rsidRPr="00EA0DC7" w14:paraId="44DD8357" w14:textId="77777777" w:rsidTr="00711051">
        <w:trPr>
          <w:trHeight w:val="567"/>
        </w:trPr>
        <w:tc>
          <w:tcPr>
            <w:tcW w:w="1843" w:type="dxa"/>
            <w:tcBorders>
              <w:left w:val="nil"/>
              <w:bottom w:val="nil"/>
              <w:right w:val="nil"/>
            </w:tcBorders>
            <w:shd w:val="clear" w:color="auto" w:fill="auto"/>
            <w:hideMark/>
          </w:tcPr>
          <w:p w14:paraId="5E302ABD"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Lee &amp; Everett (2004)</w:t>
            </w:r>
          </w:p>
        </w:tc>
        <w:tc>
          <w:tcPr>
            <w:tcW w:w="1701" w:type="dxa"/>
            <w:tcBorders>
              <w:left w:val="nil"/>
              <w:bottom w:val="nil"/>
              <w:right w:val="nil"/>
            </w:tcBorders>
            <w:shd w:val="clear" w:color="auto" w:fill="auto"/>
            <w:noWrap/>
            <w:hideMark/>
          </w:tcPr>
          <w:p w14:paraId="78E4781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6FDFE59E"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shd w:val="clear" w:color="auto" w:fill="auto"/>
            <w:noWrap/>
            <w:hideMark/>
          </w:tcPr>
          <w:p w14:paraId="7B78C186"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tcPr>
          <w:p w14:paraId="62A53DDE"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78436827"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bottom w:val="nil"/>
              <w:right w:val="nil"/>
            </w:tcBorders>
          </w:tcPr>
          <w:p w14:paraId="4CFF9FB2"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059E4F80"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255CA131" w14:textId="77777777" w:rsidR="003F0CDB" w:rsidRPr="00EA0DC7" w:rsidRDefault="003F0CDB" w:rsidP="00A96E13">
            <w:pPr>
              <w:spacing w:line="276" w:lineRule="auto"/>
              <w:jc w:val="center"/>
              <w:rPr>
                <w:rFonts w:eastAsia="Times New Roman" w:cs="Arial"/>
                <w:sz w:val="20"/>
                <w:szCs w:val="20"/>
              </w:rPr>
            </w:pPr>
          </w:p>
        </w:tc>
        <w:tc>
          <w:tcPr>
            <w:tcW w:w="1417" w:type="dxa"/>
            <w:tcBorders>
              <w:left w:val="nil"/>
              <w:bottom w:val="nil"/>
              <w:right w:val="nil"/>
            </w:tcBorders>
          </w:tcPr>
          <w:p w14:paraId="6DA09769" w14:textId="77777777" w:rsidR="003F0CDB" w:rsidRPr="00EA0DC7" w:rsidRDefault="003F0CDB" w:rsidP="00A96E13">
            <w:pPr>
              <w:spacing w:line="276" w:lineRule="auto"/>
              <w:jc w:val="center"/>
              <w:rPr>
                <w:rFonts w:eastAsia="Times New Roman" w:cs="Arial"/>
                <w:sz w:val="20"/>
                <w:szCs w:val="20"/>
              </w:rPr>
            </w:pPr>
          </w:p>
        </w:tc>
      </w:tr>
      <w:tr w:rsidR="003F0CDB" w:rsidRPr="00EA0DC7" w14:paraId="676EFE1F" w14:textId="77777777" w:rsidTr="00BB2600">
        <w:trPr>
          <w:trHeight w:val="567"/>
        </w:trPr>
        <w:tc>
          <w:tcPr>
            <w:tcW w:w="1843" w:type="dxa"/>
            <w:tcBorders>
              <w:top w:val="nil"/>
              <w:left w:val="nil"/>
              <w:right w:val="nil"/>
            </w:tcBorders>
            <w:shd w:val="clear" w:color="auto" w:fill="auto"/>
            <w:hideMark/>
          </w:tcPr>
          <w:p w14:paraId="0104858A"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Ladany et al. (2005)</w:t>
            </w:r>
          </w:p>
        </w:tc>
        <w:tc>
          <w:tcPr>
            <w:tcW w:w="1701" w:type="dxa"/>
            <w:tcBorders>
              <w:top w:val="nil"/>
              <w:left w:val="nil"/>
              <w:right w:val="nil"/>
            </w:tcBorders>
            <w:shd w:val="clear" w:color="auto" w:fill="auto"/>
            <w:noWrap/>
            <w:hideMark/>
          </w:tcPr>
          <w:p w14:paraId="2583A5F3"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46821233"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shd w:val="clear" w:color="auto" w:fill="auto"/>
            <w:noWrap/>
            <w:hideMark/>
          </w:tcPr>
          <w:p w14:paraId="07011957"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tcPr>
          <w:p w14:paraId="5035E27D"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3E3EC4FB"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right w:val="nil"/>
            </w:tcBorders>
          </w:tcPr>
          <w:p w14:paraId="0917966C"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tcPr>
          <w:p w14:paraId="68F25A6A"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348382A7"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right w:val="nil"/>
            </w:tcBorders>
          </w:tcPr>
          <w:p w14:paraId="34381AF5"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6F380194" w14:textId="77777777" w:rsidTr="00BB2600">
        <w:trPr>
          <w:trHeight w:val="567"/>
        </w:trPr>
        <w:tc>
          <w:tcPr>
            <w:tcW w:w="1843" w:type="dxa"/>
            <w:tcBorders>
              <w:top w:val="nil"/>
              <w:left w:val="nil"/>
              <w:right w:val="nil"/>
            </w:tcBorders>
            <w:shd w:val="clear" w:color="auto" w:fill="auto"/>
            <w:hideMark/>
          </w:tcPr>
          <w:p w14:paraId="2817D24A"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Armstrong &amp; Freeston (2006)</w:t>
            </w:r>
          </w:p>
        </w:tc>
        <w:tc>
          <w:tcPr>
            <w:tcW w:w="1701" w:type="dxa"/>
            <w:tcBorders>
              <w:top w:val="nil"/>
              <w:left w:val="nil"/>
              <w:right w:val="nil"/>
            </w:tcBorders>
            <w:shd w:val="clear" w:color="auto" w:fill="auto"/>
            <w:noWrap/>
            <w:hideMark/>
          </w:tcPr>
          <w:p w14:paraId="34EB315B"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3DD14D0C"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218588CC"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1ADDBFDF"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4816859C"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right w:val="nil"/>
            </w:tcBorders>
          </w:tcPr>
          <w:p w14:paraId="231082F9"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4B7D4101"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F33A632"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right w:val="nil"/>
            </w:tcBorders>
          </w:tcPr>
          <w:p w14:paraId="1B7B960C" w14:textId="77777777" w:rsidR="003F0CDB" w:rsidRPr="00EA0DC7" w:rsidRDefault="003F0CDB" w:rsidP="00A96E13">
            <w:pPr>
              <w:spacing w:line="276" w:lineRule="auto"/>
              <w:jc w:val="center"/>
              <w:rPr>
                <w:rFonts w:eastAsia="Times New Roman" w:cs="Arial"/>
                <w:sz w:val="20"/>
                <w:szCs w:val="20"/>
              </w:rPr>
            </w:pPr>
          </w:p>
        </w:tc>
      </w:tr>
      <w:tr w:rsidR="003F0CDB" w:rsidRPr="00EA0DC7" w14:paraId="2A8B8EB8" w14:textId="77777777" w:rsidTr="00BB2600">
        <w:trPr>
          <w:trHeight w:val="567"/>
        </w:trPr>
        <w:tc>
          <w:tcPr>
            <w:tcW w:w="1843" w:type="dxa"/>
            <w:tcBorders>
              <w:left w:val="nil"/>
              <w:bottom w:val="nil"/>
              <w:right w:val="nil"/>
            </w:tcBorders>
            <w:shd w:val="clear" w:color="auto" w:fill="auto"/>
            <w:hideMark/>
          </w:tcPr>
          <w:p w14:paraId="52A185F2"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Morgan &amp; Sprenkle (2007)</w:t>
            </w:r>
          </w:p>
        </w:tc>
        <w:tc>
          <w:tcPr>
            <w:tcW w:w="1701" w:type="dxa"/>
            <w:tcBorders>
              <w:left w:val="nil"/>
              <w:bottom w:val="nil"/>
              <w:right w:val="nil"/>
            </w:tcBorders>
            <w:shd w:val="clear" w:color="auto" w:fill="auto"/>
            <w:noWrap/>
            <w:hideMark/>
          </w:tcPr>
          <w:p w14:paraId="199C866F"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24DE0AEC"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shd w:val="clear" w:color="auto" w:fill="auto"/>
            <w:noWrap/>
            <w:hideMark/>
          </w:tcPr>
          <w:p w14:paraId="7555B4DB" w14:textId="77777777" w:rsidR="003F0CDB" w:rsidRPr="00EA0DC7" w:rsidRDefault="003F0CDB" w:rsidP="00A96E13">
            <w:pPr>
              <w:spacing w:line="276" w:lineRule="auto"/>
              <w:jc w:val="center"/>
              <w:rPr>
                <w:rFonts w:eastAsia="Times New Roman" w:cs="Arial"/>
                <w:sz w:val="20"/>
                <w:szCs w:val="20"/>
              </w:rPr>
            </w:pPr>
          </w:p>
        </w:tc>
        <w:tc>
          <w:tcPr>
            <w:tcW w:w="1275" w:type="dxa"/>
            <w:tcBorders>
              <w:left w:val="nil"/>
              <w:bottom w:val="nil"/>
              <w:right w:val="nil"/>
            </w:tcBorders>
          </w:tcPr>
          <w:p w14:paraId="74082D71"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78C439DD"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bottom w:val="nil"/>
              <w:right w:val="nil"/>
            </w:tcBorders>
          </w:tcPr>
          <w:p w14:paraId="1AECD031"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09FBB9DA" w14:textId="77777777" w:rsidR="003F0CDB" w:rsidRPr="00EA0DC7" w:rsidRDefault="003F0CDB" w:rsidP="00A96E13">
            <w:pPr>
              <w:spacing w:line="276" w:lineRule="auto"/>
              <w:jc w:val="center"/>
              <w:rPr>
                <w:rFonts w:eastAsia="Times New Roman" w:cs="Arial"/>
                <w:sz w:val="20"/>
                <w:szCs w:val="20"/>
              </w:rPr>
            </w:pPr>
          </w:p>
        </w:tc>
        <w:tc>
          <w:tcPr>
            <w:tcW w:w="1276" w:type="dxa"/>
            <w:tcBorders>
              <w:left w:val="nil"/>
              <w:bottom w:val="nil"/>
              <w:right w:val="nil"/>
            </w:tcBorders>
          </w:tcPr>
          <w:p w14:paraId="19158FB4"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left w:val="nil"/>
              <w:bottom w:val="nil"/>
              <w:right w:val="nil"/>
            </w:tcBorders>
          </w:tcPr>
          <w:p w14:paraId="6B36A602" w14:textId="77777777" w:rsidR="003F0CDB" w:rsidRPr="00EA0DC7" w:rsidRDefault="003F0CDB" w:rsidP="00A96E13">
            <w:pPr>
              <w:spacing w:line="276" w:lineRule="auto"/>
              <w:jc w:val="center"/>
              <w:rPr>
                <w:rFonts w:eastAsia="Times New Roman" w:cs="Arial"/>
                <w:sz w:val="20"/>
                <w:szCs w:val="20"/>
              </w:rPr>
            </w:pPr>
          </w:p>
        </w:tc>
      </w:tr>
      <w:tr w:rsidR="003F0CDB" w:rsidRPr="00EA0DC7" w14:paraId="7D47BDF0" w14:textId="77777777" w:rsidTr="00BB2600">
        <w:trPr>
          <w:trHeight w:val="567"/>
        </w:trPr>
        <w:tc>
          <w:tcPr>
            <w:tcW w:w="1843" w:type="dxa"/>
            <w:tcBorders>
              <w:top w:val="nil"/>
              <w:left w:val="nil"/>
              <w:right w:val="nil"/>
            </w:tcBorders>
            <w:shd w:val="clear" w:color="auto" w:fill="auto"/>
            <w:hideMark/>
          </w:tcPr>
          <w:p w14:paraId="46EEE336"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Inskipp and Proctor (2009)</w:t>
            </w:r>
          </w:p>
        </w:tc>
        <w:tc>
          <w:tcPr>
            <w:tcW w:w="1701" w:type="dxa"/>
            <w:tcBorders>
              <w:top w:val="nil"/>
              <w:left w:val="nil"/>
              <w:right w:val="nil"/>
            </w:tcBorders>
            <w:shd w:val="clear" w:color="auto" w:fill="auto"/>
            <w:noWrap/>
            <w:hideMark/>
          </w:tcPr>
          <w:p w14:paraId="558F7B90"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C842132"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shd w:val="clear" w:color="auto" w:fill="auto"/>
            <w:noWrap/>
            <w:hideMark/>
          </w:tcPr>
          <w:p w14:paraId="73FA6BDA"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right w:val="nil"/>
            </w:tcBorders>
          </w:tcPr>
          <w:p w14:paraId="69089197"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08C63064"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right w:val="nil"/>
            </w:tcBorders>
          </w:tcPr>
          <w:p w14:paraId="363B1A56"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146E1CF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right w:val="nil"/>
            </w:tcBorders>
          </w:tcPr>
          <w:p w14:paraId="5F596999"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right w:val="nil"/>
            </w:tcBorders>
          </w:tcPr>
          <w:p w14:paraId="0434EBD3" w14:textId="77777777" w:rsidR="003F0CDB" w:rsidRPr="00EA0DC7" w:rsidRDefault="003F0CDB" w:rsidP="00A96E13">
            <w:pPr>
              <w:spacing w:line="276" w:lineRule="auto"/>
              <w:jc w:val="center"/>
              <w:rPr>
                <w:rFonts w:eastAsia="Times New Roman" w:cs="Arial"/>
                <w:sz w:val="20"/>
                <w:szCs w:val="20"/>
              </w:rPr>
            </w:pPr>
          </w:p>
        </w:tc>
      </w:tr>
      <w:tr w:rsidR="003F0CDB" w:rsidRPr="00EA0DC7" w14:paraId="6CB8ADEC" w14:textId="77777777" w:rsidTr="00BB2600">
        <w:trPr>
          <w:trHeight w:val="567"/>
        </w:trPr>
        <w:tc>
          <w:tcPr>
            <w:tcW w:w="1843" w:type="dxa"/>
            <w:tcBorders>
              <w:top w:val="nil"/>
              <w:left w:val="nil"/>
              <w:bottom w:val="single" w:sz="4" w:space="0" w:color="000000"/>
              <w:right w:val="nil"/>
            </w:tcBorders>
            <w:shd w:val="clear" w:color="auto" w:fill="auto"/>
            <w:hideMark/>
          </w:tcPr>
          <w:p w14:paraId="444E9A8C" w14:textId="77777777" w:rsidR="003F0CDB" w:rsidRPr="00EA0DC7" w:rsidRDefault="003F0CDB" w:rsidP="00B93C96">
            <w:pPr>
              <w:spacing w:line="276" w:lineRule="auto"/>
              <w:jc w:val="left"/>
              <w:rPr>
                <w:rFonts w:eastAsia="Times New Roman" w:cs="Arial"/>
                <w:sz w:val="20"/>
                <w:szCs w:val="20"/>
              </w:rPr>
            </w:pPr>
            <w:r w:rsidRPr="00EA0DC7">
              <w:rPr>
                <w:rFonts w:eastAsia="Times New Roman" w:cs="Arial"/>
                <w:sz w:val="20"/>
                <w:szCs w:val="20"/>
              </w:rPr>
              <w:t>Page and Wosket (2015)</w:t>
            </w:r>
          </w:p>
        </w:tc>
        <w:tc>
          <w:tcPr>
            <w:tcW w:w="1701" w:type="dxa"/>
            <w:tcBorders>
              <w:top w:val="nil"/>
              <w:left w:val="nil"/>
              <w:bottom w:val="single" w:sz="4" w:space="0" w:color="000000"/>
              <w:right w:val="nil"/>
            </w:tcBorders>
            <w:shd w:val="clear" w:color="auto" w:fill="auto"/>
            <w:noWrap/>
            <w:hideMark/>
          </w:tcPr>
          <w:p w14:paraId="168BB82A" w14:textId="77777777" w:rsidR="003F0CDB" w:rsidRPr="00EA0DC7" w:rsidRDefault="003F0CDB" w:rsidP="00A96E13">
            <w:pPr>
              <w:spacing w:line="276"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single" w:sz="4" w:space="0" w:color="000000"/>
              <w:right w:val="nil"/>
            </w:tcBorders>
            <w:shd w:val="clear" w:color="auto" w:fill="auto"/>
            <w:noWrap/>
            <w:hideMark/>
          </w:tcPr>
          <w:p w14:paraId="0924EBCB"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000000"/>
              <w:right w:val="nil"/>
            </w:tcBorders>
            <w:shd w:val="clear" w:color="auto" w:fill="auto"/>
            <w:noWrap/>
            <w:hideMark/>
          </w:tcPr>
          <w:p w14:paraId="687677A0" w14:textId="77777777" w:rsidR="003F0CDB" w:rsidRPr="00EA0DC7" w:rsidRDefault="003F0CDB" w:rsidP="00A96E13">
            <w:pPr>
              <w:spacing w:line="276" w:lineRule="auto"/>
              <w:jc w:val="center"/>
              <w:rPr>
                <w:rFonts w:eastAsia="Times New Roman" w:cs="Arial"/>
                <w:sz w:val="20"/>
                <w:szCs w:val="20"/>
              </w:rPr>
            </w:pPr>
          </w:p>
        </w:tc>
        <w:tc>
          <w:tcPr>
            <w:tcW w:w="1275" w:type="dxa"/>
            <w:tcBorders>
              <w:top w:val="nil"/>
              <w:left w:val="nil"/>
              <w:bottom w:val="single" w:sz="4" w:space="0" w:color="000000"/>
              <w:right w:val="nil"/>
            </w:tcBorders>
          </w:tcPr>
          <w:p w14:paraId="23D82DC3"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000000"/>
              <w:right w:val="nil"/>
            </w:tcBorders>
          </w:tcPr>
          <w:p w14:paraId="37605640" w14:textId="77777777" w:rsidR="003F0CDB" w:rsidRPr="00EA0DC7" w:rsidRDefault="003F0CDB" w:rsidP="00A96E13">
            <w:pPr>
              <w:spacing w:line="276" w:lineRule="auto"/>
              <w:jc w:val="center"/>
              <w:rPr>
                <w:rFonts w:eastAsia="Times New Roman" w:cs="Arial"/>
                <w:sz w:val="20"/>
                <w:szCs w:val="20"/>
              </w:rPr>
            </w:pPr>
          </w:p>
        </w:tc>
        <w:tc>
          <w:tcPr>
            <w:tcW w:w="1559" w:type="dxa"/>
            <w:tcBorders>
              <w:top w:val="nil"/>
              <w:left w:val="nil"/>
              <w:bottom w:val="single" w:sz="4" w:space="0" w:color="000000"/>
              <w:right w:val="nil"/>
            </w:tcBorders>
          </w:tcPr>
          <w:p w14:paraId="05D9A8E0"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000000"/>
              <w:right w:val="nil"/>
            </w:tcBorders>
          </w:tcPr>
          <w:p w14:paraId="0A3041C4" w14:textId="77777777" w:rsidR="003F0CDB" w:rsidRPr="00EA0DC7" w:rsidRDefault="003F0CDB" w:rsidP="00A96E13">
            <w:pPr>
              <w:spacing w:line="276" w:lineRule="auto"/>
              <w:jc w:val="center"/>
              <w:rPr>
                <w:rFonts w:eastAsia="Times New Roman" w:cs="Arial"/>
                <w:sz w:val="20"/>
                <w:szCs w:val="20"/>
              </w:rPr>
            </w:pPr>
          </w:p>
        </w:tc>
        <w:tc>
          <w:tcPr>
            <w:tcW w:w="1276" w:type="dxa"/>
            <w:tcBorders>
              <w:top w:val="nil"/>
              <w:left w:val="nil"/>
              <w:bottom w:val="single" w:sz="4" w:space="0" w:color="000000"/>
              <w:right w:val="nil"/>
            </w:tcBorders>
          </w:tcPr>
          <w:p w14:paraId="7857AC01" w14:textId="77777777" w:rsidR="003F0CDB" w:rsidRPr="00EA0DC7" w:rsidRDefault="003F0CDB" w:rsidP="00A96E13">
            <w:pPr>
              <w:spacing w:line="276" w:lineRule="auto"/>
              <w:jc w:val="center"/>
              <w:rPr>
                <w:rFonts w:eastAsia="Times New Roman" w:cs="Arial"/>
                <w:sz w:val="20"/>
                <w:szCs w:val="20"/>
              </w:rPr>
            </w:pPr>
          </w:p>
        </w:tc>
        <w:tc>
          <w:tcPr>
            <w:tcW w:w="1417" w:type="dxa"/>
            <w:tcBorders>
              <w:top w:val="nil"/>
              <w:left w:val="nil"/>
              <w:bottom w:val="single" w:sz="4" w:space="0" w:color="000000"/>
              <w:right w:val="nil"/>
            </w:tcBorders>
          </w:tcPr>
          <w:p w14:paraId="566E9E38" w14:textId="77777777" w:rsidR="003F0CDB" w:rsidRPr="00EA0DC7" w:rsidRDefault="003F0CDB" w:rsidP="00A96E13">
            <w:pPr>
              <w:spacing w:line="276" w:lineRule="auto"/>
              <w:jc w:val="center"/>
              <w:rPr>
                <w:rFonts w:eastAsia="Times New Roman" w:cs="Arial"/>
                <w:sz w:val="20"/>
                <w:szCs w:val="20"/>
              </w:rPr>
            </w:pPr>
          </w:p>
        </w:tc>
      </w:tr>
    </w:tbl>
    <w:p w14:paraId="03F51FF0" w14:textId="77777777" w:rsidR="003F0CDB" w:rsidRPr="00EA0DC7" w:rsidRDefault="003F0CDB" w:rsidP="003F0CDB">
      <w:pPr>
        <w:rPr>
          <w:rFonts w:eastAsia="Times New Roman" w:cs="Arial"/>
          <w:szCs w:val="24"/>
        </w:rPr>
        <w:sectPr w:rsidR="003F0CDB" w:rsidRPr="00EA0DC7" w:rsidSect="00711051">
          <w:pgSz w:w="16838" w:h="11906" w:orient="landscape" w:code="9"/>
          <w:pgMar w:top="2268" w:right="1440" w:bottom="1440" w:left="1440" w:header="709" w:footer="709" w:gutter="0"/>
          <w:cols w:space="708"/>
          <w:docGrid w:linePitch="360"/>
        </w:sectPr>
      </w:pPr>
    </w:p>
    <w:tbl>
      <w:tblPr>
        <w:tblW w:w="13779" w:type="dxa"/>
        <w:tblLayout w:type="fixed"/>
        <w:tblLook w:val="04A0" w:firstRow="1" w:lastRow="0" w:firstColumn="1" w:lastColumn="0" w:noHBand="0" w:noVBand="1"/>
      </w:tblPr>
      <w:tblGrid>
        <w:gridCol w:w="1560"/>
        <w:gridCol w:w="1134"/>
        <w:gridCol w:w="992"/>
        <w:gridCol w:w="1275"/>
        <w:gridCol w:w="993"/>
        <w:gridCol w:w="1304"/>
        <w:gridCol w:w="1247"/>
        <w:gridCol w:w="1276"/>
        <w:gridCol w:w="1276"/>
        <w:gridCol w:w="1361"/>
        <w:gridCol w:w="769"/>
        <w:gridCol w:w="592"/>
      </w:tblGrid>
      <w:tr w:rsidR="003F0CDB" w:rsidRPr="00EA0DC7" w14:paraId="698AE2E0" w14:textId="77777777" w:rsidTr="00BC24E2">
        <w:trPr>
          <w:gridAfter w:val="1"/>
          <w:wAfter w:w="592" w:type="dxa"/>
          <w:trHeight w:val="70"/>
          <w:tblHeader/>
        </w:trPr>
        <w:tc>
          <w:tcPr>
            <w:tcW w:w="13187" w:type="dxa"/>
            <w:gridSpan w:val="11"/>
            <w:tcBorders>
              <w:left w:val="nil"/>
              <w:right w:val="nil"/>
            </w:tcBorders>
            <w:shd w:val="clear" w:color="auto" w:fill="auto"/>
            <w:noWrap/>
            <w:vAlign w:val="center"/>
          </w:tcPr>
          <w:p w14:paraId="6DD6EE8F" w14:textId="54027BD2" w:rsidR="003F0CDB" w:rsidRPr="00EA0DC7" w:rsidRDefault="003F0CDB" w:rsidP="00B23505">
            <w:pPr>
              <w:pStyle w:val="Heading2"/>
            </w:pPr>
            <w:bookmarkStart w:id="226" w:name="_Toc23881302"/>
            <w:bookmarkStart w:id="227" w:name="_Toc24548593"/>
            <w:bookmarkStart w:id="228" w:name="_Toc24548696"/>
            <w:bookmarkStart w:id="229" w:name="_Toc47039883"/>
            <w:r w:rsidRPr="00EA0DC7">
              <w:lastRenderedPageBreak/>
              <w:t xml:space="preserve">Appendix </w:t>
            </w:r>
            <w:r w:rsidR="00D247AC" w:rsidRPr="00EA0DC7">
              <w:t>2</w:t>
            </w:r>
            <w:r w:rsidRPr="00EA0DC7">
              <w:t>D</w:t>
            </w:r>
            <w:r w:rsidR="006B3274" w:rsidRPr="00EA0DC7">
              <w:t>. Supervisee aspects focus in supervision models</w:t>
            </w:r>
            <w:bookmarkEnd w:id="226"/>
            <w:bookmarkEnd w:id="227"/>
            <w:bookmarkEnd w:id="228"/>
            <w:bookmarkEnd w:id="229"/>
          </w:p>
        </w:tc>
      </w:tr>
      <w:tr w:rsidR="003F0CDB" w:rsidRPr="00EA0DC7" w14:paraId="67C43218" w14:textId="77777777" w:rsidTr="00BC24E2">
        <w:trPr>
          <w:gridAfter w:val="1"/>
          <w:wAfter w:w="592" w:type="dxa"/>
          <w:trHeight w:val="70"/>
          <w:tblHeader/>
        </w:trPr>
        <w:tc>
          <w:tcPr>
            <w:tcW w:w="13187" w:type="dxa"/>
            <w:gridSpan w:val="11"/>
            <w:tcBorders>
              <w:left w:val="nil"/>
              <w:bottom w:val="single" w:sz="4" w:space="0" w:color="auto"/>
              <w:right w:val="nil"/>
            </w:tcBorders>
            <w:shd w:val="clear" w:color="auto" w:fill="auto"/>
            <w:noWrap/>
            <w:vAlign w:val="center"/>
          </w:tcPr>
          <w:p w14:paraId="102EA031" w14:textId="2CC81994" w:rsidR="003F0CDB" w:rsidRPr="00EA0DC7" w:rsidRDefault="003F0CDB" w:rsidP="00B23505">
            <w:pPr>
              <w:spacing w:line="240" w:lineRule="auto"/>
              <w:rPr>
                <w:rFonts w:eastAsia="Times New Roman" w:cs="Arial"/>
                <w:bCs/>
                <w:szCs w:val="24"/>
              </w:rPr>
            </w:pPr>
            <w:r w:rsidRPr="00EA0DC7">
              <w:rPr>
                <w:rFonts w:eastAsia="Times New Roman" w:cs="Arial"/>
                <w:szCs w:val="24"/>
              </w:rPr>
              <w:t xml:space="preserve">Table </w:t>
            </w:r>
            <w:r w:rsidR="00D247AC" w:rsidRPr="00EA0DC7">
              <w:rPr>
                <w:rFonts w:eastAsia="Times New Roman" w:cs="Arial"/>
                <w:szCs w:val="24"/>
              </w:rPr>
              <w:t>2D</w:t>
            </w:r>
            <w:r w:rsidRPr="00EA0DC7">
              <w:rPr>
                <w:rFonts w:eastAsia="Times New Roman" w:cs="Arial"/>
                <w:szCs w:val="24"/>
              </w:rPr>
              <w:t>. Model focus on supervisee aspects</w:t>
            </w:r>
          </w:p>
        </w:tc>
      </w:tr>
      <w:tr w:rsidR="000C5B7D" w:rsidRPr="00EA0DC7" w14:paraId="1CE175D0" w14:textId="77777777" w:rsidTr="00BC24E2">
        <w:trPr>
          <w:trHeight w:val="1134"/>
          <w:tblHeader/>
        </w:trPr>
        <w:tc>
          <w:tcPr>
            <w:tcW w:w="1560" w:type="dxa"/>
            <w:tcBorders>
              <w:top w:val="single" w:sz="4" w:space="0" w:color="auto"/>
              <w:left w:val="nil"/>
              <w:bottom w:val="single" w:sz="4" w:space="0" w:color="auto"/>
              <w:right w:val="nil"/>
            </w:tcBorders>
            <w:shd w:val="clear" w:color="auto" w:fill="auto"/>
            <w:noWrap/>
            <w:hideMark/>
          </w:tcPr>
          <w:p w14:paraId="6CC2A8B2" w14:textId="77777777" w:rsidR="003F0CDB" w:rsidRPr="00EA0DC7" w:rsidRDefault="003F0CDB" w:rsidP="00B23505">
            <w:pPr>
              <w:spacing w:before="240" w:after="0" w:line="240" w:lineRule="auto"/>
              <w:jc w:val="center"/>
              <w:rPr>
                <w:rFonts w:eastAsia="Times New Roman" w:cs="Arial"/>
                <w:bCs/>
                <w:sz w:val="18"/>
                <w:szCs w:val="18"/>
              </w:rPr>
            </w:pPr>
          </w:p>
        </w:tc>
        <w:tc>
          <w:tcPr>
            <w:tcW w:w="1134" w:type="dxa"/>
            <w:tcBorders>
              <w:top w:val="single" w:sz="4" w:space="0" w:color="auto"/>
              <w:left w:val="nil"/>
              <w:bottom w:val="single" w:sz="4" w:space="0" w:color="auto"/>
              <w:right w:val="nil"/>
            </w:tcBorders>
            <w:shd w:val="clear" w:color="auto" w:fill="auto"/>
            <w:vAlign w:val="center"/>
            <w:hideMark/>
          </w:tcPr>
          <w:p w14:paraId="02CE96AD" w14:textId="7D071B91"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w:t>
            </w:r>
            <w:r w:rsidR="00FC5C80" w:rsidRPr="00EA0DC7">
              <w:rPr>
                <w:rFonts w:eastAsia="Times New Roman" w:cs="Arial"/>
                <w:b/>
                <w:bCs/>
                <w:sz w:val="18"/>
                <w:szCs w:val="18"/>
              </w:rPr>
              <w:t>vis</w:t>
            </w:r>
            <w:r w:rsidR="00BC24E2" w:rsidRPr="00EA0DC7">
              <w:rPr>
                <w:rFonts w:eastAsia="Times New Roman" w:cs="Arial"/>
                <w:b/>
                <w:bCs/>
                <w:sz w:val="18"/>
                <w:szCs w:val="18"/>
              </w:rPr>
              <w:t>-</w:t>
            </w:r>
            <w:r w:rsidR="00FC5C80" w:rsidRPr="00EA0DC7">
              <w:rPr>
                <w:rFonts w:eastAsia="Times New Roman" w:cs="Arial"/>
                <w:b/>
                <w:bCs/>
                <w:sz w:val="18"/>
                <w:szCs w:val="18"/>
              </w:rPr>
              <w:t>ee's personal character</w:t>
            </w:r>
            <w:r w:rsidR="00BC24E2" w:rsidRPr="00EA0DC7">
              <w:rPr>
                <w:rFonts w:eastAsia="Times New Roman" w:cs="Arial"/>
                <w:b/>
                <w:bCs/>
                <w:sz w:val="18"/>
                <w:szCs w:val="18"/>
              </w:rPr>
              <w:t>-</w:t>
            </w:r>
            <w:r w:rsidR="00FC5C80" w:rsidRPr="00EA0DC7">
              <w:rPr>
                <w:rFonts w:eastAsia="Times New Roman" w:cs="Arial"/>
                <w:b/>
                <w:bCs/>
                <w:sz w:val="18"/>
                <w:szCs w:val="18"/>
              </w:rPr>
              <w:t>is</w:t>
            </w:r>
            <w:r w:rsidRPr="00EA0DC7">
              <w:rPr>
                <w:rFonts w:eastAsia="Times New Roman" w:cs="Arial"/>
                <w:b/>
                <w:bCs/>
                <w:sz w:val="18"/>
                <w:szCs w:val="18"/>
              </w:rPr>
              <w:t>tics</w:t>
            </w:r>
          </w:p>
        </w:tc>
        <w:tc>
          <w:tcPr>
            <w:tcW w:w="992" w:type="dxa"/>
            <w:tcBorders>
              <w:top w:val="single" w:sz="4" w:space="0" w:color="auto"/>
              <w:left w:val="nil"/>
              <w:bottom w:val="single" w:sz="4" w:space="0" w:color="auto"/>
              <w:right w:val="nil"/>
            </w:tcBorders>
            <w:shd w:val="clear" w:color="auto" w:fill="auto"/>
            <w:vAlign w:val="center"/>
            <w:hideMark/>
          </w:tcPr>
          <w:p w14:paraId="4A770E70" w14:textId="6E9C88D9"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BC24E2" w:rsidRPr="00EA0DC7">
              <w:rPr>
                <w:rFonts w:eastAsia="Times New Roman" w:cs="Arial"/>
                <w:b/>
                <w:bCs/>
                <w:sz w:val="18"/>
                <w:szCs w:val="18"/>
              </w:rPr>
              <w:t>-</w:t>
            </w:r>
            <w:r w:rsidRPr="00EA0DC7">
              <w:rPr>
                <w:rFonts w:eastAsia="Times New Roman" w:cs="Arial"/>
                <w:b/>
                <w:bCs/>
                <w:sz w:val="18"/>
                <w:szCs w:val="18"/>
              </w:rPr>
              <w:t>see gender</w:t>
            </w:r>
          </w:p>
        </w:tc>
        <w:tc>
          <w:tcPr>
            <w:tcW w:w="1275" w:type="dxa"/>
            <w:tcBorders>
              <w:top w:val="single" w:sz="4" w:space="0" w:color="auto"/>
              <w:left w:val="nil"/>
              <w:bottom w:val="single" w:sz="4" w:space="0" w:color="auto"/>
              <w:right w:val="nil"/>
            </w:tcBorders>
            <w:shd w:val="clear" w:color="auto" w:fill="auto"/>
            <w:vAlign w:val="center"/>
            <w:hideMark/>
          </w:tcPr>
          <w:p w14:paraId="5471C33E" w14:textId="77777777"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ethnicity/ culture</w:t>
            </w:r>
          </w:p>
        </w:tc>
        <w:tc>
          <w:tcPr>
            <w:tcW w:w="993" w:type="dxa"/>
            <w:tcBorders>
              <w:top w:val="single" w:sz="4" w:space="0" w:color="auto"/>
              <w:left w:val="nil"/>
              <w:bottom w:val="single" w:sz="4" w:space="0" w:color="auto"/>
              <w:right w:val="nil"/>
            </w:tcBorders>
            <w:vAlign w:val="center"/>
          </w:tcPr>
          <w:p w14:paraId="2B5C093A" w14:textId="2ED5DE5F"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BC24E2" w:rsidRPr="00EA0DC7">
              <w:rPr>
                <w:rFonts w:eastAsia="Times New Roman" w:cs="Arial"/>
                <w:b/>
                <w:bCs/>
                <w:sz w:val="18"/>
                <w:szCs w:val="18"/>
              </w:rPr>
              <w:t>-</w:t>
            </w:r>
            <w:r w:rsidRPr="00EA0DC7">
              <w:rPr>
                <w:rFonts w:eastAsia="Times New Roman" w:cs="Arial"/>
                <w:b/>
                <w:bCs/>
                <w:sz w:val="18"/>
                <w:szCs w:val="18"/>
              </w:rPr>
              <w:t>see anxiety</w:t>
            </w:r>
          </w:p>
        </w:tc>
        <w:tc>
          <w:tcPr>
            <w:tcW w:w="1304" w:type="dxa"/>
            <w:tcBorders>
              <w:top w:val="single" w:sz="4" w:space="0" w:color="auto"/>
              <w:left w:val="nil"/>
              <w:bottom w:val="single" w:sz="4" w:space="0" w:color="auto"/>
              <w:right w:val="nil"/>
            </w:tcBorders>
            <w:vAlign w:val="center"/>
          </w:tcPr>
          <w:p w14:paraId="04DAB889" w14:textId="0C715DF3" w:rsidR="003F0CDB" w:rsidRPr="00EA0DC7" w:rsidRDefault="00711051"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motivation</w:t>
            </w:r>
          </w:p>
        </w:tc>
        <w:tc>
          <w:tcPr>
            <w:tcW w:w="1247" w:type="dxa"/>
            <w:tcBorders>
              <w:top w:val="single" w:sz="4" w:space="0" w:color="auto"/>
              <w:left w:val="nil"/>
              <w:bottom w:val="single" w:sz="4" w:space="0" w:color="auto"/>
              <w:right w:val="nil"/>
            </w:tcBorders>
            <w:vAlign w:val="center"/>
          </w:tcPr>
          <w:p w14:paraId="55E617AA" w14:textId="3765D07E"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autonomy vs dependen</w:t>
            </w:r>
            <w:r w:rsidR="00BC24E2" w:rsidRPr="00EA0DC7">
              <w:rPr>
                <w:rFonts w:eastAsia="Times New Roman" w:cs="Arial"/>
                <w:b/>
                <w:bCs/>
                <w:sz w:val="18"/>
                <w:szCs w:val="18"/>
              </w:rPr>
              <w:t>-</w:t>
            </w:r>
            <w:r w:rsidRPr="00EA0DC7">
              <w:rPr>
                <w:rFonts w:eastAsia="Times New Roman" w:cs="Arial"/>
                <w:b/>
                <w:bCs/>
                <w:sz w:val="18"/>
                <w:szCs w:val="18"/>
              </w:rPr>
              <w:t>cy</w:t>
            </w:r>
          </w:p>
        </w:tc>
        <w:tc>
          <w:tcPr>
            <w:tcW w:w="1276" w:type="dxa"/>
            <w:tcBorders>
              <w:top w:val="single" w:sz="4" w:space="0" w:color="auto"/>
              <w:left w:val="nil"/>
              <w:bottom w:val="single" w:sz="4" w:space="0" w:color="auto"/>
              <w:right w:val="nil"/>
            </w:tcBorders>
            <w:vAlign w:val="center"/>
          </w:tcPr>
          <w:p w14:paraId="7726C1ED" w14:textId="77777777"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awareness of self and/or others</w:t>
            </w:r>
          </w:p>
        </w:tc>
        <w:tc>
          <w:tcPr>
            <w:tcW w:w="1276" w:type="dxa"/>
            <w:tcBorders>
              <w:top w:val="single" w:sz="4" w:space="0" w:color="auto"/>
              <w:left w:val="nil"/>
              <w:bottom w:val="single" w:sz="4" w:space="0" w:color="auto"/>
              <w:right w:val="nil"/>
            </w:tcBorders>
            <w:vAlign w:val="center"/>
          </w:tcPr>
          <w:p w14:paraId="24EA93E4" w14:textId="1CEE03A0"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Developm</w:t>
            </w:r>
            <w:r w:rsidR="00BC24E2" w:rsidRPr="00EA0DC7">
              <w:rPr>
                <w:rFonts w:eastAsia="Times New Roman" w:cs="Arial"/>
                <w:b/>
                <w:bCs/>
                <w:sz w:val="18"/>
                <w:szCs w:val="18"/>
              </w:rPr>
              <w:t>-</w:t>
            </w:r>
            <w:r w:rsidRPr="00EA0DC7">
              <w:rPr>
                <w:rFonts w:eastAsia="Times New Roman" w:cs="Arial"/>
                <w:b/>
                <w:bCs/>
                <w:sz w:val="18"/>
                <w:szCs w:val="18"/>
              </w:rPr>
              <w:t>ent of supervisee</w:t>
            </w:r>
          </w:p>
        </w:tc>
        <w:tc>
          <w:tcPr>
            <w:tcW w:w="1361" w:type="dxa"/>
            <w:tcBorders>
              <w:top w:val="single" w:sz="4" w:space="0" w:color="auto"/>
              <w:left w:val="nil"/>
              <w:bottom w:val="single" w:sz="4" w:space="0" w:color="auto"/>
              <w:right w:val="nil"/>
            </w:tcBorders>
            <w:vAlign w:val="center"/>
          </w:tcPr>
          <w:p w14:paraId="56384FCB" w14:textId="77777777"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individual learning styles</w:t>
            </w:r>
          </w:p>
        </w:tc>
        <w:tc>
          <w:tcPr>
            <w:tcW w:w="1361" w:type="dxa"/>
            <w:gridSpan w:val="2"/>
            <w:tcBorders>
              <w:top w:val="single" w:sz="4" w:space="0" w:color="auto"/>
              <w:left w:val="nil"/>
              <w:bottom w:val="single" w:sz="4" w:space="0" w:color="auto"/>
              <w:right w:val="nil"/>
            </w:tcBorders>
            <w:vAlign w:val="center"/>
          </w:tcPr>
          <w:p w14:paraId="495A00E7" w14:textId="77777777" w:rsidR="003F0CDB" w:rsidRPr="00EA0DC7" w:rsidRDefault="003F0CDB" w:rsidP="00B23505">
            <w:pPr>
              <w:spacing w:before="240" w:line="240" w:lineRule="auto"/>
              <w:jc w:val="center"/>
              <w:rPr>
                <w:rFonts w:eastAsia="Times New Roman" w:cs="Arial"/>
                <w:b/>
                <w:bCs/>
                <w:sz w:val="18"/>
                <w:szCs w:val="18"/>
              </w:rPr>
            </w:pPr>
            <w:r w:rsidRPr="00EA0DC7">
              <w:rPr>
                <w:rFonts w:eastAsia="Times New Roman" w:cs="Arial"/>
                <w:b/>
                <w:bCs/>
                <w:sz w:val="18"/>
                <w:szCs w:val="18"/>
              </w:rPr>
              <w:t>Supervisee can take on variety of roles</w:t>
            </w:r>
          </w:p>
        </w:tc>
      </w:tr>
      <w:tr w:rsidR="000C5B7D" w:rsidRPr="00EA0DC7" w14:paraId="11224B9B" w14:textId="77777777" w:rsidTr="00BC24E2">
        <w:trPr>
          <w:trHeight w:val="1087"/>
          <w:tblHeader/>
        </w:trPr>
        <w:tc>
          <w:tcPr>
            <w:tcW w:w="1560" w:type="dxa"/>
            <w:tcBorders>
              <w:top w:val="single" w:sz="4" w:space="0" w:color="auto"/>
              <w:left w:val="nil"/>
              <w:right w:val="nil"/>
              <w:tl2br w:val="single" w:sz="4" w:space="0" w:color="auto"/>
            </w:tcBorders>
            <w:shd w:val="clear" w:color="auto" w:fill="auto"/>
            <w:hideMark/>
          </w:tcPr>
          <w:p w14:paraId="10716284" w14:textId="77777777" w:rsidR="003F0CDB" w:rsidRPr="00EA0DC7" w:rsidRDefault="003F0CDB" w:rsidP="00B23505">
            <w:pPr>
              <w:spacing w:before="240" w:after="0" w:line="240" w:lineRule="auto"/>
              <w:jc w:val="right"/>
              <w:rPr>
                <w:rFonts w:eastAsia="Times New Roman" w:cs="Arial"/>
                <w:b/>
                <w:sz w:val="18"/>
                <w:szCs w:val="18"/>
              </w:rPr>
            </w:pPr>
            <w:r w:rsidRPr="00EA0DC7">
              <w:rPr>
                <w:rFonts w:eastAsia="Times New Roman" w:cs="Arial"/>
                <w:b/>
                <w:sz w:val="18"/>
                <w:szCs w:val="18"/>
              </w:rPr>
              <w:t xml:space="preserve">     No. of                      models</w:t>
            </w:r>
          </w:p>
          <w:p w14:paraId="68DD0D09" w14:textId="3EE50FDD" w:rsidR="003F0CDB" w:rsidRPr="00EA0DC7" w:rsidRDefault="003F0CDB" w:rsidP="00B23505">
            <w:pPr>
              <w:spacing w:after="0" w:line="240" w:lineRule="auto"/>
              <w:jc w:val="right"/>
              <w:rPr>
                <w:rFonts w:eastAsia="Times New Roman" w:cs="Arial"/>
                <w:b/>
                <w:sz w:val="18"/>
                <w:szCs w:val="18"/>
              </w:rPr>
            </w:pPr>
            <w:r w:rsidRPr="00EA0DC7">
              <w:rPr>
                <w:rFonts w:eastAsia="Times New Roman" w:cs="Arial"/>
                <w:b/>
                <w:sz w:val="18"/>
                <w:szCs w:val="18"/>
              </w:rPr>
              <w:t xml:space="preserve">                   with</w:t>
            </w:r>
          </w:p>
          <w:p w14:paraId="0349FD1F" w14:textId="77777777" w:rsidR="003F0CDB" w:rsidRPr="00EA0DC7" w:rsidRDefault="003F0CDB" w:rsidP="00B23505">
            <w:pPr>
              <w:spacing w:after="0" w:line="240" w:lineRule="auto"/>
              <w:jc w:val="right"/>
              <w:rPr>
                <w:rFonts w:eastAsia="Times New Roman" w:cs="Arial"/>
                <w:b/>
                <w:sz w:val="18"/>
                <w:szCs w:val="18"/>
              </w:rPr>
            </w:pPr>
            <w:r w:rsidRPr="00EA0DC7">
              <w:rPr>
                <w:rFonts w:eastAsia="Times New Roman" w:cs="Arial"/>
                <w:b/>
                <w:sz w:val="18"/>
                <w:szCs w:val="18"/>
              </w:rPr>
              <w:t xml:space="preserve">             element</w:t>
            </w:r>
          </w:p>
          <w:p w14:paraId="4880427D" w14:textId="77777777" w:rsidR="003F0CDB" w:rsidRPr="00EA0DC7" w:rsidRDefault="003F0CDB" w:rsidP="00B23505">
            <w:pPr>
              <w:spacing w:after="0" w:line="240" w:lineRule="auto"/>
              <w:jc w:val="right"/>
              <w:rPr>
                <w:rFonts w:eastAsia="Times New Roman" w:cs="Arial"/>
                <w:b/>
                <w:bCs/>
                <w:sz w:val="18"/>
                <w:szCs w:val="18"/>
              </w:rPr>
            </w:pPr>
          </w:p>
          <w:p w14:paraId="7B83800A" w14:textId="77777777" w:rsidR="003F0CDB" w:rsidRPr="00EA0DC7" w:rsidRDefault="003F0CDB" w:rsidP="00B23505">
            <w:pPr>
              <w:spacing w:after="0" w:line="240" w:lineRule="auto"/>
              <w:rPr>
                <w:rFonts w:eastAsia="Times New Roman" w:cs="Arial"/>
                <w:b/>
                <w:bCs/>
                <w:sz w:val="18"/>
                <w:szCs w:val="18"/>
              </w:rPr>
            </w:pPr>
            <w:r w:rsidRPr="00EA0DC7">
              <w:rPr>
                <w:rFonts w:eastAsia="Times New Roman" w:cs="Arial"/>
                <w:b/>
                <w:bCs/>
                <w:sz w:val="18"/>
                <w:szCs w:val="18"/>
              </w:rPr>
              <w:t xml:space="preserve">Model/ </w:t>
            </w:r>
          </w:p>
          <w:p w14:paraId="7ED3ED2D" w14:textId="77777777" w:rsidR="003F0CDB" w:rsidRPr="00EA0DC7" w:rsidRDefault="003F0CDB" w:rsidP="00B23505">
            <w:pPr>
              <w:spacing w:line="240" w:lineRule="auto"/>
              <w:rPr>
                <w:rFonts w:eastAsia="Times New Roman" w:cs="Arial"/>
                <w:bCs/>
                <w:sz w:val="18"/>
                <w:szCs w:val="18"/>
              </w:rPr>
            </w:pPr>
            <w:r w:rsidRPr="00EA0DC7">
              <w:rPr>
                <w:rFonts w:eastAsia="Times New Roman" w:cs="Arial"/>
                <w:b/>
                <w:bCs/>
                <w:sz w:val="18"/>
                <w:szCs w:val="18"/>
              </w:rPr>
              <w:t>approach</w:t>
            </w:r>
          </w:p>
        </w:tc>
        <w:tc>
          <w:tcPr>
            <w:tcW w:w="1134" w:type="dxa"/>
            <w:tcBorders>
              <w:top w:val="single" w:sz="4" w:space="0" w:color="auto"/>
              <w:left w:val="nil"/>
              <w:right w:val="nil"/>
            </w:tcBorders>
            <w:shd w:val="clear" w:color="auto" w:fill="auto"/>
            <w:vAlign w:val="center"/>
            <w:hideMark/>
          </w:tcPr>
          <w:p w14:paraId="233EC6C5"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38</w:t>
            </w:r>
          </w:p>
          <w:p w14:paraId="3A5C2AF0"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(73.08%)</w:t>
            </w:r>
          </w:p>
        </w:tc>
        <w:tc>
          <w:tcPr>
            <w:tcW w:w="992" w:type="dxa"/>
            <w:tcBorders>
              <w:top w:val="single" w:sz="4" w:space="0" w:color="auto"/>
              <w:left w:val="nil"/>
              <w:right w:val="nil"/>
            </w:tcBorders>
            <w:shd w:val="clear" w:color="auto" w:fill="auto"/>
            <w:vAlign w:val="center"/>
            <w:hideMark/>
          </w:tcPr>
          <w:p w14:paraId="7CE81BF1"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18</w:t>
            </w:r>
          </w:p>
          <w:p w14:paraId="6F84D5D3"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(34.62%)</w:t>
            </w:r>
          </w:p>
        </w:tc>
        <w:tc>
          <w:tcPr>
            <w:tcW w:w="1275" w:type="dxa"/>
            <w:tcBorders>
              <w:top w:val="single" w:sz="4" w:space="0" w:color="auto"/>
              <w:left w:val="nil"/>
              <w:right w:val="nil"/>
            </w:tcBorders>
            <w:shd w:val="clear" w:color="auto" w:fill="auto"/>
            <w:vAlign w:val="center"/>
            <w:hideMark/>
          </w:tcPr>
          <w:p w14:paraId="560BE16F"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13</w:t>
            </w:r>
          </w:p>
          <w:p w14:paraId="20D43AD0"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(25%)</w:t>
            </w:r>
          </w:p>
        </w:tc>
        <w:tc>
          <w:tcPr>
            <w:tcW w:w="993" w:type="dxa"/>
            <w:tcBorders>
              <w:top w:val="single" w:sz="4" w:space="0" w:color="auto"/>
              <w:left w:val="nil"/>
              <w:right w:val="nil"/>
            </w:tcBorders>
            <w:vAlign w:val="center"/>
          </w:tcPr>
          <w:p w14:paraId="08E10F17"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23</w:t>
            </w:r>
          </w:p>
          <w:p w14:paraId="3D0C8A72"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(44.23%)</w:t>
            </w:r>
          </w:p>
        </w:tc>
        <w:tc>
          <w:tcPr>
            <w:tcW w:w="1304" w:type="dxa"/>
            <w:tcBorders>
              <w:top w:val="single" w:sz="4" w:space="0" w:color="auto"/>
              <w:left w:val="nil"/>
              <w:right w:val="nil"/>
            </w:tcBorders>
            <w:vAlign w:val="center"/>
          </w:tcPr>
          <w:p w14:paraId="25280DE2"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10</w:t>
            </w:r>
          </w:p>
          <w:p w14:paraId="0CA9621C"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(19.23%)</w:t>
            </w:r>
          </w:p>
        </w:tc>
        <w:tc>
          <w:tcPr>
            <w:tcW w:w="1247" w:type="dxa"/>
            <w:tcBorders>
              <w:top w:val="single" w:sz="4" w:space="0" w:color="auto"/>
              <w:left w:val="nil"/>
              <w:right w:val="nil"/>
            </w:tcBorders>
            <w:vAlign w:val="center"/>
          </w:tcPr>
          <w:p w14:paraId="592578D4"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12</w:t>
            </w:r>
          </w:p>
          <w:p w14:paraId="0D9940C0"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(23.08%)</w:t>
            </w:r>
          </w:p>
        </w:tc>
        <w:tc>
          <w:tcPr>
            <w:tcW w:w="1276" w:type="dxa"/>
            <w:tcBorders>
              <w:top w:val="single" w:sz="4" w:space="0" w:color="auto"/>
              <w:left w:val="nil"/>
              <w:right w:val="nil"/>
            </w:tcBorders>
            <w:vAlign w:val="center"/>
          </w:tcPr>
          <w:p w14:paraId="4B55B029"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15</w:t>
            </w:r>
          </w:p>
          <w:p w14:paraId="3153E764"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(28.85%)</w:t>
            </w:r>
          </w:p>
        </w:tc>
        <w:tc>
          <w:tcPr>
            <w:tcW w:w="1276" w:type="dxa"/>
            <w:tcBorders>
              <w:top w:val="single" w:sz="4" w:space="0" w:color="auto"/>
              <w:left w:val="nil"/>
              <w:right w:val="nil"/>
            </w:tcBorders>
            <w:vAlign w:val="center"/>
          </w:tcPr>
          <w:p w14:paraId="7AE0C0A4"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29</w:t>
            </w:r>
          </w:p>
          <w:p w14:paraId="1B4B4133"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(55.77%)</w:t>
            </w:r>
          </w:p>
        </w:tc>
        <w:tc>
          <w:tcPr>
            <w:tcW w:w="1361" w:type="dxa"/>
            <w:tcBorders>
              <w:top w:val="single" w:sz="4" w:space="0" w:color="auto"/>
              <w:left w:val="nil"/>
              <w:right w:val="nil"/>
            </w:tcBorders>
            <w:vAlign w:val="center"/>
          </w:tcPr>
          <w:p w14:paraId="3111117A"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12</w:t>
            </w:r>
          </w:p>
          <w:p w14:paraId="76D847E3"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(23.08%)</w:t>
            </w:r>
          </w:p>
        </w:tc>
        <w:tc>
          <w:tcPr>
            <w:tcW w:w="1361" w:type="dxa"/>
            <w:gridSpan w:val="2"/>
            <w:tcBorders>
              <w:top w:val="single" w:sz="4" w:space="0" w:color="auto"/>
              <w:left w:val="nil"/>
              <w:right w:val="nil"/>
            </w:tcBorders>
            <w:vAlign w:val="center"/>
          </w:tcPr>
          <w:p w14:paraId="624AD61C"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6</w:t>
            </w:r>
          </w:p>
          <w:p w14:paraId="6C04D9BE" w14:textId="77777777" w:rsidR="003F0CDB" w:rsidRPr="00EA0DC7" w:rsidRDefault="003F0CDB" w:rsidP="00B23505">
            <w:pPr>
              <w:spacing w:after="0" w:line="240" w:lineRule="auto"/>
              <w:jc w:val="center"/>
              <w:rPr>
                <w:rFonts w:eastAsia="Times New Roman" w:cs="Arial"/>
                <w:sz w:val="18"/>
                <w:szCs w:val="18"/>
              </w:rPr>
            </w:pPr>
            <w:r w:rsidRPr="00EA0DC7">
              <w:rPr>
                <w:rFonts w:eastAsia="Times New Roman" w:cs="Arial"/>
                <w:sz w:val="18"/>
                <w:szCs w:val="18"/>
              </w:rPr>
              <w:t>(11.54%)</w:t>
            </w:r>
          </w:p>
        </w:tc>
      </w:tr>
      <w:tr w:rsidR="000C5B7D" w:rsidRPr="00EA0DC7" w14:paraId="12F12228" w14:textId="77777777" w:rsidTr="00BC24E2">
        <w:trPr>
          <w:trHeight w:val="283"/>
          <w:tblHeader/>
        </w:trPr>
        <w:tc>
          <w:tcPr>
            <w:tcW w:w="1560" w:type="dxa"/>
            <w:tcBorders>
              <w:left w:val="nil"/>
              <w:bottom w:val="nil"/>
              <w:right w:val="nil"/>
            </w:tcBorders>
            <w:shd w:val="clear" w:color="auto" w:fill="auto"/>
            <w:hideMark/>
          </w:tcPr>
          <w:p w14:paraId="6BBB3D44" w14:textId="77777777" w:rsidR="003F0CDB" w:rsidRPr="00EA0DC7" w:rsidRDefault="003F0CDB" w:rsidP="00A97F7E">
            <w:pPr>
              <w:spacing w:before="240" w:line="240" w:lineRule="auto"/>
              <w:jc w:val="left"/>
              <w:rPr>
                <w:rFonts w:eastAsia="Times New Roman" w:cs="Arial"/>
                <w:sz w:val="18"/>
                <w:szCs w:val="18"/>
              </w:rPr>
            </w:pPr>
            <w:r w:rsidRPr="00EA0DC7">
              <w:rPr>
                <w:rFonts w:eastAsia="Times New Roman" w:cs="Arial"/>
                <w:sz w:val="18"/>
                <w:szCs w:val="18"/>
              </w:rPr>
              <w:t>Hogan (1964)</w:t>
            </w:r>
          </w:p>
        </w:tc>
        <w:tc>
          <w:tcPr>
            <w:tcW w:w="1134" w:type="dxa"/>
            <w:tcBorders>
              <w:left w:val="nil"/>
              <w:bottom w:val="nil"/>
              <w:right w:val="nil"/>
            </w:tcBorders>
            <w:shd w:val="clear" w:color="auto" w:fill="auto"/>
            <w:noWrap/>
            <w:hideMark/>
          </w:tcPr>
          <w:p w14:paraId="092A503E" w14:textId="77777777" w:rsidR="003F0CDB" w:rsidRPr="00EA0DC7" w:rsidRDefault="003F0CDB" w:rsidP="00A97F7E">
            <w:pPr>
              <w:spacing w:before="240" w:line="240" w:lineRule="auto"/>
              <w:jc w:val="center"/>
              <w:rPr>
                <w:rFonts w:eastAsia="Times New Roman" w:cs="Arial"/>
                <w:sz w:val="18"/>
                <w:szCs w:val="18"/>
              </w:rPr>
            </w:pPr>
          </w:p>
        </w:tc>
        <w:tc>
          <w:tcPr>
            <w:tcW w:w="992" w:type="dxa"/>
            <w:tcBorders>
              <w:left w:val="nil"/>
              <w:bottom w:val="nil"/>
              <w:right w:val="nil"/>
            </w:tcBorders>
            <w:shd w:val="clear" w:color="auto" w:fill="auto"/>
            <w:noWrap/>
            <w:hideMark/>
          </w:tcPr>
          <w:p w14:paraId="37551BC9" w14:textId="77777777" w:rsidR="003F0CDB" w:rsidRPr="00EA0DC7" w:rsidRDefault="003F0CDB" w:rsidP="00A97F7E">
            <w:pPr>
              <w:spacing w:before="240" w:line="240" w:lineRule="auto"/>
              <w:jc w:val="center"/>
              <w:rPr>
                <w:rFonts w:eastAsia="Times New Roman" w:cs="Arial"/>
                <w:sz w:val="18"/>
                <w:szCs w:val="18"/>
              </w:rPr>
            </w:pPr>
          </w:p>
        </w:tc>
        <w:tc>
          <w:tcPr>
            <w:tcW w:w="1275" w:type="dxa"/>
            <w:tcBorders>
              <w:left w:val="nil"/>
              <w:bottom w:val="nil"/>
              <w:right w:val="nil"/>
            </w:tcBorders>
            <w:shd w:val="clear" w:color="auto" w:fill="auto"/>
            <w:noWrap/>
            <w:hideMark/>
          </w:tcPr>
          <w:p w14:paraId="5717CFE0" w14:textId="77777777" w:rsidR="003F0CDB" w:rsidRPr="00EA0DC7" w:rsidRDefault="003F0CDB" w:rsidP="00A97F7E">
            <w:pPr>
              <w:spacing w:before="240" w:line="240" w:lineRule="auto"/>
              <w:jc w:val="center"/>
              <w:rPr>
                <w:rFonts w:eastAsia="Times New Roman" w:cs="Arial"/>
                <w:sz w:val="18"/>
                <w:szCs w:val="18"/>
              </w:rPr>
            </w:pPr>
          </w:p>
        </w:tc>
        <w:tc>
          <w:tcPr>
            <w:tcW w:w="993" w:type="dxa"/>
            <w:tcBorders>
              <w:left w:val="nil"/>
              <w:bottom w:val="nil"/>
              <w:right w:val="nil"/>
            </w:tcBorders>
          </w:tcPr>
          <w:p w14:paraId="478EA6C1" w14:textId="77777777" w:rsidR="003F0CDB" w:rsidRPr="00EA0DC7" w:rsidRDefault="003F0CDB" w:rsidP="00A97F7E">
            <w:pPr>
              <w:spacing w:before="240" w:line="240" w:lineRule="auto"/>
              <w:jc w:val="center"/>
              <w:rPr>
                <w:rFonts w:eastAsia="Times New Roman" w:cs="Arial"/>
                <w:sz w:val="18"/>
                <w:szCs w:val="18"/>
              </w:rPr>
            </w:pPr>
          </w:p>
        </w:tc>
        <w:tc>
          <w:tcPr>
            <w:tcW w:w="1304" w:type="dxa"/>
            <w:tcBorders>
              <w:left w:val="nil"/>
              <w:bottom w:val="nil"/>
              <w:right w:val="nil"/>
            </w:tcBorders>
          </w:tcPr>
          <w:p w14:paraId="46A026E9" w14:textId="77777777" w:rsidR="003F0CDB" w:rsidRPr="00EA0DC7" w:rsidRDefault="003F0CDB" w:rsidP="00A97F7E">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left w:val="nil"/>
              <w:bottom w:val="nil"/>
              <w:right w:val="nil"/>
            </w:tcBorders>
          </w:tcPr>
          <w:p w14:paraId="09018899" w14:textId="77777777" w:rsidR="003F0CDB" w:rsidRPr="00EA0DC7" w:rsidRDefault="003F0CDB" w:rsidP="00A97F7E">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left w:val="nil"/>
              <w:bottom w:val="nil"/>
              <w:right w:val="nil"/>
            </w:tcBorders>
          </w:tcPr>
          <w:p w14:paraId="1AE201CB" w14:textId="77777777" w:rsidR="003F0CDB" w:rsidRPr="00EA0DC7" w:rsidRDefault="003F0CDB" w:rsidP="00A97F7E">
            <w:pPr>
              <w:spacing w:before="240" w:line="240" w:lineRule="auto"/>
              <w:jc w:val="center"/>
              <w:rPr>
                <w:rFonts w:eastAsia="Times New Roman" w:cs="Arial"/>
                <w:sz w:val="18"/>
                <w:szCs w:val="18"/>
              </w:rPr>
            </w:pPr>
          </w:p>
        </w:tc>
        <w:tc>
          <w:tcPr>
            <w:tcW w:w="1276" w:type="dxa"/>
            <w:tcBorders>
              <w:left w:val="nil"/>
              <w:bottom w:val="nil"/>
              <w:right w:val="nil"/>
            </w:tcBorders>
          </w:tcPr>
          <w:p w14:paraId="6B6B82AA" w14:textId="77777777" w:rsidR="003F0CDB" w:rsidRPr="00EA0DC7" w:rsidRDefault="003F0CDB" w:rsidP="00A97F7E">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61" w:type="dxa"/>
            <w:tcBorders>
              <w:left w:val="nil"/>
              <w:bottom w:val="nil"/>
              <w:right w:val="nil"/>
            </w:tcBorders>
          </w:tcPr>
          <w:p w14:paraId="16809D42" w14:textId="77777777" w:rsidR="003F0CDB" w:rsidRPr="00EA0DC7" w:rsidRDefault="003F0CDB" w:rsidP="00A97F7E">
            <w:pPr>
              <w:spacing w:before="240" w:line="240" w:lineRule="auto"/>
              <w:jc w:val="center"/>
              <w:rPr>
                <w:rFonts w:eastAsia="Times New Roman" w:cs="Arial"/>
                <w:sz w:val="18"/>
                <w:szCs w:val="18"/>
              </w:rPr>
            </w:pPr>
          </w:p>
        </w:tc>
        <w:tc>
          <w:tcPr>
            <w:tcW w:w="1361" w:type="dxa"/>
            <w:gridSpan w:val="2"/>
            <w:tcBorders>
              <w:left w:val="nil"/>
              <w:bottom w:val="nil"/>
              <w:right w:val="nil"/>
            </w:tcBorders>
          </w:tcPr>
          <w:p w14:paraId="5F1DBD39" w14:textId="77777777" w:rsidR="003F0CDB" w:rsidRPr="00EA0DC7" w:rsidRDefault="003F0CDB" w:rsidP="00A97F7E">
            <w:pPr>
              <w:spacing w:before="240" w:line="240" w:lineRule="auto"/>
              <w:jc w:val="center"/>
              <w:rPr>
                <w:rFonts w:eastAsia="Times New Roman" w:cs="Arial"/>
                <w:sz w:val="18"/>
                <w:szCs w:val="18"/>
              </w:rPr>
            </w:pPr>
          </w:p>
        </w:tc>
      </w:tr>
      <w:tr w:rsidR="000C5B7D" w:rsidRPr="00EA0DC7" w14:paraId="6F65ADD4" w14:textId="77777777" w:rsidTr="00BC24E2">
        <w:trPr>
          <w:trHeight w:val="283"/>
          <w:tblHeader/>
        </w:trPr>
        <w:tc>
          <w:tcPr>
            <w:tcW w:w="1560" w:type="dxa"/>
            <w:tcBorders>
              <w:top w:val="nil"/>
              <w:left w:val="nil"/>
              <w:bottom w:val="nil"/>
              <w:right w:val="nil"/>
            </w:tcBorders>
            <w:shd w:val="clear" w:color="auto" w:fill="auto"/>
            <w:hideMark/>
          </w:tcPr>
          <w:p w14:paraId="47B801F7"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Ekstein &amp; Wallerstein (1972)</w:t>
            </w:r>
          </w:p>
        </w:tc>
        <w:tc>
          <w:tcPr>
            <w:tcW w:w="1134" w:type="dxa"/>
            <w:tcBorders>
              <w:top w:val="nil"/>
              <w:left w:val="nil"/>
              <w:bottom w:val="nil"/>
              <w:right w:val="nil"/>
            </w:tcBorders>
            <w:shd w:val="clear" w:color="auto" w:fill="auto"/>
            <w:noWrap/>
            <w:hideMark/>
          </w:tcPr>
          <w:p w14:paraId="79304BB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nil"/>
              <w:right w:val="nil"/>
            </w:tcBorders>
            <w:shd w:val="clear" w:color="auto" w:fill="auto"/>
            <w:noWrap/>
            <w:hideMark/>
          </w:tcPr>
          <w:p w14:paraId="4CD60718" w14:textId="77777777" w:rsidR="003F0CDB" w:rsidRPr="00EA0DC7" w:rsidRDefault="003F0CDB" w:rsidP="00B23505">
            <w:pPr>
              <w:spacing w:line="240" w:lineRule="auto"/>
              <w:jc w:val="center"/>
              <w:rPr>
                <w:rFonts w:eastAsia="Times New Roman" w:cs="Arial"/>
                <w:sz w:val="18"/>
                <w:szCs w:val="18"/>
              </w:rPr>
            </w:pPr>
          </w:p>
        </w:tc>
        <w:tc>
          <w:tcPr>
            <w:tcW w:w="1275" w:type="dxa"/>
            <w:tcBorders>
              <w:top w:val="nil"/>
              <w:left w:val="nil"/>
              <w:bottom w:val="nil"/>
              <w:right w:val="nil"/>
            </w:tcBorders>
            <w:shd w:val="clear" w:color="auto" w:fill="auto"/>
            <w:noWrap/>
            <w:hideMark/>
          </w:tcPr>
          <w:p w14:paraId="49DB0C8B" w14:textId="77777777" w:rsidR="003F0CDB" w:rsidRPr="00EA0DC7" w:rsidRDefault="003F0CDB" w:rsidP="00B23505">
            <w:pPr>
              <w:spacing w:line="240" w:lineRule="auto"/>
              <w:jc w:val="center"/>
              <w:rPr>
                <w:rFonts w:eastAsia="Times New Roman" w:cs="Arial"/>
                <w:sz w:val="18"/>
                <w:szCs w:val="18"/>
              </w:rPr>
            </w:pPr>
          </w:p>
        </w:tc>
        <w:tc>
          <w:tcPr>
            <w:tcW w:w="993" w:type="dxa"/>
            <w:tcBorders>
              <w:top w:val="nil"/>
              <w:left w:val="nil"/>
              <w:bottom w:val="nil"/>
              <w:right w:val="nil"/>
            </w:tcBorders>
          </w:tcPr>
          <w:p w14:paraId="737D0EC1"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1FABEF49" w14:textId="77777777" w:rsidR="003F0CDB" w:rsidRPr="00EA0DC7" w:rsidRDefault="003F0CDB" w:rsidP="00B23505">
            <w:pPr>
              <w:spacing w:line="240" w:lineRule="auto"/>
              <w:jc w:val="center"/>
              <w:rPr>
                <w:rFonts w:eastAsia="Times New Roman" w:cs="Arial"/>
                <w:sz w:val="18"/>
                <w:szCs w:val="18"/>
              </w:rPr>
            </w:pPr>
          </w:p>
        </w:tc>
        <w:tc>
          <w:tcPr>
            <w:tcW w:w="1247" w:type="dxa"/>
            <w:tcBorders>
              <w:top w:val="nil"/>
              <w:left w:val="nil"/>
              <w:bottom w:val="nil"/>
              <w:right w:val="nil"/>
            </w:tcBorders>
          </w:tcPr>
          <w:p w14:paraId="22079006"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bottom w:val="nil"/>
              <w:right w:val="nil"/>
            </w:tcBorders>
          </w:tcPr>
          <w:p w14:paraId="172CFB1E"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bottom w:val="nil"/>
              <w:right w:val="nil"/>
            </w:tcBorders>
          </w:tcPr>
          <w:p w14:paraId="33AA6592" w14:textId="77777777" w:rsidR="003F0CDB" w:rsidRPr="00EA0DC7" w:rsidRDefault="003F0CDB" w:rsidP="00B23505">
            <w:pPr>
              <w:spacing w:line="240" w:lineRule="auto"/>
              <w:jc w:val="center"/>
              <w:rPr>
                <w:rFonts w:eastAsia="Times New Roman" w:cs="Arial"/>
                <w:sz w:val="18"/>
                <w:szCs w:val="18"/>
              </w:rPr>
            </w:pPr>
          </w:p>
        </w:tc>
        <w:tc>
          <w:tcPr>
            <w:tcW w:w="1361" w:type="dxa"/>
            <w:tcBorders>
              <w:top w:val="nil"/>
              <w:left w:val="nil"/>
              <w:bottom w:val="nil"/>
              <w:right w:val="nil"/>
            </w:tcBorders>
          </w:tcPr>
          <w:p w14:paraId="2B076A4E"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61" w:type="dxa"/>
            <w:gridSpan w:val="2"/>
            <w:tcBorders>
              <w:top w:val="nil"/>
              <w:left w:val="nil"/>
              <w:bottom w:val="nil"/>
              <w:right w:val="nil"/>
            </w:tcBorders>
          </w:tcPr>
          <w:p w14:paraId="56860B20" w14:textId="77777777" w:rsidR="003F0CDB" w:rsidRPr="00EA0DC7" w:rsidRDefault="003F0CDB" w:rsidP="00B23505">
            <w:pPr>
              <w:spacing w:line="240" w:lineRule="auto"/>
              <w:jc w:val="center"/>
              <w:rPr>
                <w:rFonts w:eastAsia="Times New Roman" w:cs="Arial"/>
                <w:sz w:val="18"/>
                <w:szCs w:val="18"/>
              </w:rPr>
            </w:pPr>
          </w:p>
        </w:tc>
      </w:tr>
      <w:tr w:rsidR="000C5B7D" w:rsidRPr="00EA0DC7" w14:paraId="571446DB" w14:textId="77777777" w:rsidTr="00BC24E2">
        <w:trPr>
          <w:trHeight w:val="283"/>
          <w:tblHeader/>
        </w:trPr>
        <w:tc>
          <w:tcPr>
            <w:tcW w:w="1560" w:type="dxa"/>
            <w:tcBorders>
              <w:top w:val="nil"/>
              <w:left w:val="nil"/>
              <w:bottom w:val="nil"/>
              <w:right w:val="nil"/>
            </w:tcBorders>
            <w:shd w:val="clear" w:color="auto" w:fill="auto"/>
            <w:hideMark/>
          </w:tcPr>
          <w:p w14:paraId="2ACA8ABD"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Mueller &amp; Kell (1971)</w:t>
            </w:r>
          </w:p>
        </w:tc>
        <w:tc>
          <w:tcPr>
            <w:tcW w:w="1134" w:type="dxa"/>
            <w:tcBorders>
              <w:top w:val="nil"/>
              <w:left w:val="nil"/>
              <w:bottom w:val="nil"/>
              <w:right w:val="nil"/>
            </w:tcBorders>
            <w:shd w:val="clear" w:color="auto" w:fill="auto"/>
            <w:noWrap/>
            <w:hideMark/>
          </w:tcPr>
          <w:p w14:paraId="37393DB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nil"/>
              <w:right w:val="nil"/>
            </w:tcBorders>
            <w:shd w:val="clear" w:color="auto" w:fill="auto"/>
            <w:noWrap/>
            <w:hideMark/>
          </w:tcPr>
          <w:p w14:paraId="2A017324"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5" w:type="dxa"/>
            <w:tcBorders>
              <w:top w:val="nil"/>
              <w:left w:val="nil"/>
              <w:bottom w:val="nil"/>
              <w:right w:val="nil"/>
            </w:tcBorders>
            <w:shd w:val="clear" w:color="auto" w:fill="auto"/>
            <w:noWrap/>
            <w:hideMark/>
          </w:tcPr>
          <w:p w14:paraId="14AB07DE" w14:textId="77777777" w:rsidR="003F0CDB" w:rsidRPr="00EA0DC7" w:rsidRDefault="003F0CDB" w:rsidP="00B23505">
            <w:pPr>
              <w:spacing w:line="240" w:lineRule="auto"/>
              <w:jc w:val="center"/>
              <w:rPr>
                <w:rFonts w:eastAsia="Times New Roman" w:cs="Arial"/>
                <w:sz w:val="18"/>
                <w:szCs w:val="18"/>
              </w:rPr>
            </w:pPr>
          </w:p>
        </w:tc>
        <w:tc>
          <w:tcPr>
            <w:tcW w:w="993" w:type="dxa"/>
            <w:tcBorders>
              <w:top w:val="nil"/>
              <w:left w:val="nil"/>
              <w:bottom w:val="nil"/>
              <w:right w:val="nil"/>
            </w:tcBorders>
          </w:tcPr>
          <w:p w14:paraId="005996AF"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07F6728C"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top w:val="nil"/>
              <w:left w:val="nil"/>
              <w:bottom w:val="nil"/>
              <w:right w:val="nil"/>
            </w:tcBorders>
          </w:tcPr>
          <w:p w14:paraId="1495167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bottom w:val="nil"/>
              <w:right w:val="nil"/>
            </w:tcBorders>
          </w:tcPr>
          <w:p w14:paraId="368B9E86"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bottom w:val="nil"/>
              <w:right w:val="nil"/>
            </w:tcBorders>
          </w:tcPr>
          <w:p w14:paraId="254D5A54"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61" w:type="dxa"/>
            <w:tcBorders>
              <w:top w:val="nil"/>
              <w:left w:val="nil"/>
              <w:bottom w:val="nil"/>
              <w:right w:val="nil"/>
            </w:tcBorders>
          </w:tcPr>
          <w:p w14:paraId="238F0A01" w14:textId="77777777" w:rsidR="003F0CDB" w:rsidRPr="00EA0DC7" w:rsidRDefault="003F0CDB" w:rsidP="00B23505">
            <w:pPr>
              <w:spacing w:line="240" w:lineRule="auto"/>
              <w:jc w:val="center"/>
              <w:rPr>
                <w:rFonts w:eastAsia="Times New Roman" w:cs="Arial"/>
                <w:sz w:val="18"/>
                <w:szCs w:val="18"/>
              </w:rPr>
            </w:pPr>
          </w:p>
        </w:tc>
        <w:tc>
          <w:tcPr>
            <w:tcW w:w="1361" w:type="dxa"/>
            <w:gridSpan w:val="2"/>
            <w:tcBorders>
              <w:top w:val="nil"/>
              <w:left w:val="nil"/>
              <w:bottom w:val="nil"/>
              <w:right w:val="nil"/>
            </w:tcBorders>
          </w:tcPr>
          <w:p w14:paraId="417F98C3" w14:textId="77777777" w:rsidR="003F0CDB" w:rsidRPr="00EA0DC7" w:rsidRDefault="003F0CDB" w:rsidP="00B23505">
            <w:pPr>
              <w:spacing w:line="240" w:lineRule="auto"/>
              <w:jc w:val="center"/>
              <w:rPr>
                <w:rFonts w:eastAsia="Times New Roman" w:cs="Arial"/>
                <w:sz w:val="18"/>
                <w:szCs w:val="18"/>
              </w:rPr>
            </w:pPr>
          </w:p>
        </w:tc>
      </w:tr>
      <w:tr w:rsidR="000C5B7D" w:rsidRPr="00EA0DC7" w14:paraId="4DA6CE8E" w14:textId="77777777" w:rsidTr="00BC24E2">
        <w:trPr>
          <w:trHeight w:val="283"/>
          <w:tblHeader/>
        </w:trPr>
        <w:tc>
          <w:tcPr>
            <w:tcW w:w="1560" w:type="dxa"/>
            <w:tcBorders>
              <w:top w:val="nil"/>
              <w:left w:val="nil"/>
              <w:bottom w:val="nil"/>
              <w:right w:val="nil"/>
            </w:tcBorders>
            <w:shd w:val="clear" w:color="auto" w:fill="auto"/>
            <w:hideMark/>
          </w:tcPr>
          <w:p w14:paraId="3FEF2D7B"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Delaney (1972)</w:t>
            </w:r>
          </w:p>
        </w:tc>
        <w:tc>
          <w:tcPr>
            <w:tcW w:w="1134" w:type="dxa"/>
            <w:tcBorders>
              <w:top w:val="nil"/>
              <w:left w:val="nil"/>
              <w:bottom w:val="nil"/>
              <w:right w:val="nil"/>
            </w:tcBorders>
            <w:shd w:val="clear" w:color="auto" w:fill="auto"/>
            <w:noWrap/>
            <w:hideMark/>
          </w:tcPr>
          <w:p w14:paraId="55B08D11" w14:textId="77777777" w:rsidR="003F0CDB" w:rsidRPr="00EA0DC7" w:rsidRDefault="003F0CDB" w:rsidP="00B23505">
            <w:pPr>
              <w:spacing w:line="240" w:lineRule="auto"/>
              <w:jc w:val="center"/>
              <w:rPr>
                <w:rFonts w:eastAsia="Times New Roman" w:cs="Arial"/>
                <w:sz w:val="18"/>
                <w:szCs w:val="18"/>
              </w:rPr>
            </w:pPr>
          </w:p>
        </w:tc>
        <w:tc>
          <w:tcPr>
            <w:tcW w:w="992" w:type="dxa"/>
            <w:tcBorders>
              <w:top w:val="nil"/>
              <w:left w:val="nil"/>
              <w:bottom w:val="nil"/>
              <w:right w:val="nil"/>
            </w:tcBorders>
            <w:shd w:val="clear" w:color="auto" w:fill="auto"/>
            <w:noWrap/>
            <w:hideMark/>
          </w:tcPr>
          <w:p w14:paraId="7120A6A8" w14:textId="77777777" w:rsidR="003F0CDB" w:rsidRPr="00EA0DC7" w:rsidRDefault="003F0CDB" w:rsidP="00B23505">
            <w:pPr>
              <w:spacing w:line="240" w:lineRule="auto"/>
              <w:jc w:val="center"/>
              <w:rPr>
                <w:rFonts w:eastAsia="Times New Roman" w:cs="Arial"/>
                <w:sz w:val="18"/>
                <w:szCs w:val="18"/>
              </w:rPr>
            </w:pPr>
          </w:p>
        </w:tc>
        <w:tc>
          <w:tcPr>
            <w:tcW w:w="1275" w:type="dxa"/>
            <w:tcBorders>
              <w:top w:val="nil"/>
              <w:left w:val="nil"/>
              <w:bottom w:val="nil"/>
              <w:right w:val="nil"/>
            </w:tcBorders>
            <w:shd w:val="clear" w:color="auto" w:fill="auto"/>
            <w:noWrap/>
            <w:hideMark/>
          </w:tcPr>
          <w:p w14:paraId="0CA660F0" w14:textId="77777777" w:rsidR="003F0CDB" w:rsidRPr="00EA0DC7" w:rsidRDefault="003F0CDB" w:rsidP="00B23505">
            <w:pPr>
              <w:spacing w:line="240" w:lineRule="auto"/>
              <w:jc w:val="center"/>
              <w:rPr>
                <w:rFonts w:eastAsia="Times New Roman" w:cs="Arial"/>
                <w:sz w:val="18"/>
                <w:szCs w:val="18"/>
              </w:rPr>
            </w:pPr>
          </w:p>
        </w:tc>
        <w:tc>
          <w:tcPr>
            <w:tcW w:w="993" w:type="dxa"/>
            <w:tcBorders>
              <w:top w:val="nil"/>
              <w:left w:val="nil"/>
              <w:bottom w:val="nil"/>
              <w:right w:val="nil"/>
            </w:tcBorders>
          </w:tcPr>
          <w:p w14:paraId="65E18BDC" w14:textId="77777777" w:rsidR="003F0CDB" w:rsidRPr="00EA0DC7" w:rsidRDefault="003F0CDB" w:rsidP="00B23505">
            <w:pPr>
              <w:spacing w:line="240" w:lineRule="auto"/>
              <w:jc w:val="center"/>
              <w:rPr>
                <w:rFonts w:eastAsia="Times New Roman" w:cs="Arial"/>
                <w:sz w:val="18"/>
                <w:szCs w:val="18"/>
              </w:rPr>
            </w:pPr>
          </w:p>
        </w:tc>
        <w:tc>
          <w:tcPr>
            <w:tcW w:w="1304" w:type="dxa"/>
            <w:tcBorders>
              <w:top w:val="nil"/>
              <w:left w:val="nil"/>
              <w:bottom w:val="nil"/>
              <w:right w:val="nil"/>
            </w:tcBorders>
          </w:tcPr>
          <w:p w14:paraId="18BF6B5D"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top w:val="nil"/>
              <w:left w:val="nil"/>
              <w:bottom w:val="nil"/>
              <w:right w:val="nil"/>
            </w:tcBorders>
          </w:tcPr>
          <w:p w14:paraId="02868C9B"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bottom w:val="nil"/>
              <w:right w:val="nil"/>
            </w:tcBorders>
          </w:tcPr>
          <w:p w14:paraId="7ECCC429"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bottom w:val="nil"/>
              <w:right w:val="nil"/>
            </w:tcBorders>
          </w:tcPr>
          <w:p w14:paraId="108E5F65"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61" w:type="dxa"/>
            <w:tcBorders>
              <w:top w:val="nil"/>
              <w:left w:val="nil"/>
              <w:bottom w:val="nil"/>
              <w:right w:val="nil"/>
            </w:tcBorders>
          </w:tcPr>
          <w:p w14:paraId="40EE71E5" w14:textId="77777777" w:rsidR="003F0CDB" w:rsidRPr="00EA0DC7" w:rsidRDefault="003F0CDB" w:rsidP="00B23505">
            <w:pPr>
              <w:spacing w:line="240" w:lineRule="auto"/>
              <w:jc w:val="center"/>
              <w:rPr>
                <w:rFonts w:eastAsia="Times New Roman" w:cs="Arial"/>
                <w:sz w:val="18"/>
                <w:szCs w:val="18"/>
              </w:rPr>
            </w:pPr>
          </w:p>
        </w:tc>
        <w:tc>
          <w:tcPr>
            <w:tcW w:w="1361" w:type="dxa"/>
            <w:gridSpan w:val="2"/>
            <w:tcBorders>
              <w:top w:val="nil"/>
              <w:left w:val="nil"/>
              <w:bottom w:val="nil"/>
              <w:right w:val="nil"/>
            </w:tcBorders>
          </w:tcPr>
          <w:p w14:paraId="16942D9E" w14:textId="77777777" w:rsidR="003F0CDB" w:rsidRPr="00EA0DC7" w:rsidRDefault="003F0CDB" w:rsidP="00B23505">
            <w:pPr>
              <w:spacing w:line="240" w:lineRule="auto"/>
              <w:jc w:val="center"/>
              <w:rPr>
                <w:rFonts w:eastAsia="Times New Roman" w:cs="Arial"/>
                <w:sz w:val="18"/>
                <w:szCs w:val="18"/>
              </w:rPr>
            </w:pPr>
          </w:p>
        </w:tc>
      </w:tr>
      <w:tr w:rsidR="00EA0DC7" w:rsidRPr="00EA0DC7" w14:paraId="144C118E" w14:textId="77777777" w:rsidTr="00632CFE">
        <w:trPr>
          <w:trHeight w:val="283"/>
          <w:tblHeader/>
        </w:trPr>
        <w:tc>
          <w:tcPr>
            <w:tcW w:w="1560" w:type="dxa"/>
            <w:tcBorders>
              <w:top w:val="nil"/>
              <w:left w:val="nil"/>
              <w:right w:val="nil"/>
            </w:tcBorders>
            <w:shd w:val="clear" w:color="auto" w:fill="auto"/>
            <w:hideMark/>
          </w:tcPr>
          <w:p w14:paraId="134EF45B"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Ard (1973)</w:t>
            </w:r>
          </w:p>
        </w:tc>
        <w:tc>
          <w:tcPr>
            <w:tcW w:w="1134" w:type="dxa"/>
            <w:tcBorders>
              <w:top w:val="nil"/>
              <w:left w:val="nil"/>
              <w:right w:val="nil"/>
            </w:tcBorders>
            <w:shd w:val="clear" w:color="auto" w:fill="auto"/>
            <w:noWrap/>
            <w:hideMark/>
          </w:tcPr>
          <w:p w14:paraId="57010792" w14:textId="77777777" w:rsidR="003F0CDB" w:rsidRPr="00EA0DC7" w:rsidRDefault="003F0CDB" w:rsidP="00B23505">
            <w:pPr>
              <w:spacing w:line="240" w:lineRule="auto"/>
              <w:jc w:val="center"/>
              <w:rPr>
                <w:rFonts w:eastAsia="Times New Roman" w:cs="Arial"/>
                <w:sz w:val="18"/>
                <w:szCs w:val="18"/>
              </w:rPr>
            </w:pPr>
          </w:p>
        </w:tc>
        <w:tc>
          <w:tcPr>
            <w:tcW w:w="992" w:type="dxa"/>
            <w:tcBorders>
              <w:top w:val="nil"/>
              <w:left w:val="nil"/>
              <w:right w:val="nil"/>
            </w:tcBorders>
            <w:shd w:val="clear" w:color="auto" w:fill="auto"/>
            <w:noWrap/>
            <w:hideMark/>
          </w:tcPr>
          <w:p w14:paraId="5D8C54F0" w14:textId="77777777" w:rsidR="003F0CDB" w:rsidRPr="00EA0DC7" w:rsidRDefault="003F0CDB" w:rsidP="00B23505">
            <w:pPr>
              <w:spacing w:line="240" w:lineRule="auto"/>
              <w:jc w:val="center"/>
              <w:rPr>
                <w:rFonts w:eastAsia="Times New Roman" w:cs="Arial"/>
                <w:sz w:val="18"/>
                <w:szCs w:val="18"/>
              </w:rPr>
            </w:pPr>
          </w:p>
        </w:tc>
        <w:tc>
          <w:tcPr>
            <w:tcW w:w="1275" w:type="dxa"/>
            <w:tcBorders>
              <w:top w:val="nil"/>
              <w:left w:val="nil"/>
              <w:right w:val="nil"/>
            </w:tcBorders>
            <w:shd w:val="clear" w:color="auto" w:fill="auto"/>
            <w:noWrap/>
            <w:hideMark/>
          </w:tcPr>
          <w:p w14:paraId="6BA3606A" w14:textId="77777777" w:rsidR="003F0CDB" w:rsidRPr="00EA0DC7" w:rsidRDefault="003F0CDB" w:rsidP="00B23505">
            <w:pPr>
              <w:spacing w:line="240" w:lineRule="auto"/>
              <w:jc w:val="left"/>
              <w:rPr>
                <w:rFonts w:eastAsia="Times New Roman" w:cs="Arial"/>
                <w:sz w:val="18"/>
                <w:szCs w:val="18"/>
              </w:rPr>
            </w:pPr>
          </w:p>
        </w:tc>
        <w:tc>
          <w:tcPr>
            <w:tcW w:w="993" w:type="dxa"/>
            <w:tcBorders>
              <w:top w:val="nil"/>
              <w:left w:val="nil"/>
              <w:right w:val="nil"/>
            </w:tcBorders>
          </w:tcPr>
          <w:p w14:paraId="75B6AB8E"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7BE059E6" w14:textId="77777777" w:rsidR="003F0CDB" w:rsidRPr="00EA0DC7" w:rsidRDefault="003F0CDB" w:rsidP="00B23505">
            <w:pPr>
              <w:spacing w:line="240" w:lineRule="auto"/>
              <w:jc w:val="center"/>
              <w:rPr>
                <w:rFonts w:eastAsia="Times New Roman" w:cs="Arial"/>
                <w:sz w:val="18"/>
                <w:szCs w:val="18"/>
              </w:rPr>
            </w:pPr>
          </w:p>
        </w:tc>
        <w:tc>
          <w:tcPr>
            <w:tcW w:w="1247" w:type="dxa"/>
            <w:tcBorders>
              <w:top w:val="nil"/>
              <w:left w:val="nil"/>
              <w:right w:val="nil"/>
            </w:tcBorders>
          </w:tcPr>
          <w:p w14:paraId="68E5BB5F"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right w:val="nil"/>
            </w:tcBorders>
          </w:tcPr>
          <w:p w14:paraId="50521E3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right w:val="nil"/>
            </w:tcBorders>
          </w:tcPr>
          <w:p w14:paraId="795E746E"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61" w:type="dxa"/>
            <w:tcBorders>
              <w:top w:val="nil"/>
              <w:left w:val="nil"/>
              <w:right w:val="nil"/>
            </w:tcBorders>
          </w:tcPr>
          <w:p w14:paraId="37A5863D" w14:textId="77777777" w:rsidR="003F0CDB" w:rsidRPr="00EA0DC7" w:rsidRDefault="003F0CDB" w:rsidP="00B23505">
            <w:pPr>
              <w:spacing w:line="240" w:lineRule="auto"/>
              <w:jc w:val="center"/>
              <w:rPr>
                <w:rFonts w:eastAsia="Times New Roman" w:cs="Arial"/>
                <w:sz w:val="18"/>
                <w:szCs w:val="18"/>
              </w:rPr>
            </w:pPr>
          </w:p>
        </w:tc>
        <w:tc>
          <w:tcPr>
            <w:tcW w:w="1361" w:type="dxa"/>
            <w:gridSpan w:val="2"/>
            <w:tcBorders>
              <w:top w:val="nil"/>
              <w:left w:val="nil"/>
              <w:right w:val="nil"/>
            </w:tcBorders>
          </w:tcPr>
          <w:p w14:paraId="641BA9C0"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r>
      <w:tr w:rsidR="00EA0DC7" w:rsidRPr="00EA0DC7" w14:paraId="37920734" w14:textId="77777777" w:rsidTr="00632CFE">
        <w:trPr>
          <w:trHeight w:val="283"/>
          <w:tblHeader/>
        </w:trPr>
        <w:tc>
          <w:tcPr>
            <w:tcW w:w="1560" w:type="dxa"/>
            <w:tcBorders>
              <w:top w:val="nil"/>
              <w:left w:val="nil"/>
              <w:bottom w:val="single" w:sz="4" w:space="0" w:color="auto"/>
              <w:right w:val="nil"/>
            </w:tcBorders>
            <w:shd w:val="clear" w:color="auto" w:fill="auto"/>
          </w:tcPr>
          <w:p w14:paraId="2F6FE492" w14:textId="4B78DD05" w:rsidR="00DA3FBB" w:rsidRPr="00EA0DC7" w:rsidRDefault="00DA3FBB" w:rsidP="00DA3FBB">
            <w:pPr>
              <w:spacing w:line="240" w:lineRule="auto"/>
              <w:jc w:val="left"/>
              <w:rPr>
                <w:rFonts w:eastAsia="Times New Roman" w:cs="Arial"/>
                <w:sz w:val="18"/>
                <w:szCs w:val="18"/>
              </w:rPr>
            </w:pPr>
            <w:r w:rsidRPr="00EA0DC7">
              <w:rPr>
                <w:rFonts w:eastAsia="Times New Roman" w:cs="Arial"/>
                <w:sz w:val="18"/>
                <w:szCs w:val="18"/>
              </w:rPr>
              <w:t>Bernard (1979)</w:t>
            </w:r>
          </w:p>
        </w:tc>
        <w:tc>
          <w:tcPr>
            <w:tcW w:w="1134" w:type="dxa"/>
            <w:tcBorders>
              <w:top w:val="nil"/>
              <w:left w:val="nil"/>
              <w:bottom w:val="single" w:sz="4" w:space="0" w:color="auto"/>
              <w:right w:val="nil"/>
            </w:tcBorders>
            <w:shd w:val="clear" w:color="auto" w:fill="auto"/>
            <w:noWrap/>
          </w:tcPr>
          <w:p w14:paraId="72A08EF3" w14:textId="76C3E427"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single" w:sz="4" w:space="0" w:color="auto"/>
              <w:right w:val="nil"/>
            </w:tcBorders>
            <w:shd w:val="clear" w:color="auto" w:fill="auto"/>
            <w:noWrap/>
          </w:tcPr>
          <w:p w14:paraId="1498FF49" w14:textId="77777777" w:rsidR="00DA3FBB" w:rsidRPr="00EA0DC7" w:rsidRDefault="00DA3FBB" w:rsidP="00DA3FBB">
            <w:pPr>
              <w:spacing w:line="240" w:lineRule="auto"/>
              <w:jc w:val="center"/>
              <w:rPr>
                <w:rFonts w:eastAsia="Times New Roman" w:cs="Arial"/>
                <w:sz w:val="18"/>
                <w:szCs w:val="18"/>
              </w:rPr>
            </w:pPr>
          </w:p>
        </w:tc>
        <w:tc>
          <w:tcPr>
            <w:tcW w:w="1275" w:type="dxa"/>
            <w:tcBorders>
              <w:top w:val="nil"/>
              <w:left w:val="nil"/>
              <w:bottom w:val="single" w:sz="4" w:space="0" w:color="auto"/>
              <w:right w:val="nil"/>
            </w:tcBorders>
            <w:shd w:val="clear" w:color="auto" w:fill="auto"/>
            <w:noWrap/>
          </w:tcPr>
          <w:p w14:paraId="4C864280" w14:textId="77777777" w:rsidR="00DA3FBB" w:rsidRPr="00EA0DC7" w:rsidRDefault="00DA3FBB" w:rsidP="00DA3FBB">
            <w:pPr>
              <w:spacing w:line="240" w:lineRule="auto"/>
              <w:jc w:val="left"/>
              <w:rPr>
                <w:rFonts w:eastAsia="Times New Roman" w:cs="Arial"/>
                <w:sz w:val="18"/>
                <w:szCs w:val="18"/>
              </w:rPr>
            </w:pPr>
          </w:p>
        </w:tc>
        <w:tc>
          <w:tcPr>
            <w:tcW w:w="993" w:type="dxa"/>
            <w:tcBorders>
              <w:top w:val="nil"/>
              <w:left w:val="nil"/>
              <w:bottom w:val="single" w:sz="4" w:space="0" w:color="auto"/>
              <w:right w:val="nil"/>
            </w:tcBorders>
          </w:tcPr>
          <w:p w14:paraId="55B1FE11" w14:textId="77777777" w:rsidR="00DA3FBB" w:rsidRPr="00EA0DC7" w:rsidRDefault="00DA3FBB" w:rsidP="00DA3FBB">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286CBCA7" w14:textId="77777777" w:rsidR="00DA3FBB" w:rsidRPr="00EA0DC7" w:rsidRDefault="00DA3FBB" w:rsidP="00DA3FBB">
            <w:pPr>
              <w:spacing w:line="240" w:lineRule="auto"/>
              <w:jc w:val="center"/>
              <w:rPr>
                <w:rFonts w:eastAsia="Times New Roman" w:cs="Arial"/>
                <w:sz w:val="18"/>
                <w:szCs w:val="18"/>
              </w:rPr>
            </w:pPr>
          </w:p>
        </w:tc>
        <w:tc>
          <w:tcPr>
            <w:tcW w:w="1247" w:type="dxa"/>
            <w:tcBorders>
              <w:top w:val="nil"/>
              <w:left w:val="nil"/>
              <w:bottom w:val="single" w:sz="4" w:space="0" w:color="auto"/>
              <w:right w:val="nil"/>
            </w:tcBorders>
          </w:tcPr>
          <w:p w14:paraId="6E8E0A69" w14:textId="77777777" w:rsidR="00DA3FBB" w:rsidRPr="00EA0DC7" w:rsidRDefault="00DA3FBB" w:rsidP="00DA3FBB">
            <w:pPr>
              <w:spacing w:line="240" w:lineRule="auto"/>
              <w:jc w:val="center"/>
              <w:rPr>
                <w:rFonts w:eastAsia="Times New Roman" w:cs="Arial"/>
                <w:sz w:val="18"/>
                <w:szCs w:val="18"/>
              </w:rPr>
            </w:pPr>
          </w:p>
        </w:tc>
        <w:tc>
          <w:tcPr>
            <w:tcW w:w="1276" w:type="dxa"/>
            <w:tcBorders>
              <w:top w:val="nil"/>
              <w:left w:val="nil"/>
              <w:bottom w:val="single" w:sz="4" w:space="0" w:color="auto"/>
              <w:right w:val="nil"/>
            </w:tcBorders>
          </w:tcPr>
          <w:p w14:paraId="5A3263BE" w14:textId="77777777" w:rsidR="00DA3FBB" w:rsidRPr="00EA0DC7" w:rsidRDefault="00DA3FBB" w:rsidP="00DA3FBB">
            <w:pPr>
              <w:spacing w:line="240" w:lineRule="auto"/>
              <w:jc w:val="center"/>
              <w:rPr>
                <w:rFonts w:eastAsia="Times New Roman" w:cs="Arial"/>
                <w:sz w:val="18"/>
                <w:szCs w:val="18"/>
              </w:rPr>
            </w:pPr>
          </w:p>
        </w:tc>
        <w:tc>
          <w:tcPr>
            <w:tcW w:w="1276" w:type="dxa"/>
            <w:tcBorders>
              <w:top w:val="nil"/>
              <w:left w:val="nil"/>
              <w:bottom w:val="single" w:sz="4" w:space="0" w:color="auto"/>
              <w:right w:val="nil"/>
            </w:tcBorders>
          </w:tcPr>
          <w:p w14:paraId="5A2944C4" w14:textId="77777777" w:rsidR="00DA3FBB" w:rsidRPr="00EA0DC7" w:rsidRDefault="00DA3FBB" w:rsidP="00DA3FBB">
            <w:pPr>
              <w:spacing w:line="240" w:lineRule="auto"/>
              <w:jc w:val="center"/>
              <w:rPr>
                <w:rFonts w:eastAsia="Times New Roman" w:cs="Arial"/>
                <w:sz w:val="18"/>
                <w:szCs w:val="18"/>
              </w:rPr>
            </w:pPr>
          </w:p>
        </w:tc>
        <w:tc>
          <w:tcPr>
            <w:tcW w:w="1361" w:type="dxa"/>
            <w:tcBorders>
              <w:top w:val="nil"/>
              <w:left w:val="nil"/>
              <w:bottom w:val="single" w:sz="4" w:space="0" w:color="auto"/>
              <w:right w:val="nil"/>
            </w:tcBorders>
          </w:tcPr>
          <w:p w14:paraId="7C3FFDBF" w14:textId="77777777" w:rsidR="00DA3FBB" w:rsidRPr="00EA0DC7" w:rsidRDefault="00DA3FBB" w:rsidP="00DA3FBB">
            <w:pPr>
              <w:spacing w:line="240" w:lineRule="auto"/>
              <w:jc w:val="center"/>
              <w:rPr>
                <w:rFonts w:eastAsia="Times New Roman" w:cs="Arial"/>
                <w:sz w:val="18"/>
                <w:szCs w:val="18"/>
              </w:rPr>
            </w:pPr>
          </w:p>
        </w:tc>
        <w:tc>
          <w:tcPr>
            <w:tcW w:w="1361" w:type="dxa"/>
            <w:gridSpan w:val="2"/>
            <w:tcBorders>
              <w:top w:val="nil"/>
              <w:left w:val="nil"/>
              <w:bottom w:val="single" w:sz="4" w:space="0" w:color="auto"/>
              <w:right w:val="nil"/>
            </w:tcBorders>
          </w:tcPr>
          <w:p w14:paraId="3DF693D4" w14:textId="77777777" w:rsidR="00DA3FBB" w:rsidRPr="00EA0DC7" w:rsidRDefault="00DA3FBB" w:rsidP="00DA3FBB">
            <w:pPr>
              <w:spacing w:line="240" w:lineRule="auto"/>
              <w:jc w:val="center"/>
              <w:rPr>
                <w:rFonts w:eastAsia="Times New Roman" w:cs="Arial"/>
                <w:sz w:val="18"/>
                <w:szCs w:val="18"/>
              </w:rPr>
            </w:pPr>
          </w:p>
        </w:tc>
      </w:tr>
    </w:tbl>
    <w:p w14:paraId="606C58C9" w14:textId="77777777" w:rsidR="00A97F7E" w:rsidRPr="00EA0DC7" w:rsidRDefault="00A97F7E" w:rsidP="005016CB">
      <w:pPr>
        <w:spacing w:after="0" w:line="240" w:lineRule="auto"/>
        <w:jc w:val="center"/>
        <w:rPr>
          <w:rFonts w:eastAsia="Times New Roman" w:cs="Arial"/>
          <w:bCs/>
          <w:sz w:val="20"/>
          <w:szCs w:val="20"/>
        </w:rPr>
        <w:sectPr w:rsidR="00A97F7E" w:rsidRPr="00EA0DC7" w:rsidSect="00A97F7E">
          <w:type w:val="nextColumn"/>
          <w:pgSz w:w="16838" w:h="11906" w:orient="landscape"/>
          <w:pgMar w:top="1440" w:right="1440" w:bottom="2268" w:left="1440" w:header="709" w:footer="709" w:gutter="0"/>
          <w:cols w:space="708"/>
          <w:docGrid w:linePitch="360"/>
        </w:sectPr>
      </w:pPr>
    </w:p>
    <w:tbl>
      <w:tblPr>
        <w:tblW w:w="13920" w:type="dxa"/>
        <w:tblLayout w:type="fixed"/>
        <w:tblLook w:val="04A0" w:firstRow="1" w:lastRow="0" w:firstColumn="1" w:lastColumn="0" w:noHBand="0" w:noVBand="1"/>
      </w:tblPr>
      <w:tblGrid>
        <w:gridCol w:w="1560"/>
        <w:gridCol w:w="1134"/>
        <w:gridCol w:w="992"/>
        <w:gridCol w:w="1276"/>
        <w:gridCol w:w="992"/>
        <w:gridCol w:w="1304"/>
        <w:gridCol w:w="1247"/>
        <w:gridCol w:w="1304"/>
        <w:gridCol w:w="1276"/>
        <w:gridCol w:w="1417"/>
        <w:gridCol w:w="1418"/>
      </w:tblGrid>
      <w:tr w:rsidR="00A97F7E" w:rsidRPr="00EA0DC7" w14:paraId="03414F2E" w14:textId="77777777" w:rsidTr="00DA3FBB">
        <w:trPr>
          <w:trHeight w:val="1408"/>
          <w:tblHeader/>
        </w:trPr>
        <w:tc>
          <w:tcPr>
            <w:tcW w:w="1560" w:type="dxa"/>
            <w:tcBorders>
              <w:top w:val="single" w:sz="4" w:space="0" w:color="auto"/>
              <w:left w:val="nil"/>
              <w:bottom w:val="single" w:sz="4" w:space="0" w:color="auto"/>
              <w:right w:val="nil"/>
            </w:tcBorders>
            <w:shd w:val="clear" w:color="auto" w:fill="auto"/>
            <w:noWrap/>
            <w:vAlign w:val="center"/>
            <w:hideMark/>
          </w:tcPr>
          <w:p w14:paraId="4CF9C3A8" w14:textId="0CF2F9F8" w:rsidR="00A97F7E" w:rsidRPr="00EA0DC7" w:rsidRDefault="00A97F7E" w:rsidP="001E551A">
            <w:pPr>
              <w:spacing w:before="240" w:after="0" w:line="240" w:lineRule="auto"/>
              <w:jc w:val="center"/>
              <w:rPr>
                <w:rFonts w:eastAsia="Times New Roman" w:cs="Arial"/>
                <w:b/>
                <w:bCs/>
                <w:sz w:val="18"/>
                <w:szCs w:val="18"/>
              </w:rPr>
            </w:pPr>
            <w:r w:rsidRPr="00EA0DC7">
              <w:rPr>
                <w:rFonts w:eastAsia="Times New Roman" w:cs="Arial"/>
                <w:b/>
                <w:bCs/>
                <w:sz w:val="18"/>
                <w:szCs w:val="18"/>
              </w:rPr>
              <w:lastRenderedPageBreak/>
              <w:t>Model/</w:t>
            </w:r>
          </w:p>
          <w:p w14:paraId="24D3D987" w14:textId="77777777" w:rsidR="00A97F7E" w:rsidRPr="00EA0DC7" w:rsidRDefault="00A97F7E" w:rsidP="001E551A">
            <w:pPr>
              <w:spacing w:after="0" w:line="240" w:lineRule="auto"/>
              <w:jc w:val="center"/>
              <w:rPr>
                <w:rFonts w:eastAsia="Times New Roman" w:cs="Arial"/>
                <w:b/>
                <w:bCs/>
                <w:sz w:val="18"/>
                <w:szCs w:val="18"/>
              </w:rPr>
            </w:pPr>
            <w:r w:rsidRPr="00EA0DC7">
              <w:rPr>
                <w:rFonts w:eastAsia="Times New Roman" w:cs="Arial"/>
                <w:b/>
                <w:bCs/>
                <w:sz w:val="18"/>
                <w:szCs w:val="18"/>
              </w:rPr>
              <w:t>approach</w:t>
            </w:r>
          </w:p>
        </w:tc>
        <w:tc>
          <w:tcPr>
            <w:tcW w:w="1134" w:type="dxa"/>
            <w:tcBorders>
              <w:top w:val="single" w:sz="4" w:space="0" w:color="auto"/>
              <w:left w:val="nil"/>
              <w:bottom w:val="single" w:sz="4" w:space="0" w:color="auto"/>
              <w:right w:val="nil"/>
            </w:tcBorders>
            <w:shd w:val="clear" w:color="auto" w:fill="auto"/>
            <w:vAlign w:val="center"/>
            <w:hideMark/>
          </w:tcPr>
          <w:p w14:paraId="6E4CCD2F" w14:textId="62804217" w:rsidR="00A97F7E" w:rsidRPr="00EA0DC7" w:rsidRDefault="00A97F7E" w:rsidP="000C5B7D">
            <w:pPr>
              <w:spacing w:before="240" w:line="240" w:lineRule="auto"/>
              <w:jc w:val="center"/>
              <w:rPr>
                <w:rFonts w:eastAsia="Times New Roman" w:cs="Arial"/>
                <w:b/>
                <w:bCs/>
                <w:sz w:val="18"/>
                <w:szCs w:val="18"/>
              </w:rPr>
            </w:pPr>
            <w:r w:rsidRPr="00EA0DC7">
              <w:rPr>
                <w:rFonts w:eastAsia="Times New Roman" w:cs="Arial"/>
                <w:b/>
                <w:bCs/>
                <w:sz w:val="18"/>
                <w:szCs w:val="18"/>
              </w:rPr>
              <w:t>Supervis</w:t>
            </w:r>
            <w:r w:rsidR="00510ECA" w:rsidRPr="00EA0DC7">
              <w:rPr>
                <w:rFonts w:eastAsia="Times New Roman" w:cs="Arial"/>
                <w:b/>
                <w:bCs/>
                <w:sz w:val="18"/>
                <w:szCs w:val="18"/>
              </w:rPr>
              <w:t>-</w:t>
            </w:r>
            <w:r w:rsidRPr="00EA0DC7">
              <w:rPr>
                <w:rFonts w:eastAsia="Times New Roman" w:cs="Arial"/>
                <w:b/>
                <w:bCs/>
                <w:sz w:val="18"/>
                <w:szCs w:val="18"/>
              </w:rPr>
              <w:t xml:space="preserve">ee's </w:t>
            </w:r>
            <w:r w:rsidR="000C5B7D" w:rsidRPr="00EA0DC7">
              <w:rPr>
                <w:rFonts w:eastAsia="Times New Roman" w:cs="Arial"/>
                <w:b/>
                <w:bCs/>
                <w:sz w:val="18"/>
                <w:szCs w:val="18"/>
              </w:rPr>
              <w:t>personal character</w:t>
            </w:r>
            <w:r w:rsidRPr="00EA0DC7">
              <w:rPr>
                <w:rFonts w:eastAsia="Times New Roman" w:cs="Arial"/>
                <w:b/>
                <w:bCs/>
                <w:sz w:val="18"/>
                <w:szCs w:val="18"/>
              </w:rPr>
              <w:t>istics</w:t>
            </w:r>
          </w:p>
        </w:tc>
        <w:tc>
          <w:tcPr>
            <w:tcW w:w="992" w:type="dxa"/>
            <w:tcBorders>
              <w:top w:val="single" w:sz="4" w:space="0" w:color="auto"/>
              <w:left w:val="nil"/>
              <w:bottom w:val="single" w:sz="4" w:space="0" w:color="auto"/>
              <w:right w:val="nil"/>
            </w:tcBorders>
            <w:shd w:val="clear" w:color="auto" w:fill="auto"/>
            <w:vAlign w:val="center"/>
            <w:hideMark/>
          </w:tcPr>
          <w:p w14:paraId="1368664F" w14:textId="3D766A2A"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gender</w:t>
            </w:r>
          </w:p>
        </w:tc>
        <w:tc>
          <w:tcPr>
            <w:tcW w:w="1276" w:type="dxa"/>
            <w:tcBorders>
              <w:top w:val="single" w:sz="4" w:space="0" w:color="auto"/>
              <w:left w:val="nil"/>
              <w:bottom w:val="single" w:sz="4" w:space="0" w:color="auto"/>
              <w:right w:val="nil"/>
            </w:tcBorders>
            <w:shd w:val="clear" w:color="auto" w:fill="auto"/>
            <w:vAlign w:val="center"/>
            <w:hideMark/>
          </w:tcPr>
          <w:p w14:paraId="27299D46" w14:textId="7777777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ethnicity/ culture</w:t>
            </w:r>
          </w:p>
        </w:tc>
        <w:tc>
          <w:tcPr>
            <w:tcW w:w="992" w:type="dxa"/>
            <w:tcBorders>
              <w:top w:val="single" w:sz="4" w:space="0" w:color="auto"/>
              <w:left w:val="nil"/>
              <w:bottom w:val="single" w:sz="4" w:space="0" w:color="auto"/>
              <w:right w:val="nil"/>
            </w:tcBorders>
            <w:vAlign w:val="center"/>
          </w:tcPr>
          <w:p w14:paraId="02833F3B" w14:textId="1EED3919"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anxiety</w:t>
            </w:r>
          </w:p>
        </w:tc>
        <w:tc>
          <w:tcPr>
            <w:tcW w:w="1304" w:type="dxa"/>
            <w:tcBorders>
              <w:top w:val="single" w:sz="4" w:space="0" w:color="auto"/>
              <w:left w:val="nil"/>
              <w:bottom w:val="single" w:sz="4" w:space="0" w:color="auto"/>
              <w:right w:val="nil"/>
            </w:tcBorders>
            <w:vAlign w:val="center"/>
          </w:tcPr>
          <w:p w14:paraId="001D61C6" w14:textId="7777777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motivation</w:t>
            </w:r>
          </w:p>
        </w:tc>
        <w:tc>
          <w:tcPr>
            <w:tcW w:w="1247" w:type="dxa"/>
            <w:tcBorders>
              <w:top w:val="single" w:sz="4" w:space="0" w:color="auto"/>
              <w:left w:val="nil"/>
              <w:bottom w:val="single" w:sz="4" w:space="0" w:color="auto"/>
              <w:right w:val="nil"/>
            </w:tcBorders>
            <w:vAlign w:val="center"/>
          </w:tcPr>
          <w:p w14:paraId="023CAA46" w14:textId="534D300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autonomy vs dependen</w:t>
            </w:r>
            <w:r w:rsidR="00510ECA" w:rsidRPr="00EA0DC7">
              <w:rPr>
                <w:rFonts w:eastAsia="Times New Roman" w:cs="Arial"/>
                <w:b/>
                <w:bCs/>
                <w:sz w:val="18"/>
                <w:szCs w:val="18"/>
              </w:rPr>
              <w:t>-</w:t>
            </w:r>
            <w:r w:rsidRPr="00EA0DC7">
              <w:rPr>
                <w:rFonts w:eastAsia="Times New Roman" w:cs="Arial"/>
                <w:b/>
                <w:bCs/>
                <w:sz w:val="18"/>
                <w:szCs w:val="18"/>
              </w:rPr>
              <w:t>cy</w:t>
            </w:r>
          </w:p>
        </w:tc>
        <w:tc>
          <w:tcPr>
            <w:tcW w:w="1304" w:type="dxa"/>
            <w:tcBorders>
              <w:top w:val="single" w:sz="4" w:space="0" w:color="auto"/>
              <w:left w:val="nil"/>
              <w:bottom w:val="single" w:sz="4" w:space="0" w:color="auto"/>
              <w:right w:val="nil"/>
            </w:tcBorders>
            <w:vAlign w:val="center"/>
          </w:tcPr>
          <w:p w14:paraId="6C5CF286" w14:textId="7777777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awareness of self and/or others</w:t>
            </w:r>
          </w:p>
        </w:tc>
        <w:tc>
          <w:tcPr>
            <w:tcW w:w="1276" w:type="dxa"/>
            <w:tcBorders>
              <w:top w:val="single" w:sz="4" w:space="0" w:color="auto"/>
              <w:left w:val="nil"/>
              <w:bottom w:val="single" w:sz="4" w:space="0" w:color="auto"/>
              <w:right w:val="nil"/>
            </w:tcBorders>
            <w:vAlign w:val="center"/>
          </w:tcPr>
          <w:p w14:paraId="44D0E9FD" w14:textId="4514D30D"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Developm</w:t>
            </w:r>
            <w:r w:rsidR="00510ECA" w:rsidRPr="00EA0DC7">
              <w:rPr>
                <w:rFonts w:eastAsia="Times New Roman" w:cs="Arial"/>
                <w:b/>
                <w:bCs/>
                <w:sz w:val="18"/>
                <w:szCs w:val="18"/>
              </w:rPr>
              <w:t>-</w:t>
            </w:r>
            <w:r w:rsidRPr="00EA0DC7">
              <w:rPr>
                <w:rFonts w:eastAsia="Times New Roman" w:cs="Arial"/>
                <w:b/>
                <w:bCs/>
                <w:sz w:val="18"/>
                <w:szCs w:val="18"/>
              </w:rPr>
              <w:t>ent of supervisee</w:t>
            </w:r>
          </w:p>
        </w:tc>
        <w:tc>
          <w:tcPr>
            <w:tcW w:w="1417" w:type="dxa"/>
            <w:tcBorders>
              <w:top w:val="single" w:sz="4" w:space="0" w:color="auto"/>
              <w:left w:val="nil"/>
              <w:bottom w:val="single" w:sz="4" w:space="0" w:color="auto"/>
              <w:right w:val="nil"/>
            </w:tcBorders>
            <w:vAlign w:val="center"/>
          </w:tcPr>
          <w:p w14:paraId="1DAD55DF" w14:textId="7777777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individual learning styles</w:t>
            </w:r>
          </w:p>
        </w:tc>
        <w:tc>
          <w:tcPr>
            <w:tcW w:w="1418" w:type="dxa"/>
            <w:tcBorders>
              <w:top w:val="single" w:sz="4" w:space="0" w:color="auto"/>
              <w:left w:val="nil"/>
              <w:bottom w:val="single" w:sz="4" w:space="0" w:color="auto"/>
              <w:right w:val="nil"/>
            </w:tcBorders>
            <w:vAlign w:val="center"/>
          </w:tcPr>
          <w:p w14:paraId="1DC40004" w14:textId="77777777" w:rsidR="00A97F7E" w:rsidRPr="00EA0DC7" w:rsidRDefault="00A97F7E"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can take on variety of roles</w:t>
            </w:r>
          </w:p>
        </w:tc>
      </w:tr>
      <w:tr w:rsidR="000C5B7D" w:rsidRPr="00EA0DC7" w14:paraId="0A478DB0" w14:textId="77777777" w:rsidTr="00DA3FBB">
        <w:trPr>
          <w:trHeight w:val="283"/>
          <w:tblHeader/>
        </w:trPr>
        <w:tc>
          <w:tcPr>
            <w:tcW w:w="1560" w:type="dxa"/>
            <w:tcBorders>
              <w:left w:val="nil"/>
              <w:right w:val="nil"/>
            </w:tcBorders>
            <w:shd w:val="clear" w:color="auto" w:fill="auto"/>
            <w:hideMark/>
          </w:tcPr>
          <w:p w14:paraId="31F04FDB" w14:textId="77777777" w:rsidR="003F0CDB" w:rsidRPr="00EA0DC7" w:rsidRDefault="003F0CDB" w:rsidP="00DA3FBB">
            <w:pPr>
              <w:spacing w:before="240" w:line="240" w:lineRule="auto"/>
              <w:jc w:val="left"/>
              <w:rPr>
                <w:rFonts w:eastAsia="Times New Roman" w:cs="Arial"/>
                <w:sz w:val="18"/>
                <w:szCs w:val="18"/>
              </w:rPr>
            </w:pPr>
            <w:r w:rsidRPr="00EA0DC7">
              <w:rPr>
                <w:rFonts w:eastAsia="Times New Roman" w:cs="Arial"/>
                <w:sz w:val="18"/>
                <w:szCs w:val="18"/>
              </w:rPr>
              <w:t>Littrell et al. (1979)</w:t>
            </w:r>
          </w:p>
        </w:tc>
        <w:tc>
          <w:tcPr>
            <w:tcW w:w="1134" w:type="dxa"/>
            <w:tcBorders>
              <w:left w:val="nil"/>
              <w:right w:val="nil"/>
            </w:tcBorders>
            <w:shd w:val="clear" w:color="auto" w:fill="auto"/>
            <w:noWrap/>
            <w:hideMark/>
          </w:tcPr>
          <w:p w14:paraId="6B344897" w14:textId="77777777" w:rsidR="003F0CDB" w:rsidRPr="00EA0DC7" w:rsidRDefault="003F0CDB" w:rsidP="00DA3FBB">
            <w:pPr>
              <w:spacing w:before="240" w:line="240" w:lineRule="auto"/>
              <w:jc w:val="center"/>
              <w:rPr>
                <w:rFonts w:eastAsia="Times New Roman" w:cs="Arial"/>
                <w:sz w:val="18"/>
                <w:szCs w:val="18"/>
              </w:rPr>
            </w:pPr>
          </w:p>
        </w:tc>
        <w:tc>
          <w:tcPr>
            <w:tcW w:w="992" w:type="dxa"/>
            <w:tcBorders>
              <w:left w:val="nil"/>
              <w:right w:val="nil"/>
            </w:tcBorders>
            <w:shd w:val="clear" w:color="auto" w:fill="auto"/>
            <w:noWrap/>
            <w:hideMark/>
          </w:tcPr>
          <w:p w14:paraId="4FD1C65C" w14:textId="77777777" w:rsidR="003F0CDB" w:rsidRPr="00EA0DC7" w:rsidRDefault="003F0CDB" w:rsidP="00DA3FBB">
            <w:pPr>
              <w:spacing w:before="240"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3DB39ADA" w14:textId="77777777" w:rsidR="003F0CDB" w:rsidRPr="00EA0DC7" w:rsidRDefault="003F0CDB" w:rsidP="00DA3FBB">
            <w:pPr>
              <w:spacing w:before="240" w:line="240" w:lineRule="auto"/>
              <w:jc w:val="center"/>
              <w:rPr>
                <w:rFonts w:eastAsia="Times New Roman" w:cs="Arial"/>
                <w:sz w:val="18"/>
                <w:szCs w:val="18"/>
              </w:rPr>
            </w:pPr>
          </w:p>
        </w:tc>
        <w:tc>
          <w:tcPr>
            <w:tcW w:w="992" w:type="dxa"/>
            <w:tcBorders>
              <w:left w:val="nil"/>
              <w:right w:val="nil"/>
            </w:tcBorders>
          </w:tcPr>
          <w:p w14:paraId="2E487876" w14:textId="77777777" w:rsidR="003F0CDB" w:rsidRPr="00EA0DC7" w:rsidRDefault="003F0CDB" w:rsidP="00DA3FBB">
            <w:pPr>
              <w:spacing w:before="240" w:line="240" w:lineRule="auto"/>
              <w:jc w:val="center"/>
              <w:rPr>
                <w:rFonts w:eastAsia="Times New Roman" w:cs="Arial"/>
                <w:sz w:val="18"/>
                <w:szCs w:val="18"/>
              </w:rPr>
            </w:pPr>
          </w:p>
        </w:tc>
        <w:tc>
          <w:tcPr>
            <w:tcW w:w="1304" w:type="dxa"/>
            <w:tcBorders>
              <w:left w:val="nil"/>
              <w:right w:val="nil"/>
            </w:tcBorders>
          </w:tcPr>
          <w:p w14:paraId="2D42037C" w14:textId="77777777" w:rsidR="003F0CDB" w:rsidRPr="00EA0DC7" w:rsidRDefault="003F0CDB" w:rsidP="00DA3FBB">
            <w:pPr>
              <w:spacing w:before="240" w:line="240" w:lineRule="auto"/>
              <w:jc w:val="center"/>
              <w:rPr>
                <w:rFonts w:eastAsia="Times New Roman" w:cs="Arial"/>
                <w:sz w:val="18"/>
                <w:szCs w:val="18"/>
              </w:rPr>
            </w:pPr>
          </w:p>
        </w:tc>
        <w:tc>
          <w:tcPr>
            <w:tcW w:w="1247" w:type="dxa"/>
            <w:tcBorders>
              <w:left w:val="nil"/>
              <w:right w:val="nil"/>
            </w:tcBorders>
          </w:tcPr>
          <w:p w14:paraId="588C83DD" w14:textId="77777777" w:rsidR="003F0CDB" w:rsidRPr="00EA0DC7" w:rsidRDefault="003F0CDB" w:rsidP="00DA3FBB">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21AB8AA1" w14:textId="77777777" w:rsidR="003F0CDB" w:rsidRPr="00EA0DC7" w:rsidRDefault="003F0CDB" w:rsidP="00DA3FBB">
            <w:pPr>
              <w:spacing w:before="240" w:line="240" w:lineRule="auto"/>
              <w:jc w:val="center"/>
              <w:rPr>
                <w:rFonts w:eastAsia="Times New Roman" w:cs="Arial"/>
                <w:sz w:val="18"/>
                <w:szCs w:val="18"/>
              </w:rPr>
            </w:pPr>
          </w:p>
        </w:tc>
        <w:tc>
          <w:tcPr>
            <w:tcW w:w="1276" w:type="dxa"/>
            <w:tcBorders>
              <w:left w:val="nil"/>
              <w:right w:val="nil"/>
            </w:tcBorders>
          </w:tcPr>
          <w:p w14:paraId="4CF2180E" w14:textId="77777777" w:rsidR="003F0CDB" w:rsidRPr="00EA0DC7" w:rsidRDefault="003F0CDB" w:rsidP="00DA3FBB">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tcBorders>
              <w:left w:val="nil"/>
              <w:right w:val="nil"/>
            </w:tcBorders>
          </w:tcPr>
          <w:p w14:paraId="7E91BB8E" w14:textId="77777777" w:rsidR="003F0CDB" w:rsidRPr="00EA0DC7" w:rsidRDefault="003F0CDB" w:rsidP="00DA3FBB">
            <w:pPr>
              <w:spacing w:before="240" w:line="240" w:lineRule="auto"/>
              <w:jc w:val="center"/>
              <w:rPr>
                <w:rFonts w:eastAsia="Times New Roman" w:cs="Arial"/>
                <w:sz w:val="18"/>
                <w:szCs w:val="18"/>
              </w:rPr>
            </w:pPr>
          </w:p>
        </w:tc>
        <w:tc>
          <w:tcPr>
            <w:tcW w:w="1418" w:type="dxa"/>
            <w:tcBorders>
              <w:left w:val="nil"/>
              <w:right w:val="nil"/>
            </w:tcBorders>
          </w:tcPr>
          <w:p w14:paraId="37D53B0F" w14:textId="77777777" w:rsidR="003F0CDB" w:rsidRPr="00EA0DC7" w:rsidRDefault="003F0CDB" w:rsidP="00DA3FBB">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r>
      <w:tr w:rsidR="000C5B7D" w:rsidRPr="00EA0DC7" w14:paraId="4401BE41" w14:textId="77777777" w:rsidTr="00DA3FBB">
        <w:trPr>
          <w:trHeight w:val="80"/>
          <w:tblHeader/>
        </w:trPr>
        <w:tc>
          <w:tcPr>
            <w:tcW w:w="1560" w:type="dxa"/>
            <w:tcBorders>
              <w:left w:val="nil"/>
              <w:right w:val="nil"/>
            </w:tcBorders>
            <w:shd w:val="clear" w:color="auto" w:fill="auto"/>
            <w:hideMark/>
          </w:tcPr>
          <w:p w14:paraId="7613473D"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Langs (1980)</w:t>
            </w:r>
          </w:p>
        </w:tc>
        <w:tc>
          <w:tcPr>
            <w:tcW w:w="1134" w:type="dxa"/>
            <w:tcBorders>
              <w:left w:val="nil"/>
              <w:right w:val="nil"/>
            </w:tcBorders>
            <w:shd w:val="clear" w:color="auto" w:fill="auto"/>
            <w:noWrap/>
            <w:hideMark/>
          </w:tcPr>
          <w:p w14:paraId="5CA0F91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268143B9"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480FCB8D"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2100B4AB"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331FD2CC" w14:textId="77777777" w:rsidR="003F0CDB" w:rsidRPr="00EA0DC7" w:rsidRDefault="003F0CDB" w:rsidP="00B23505">
            <w:pPr>
              <w:spacing w:line="240" w:lineRule="auto"/>
              <w:jc w:val="center"/>
              <w:rPr>
                <w:rFonts w:eastAsia="Times New Roman" w:cs="Arial"/>
                <w:sz w:val="18"/>
                <w:szCs w:val="18"/>
              </w:rPr>
            </w:pPr>
          </w:p>
        </w:tc>
        <w:tc>
          <w:tcPr>
            <w:tcW w:w="1247" w:type="dxa"/>
            <w:tcBorders>
              <w:left w:val="nil"/>
              <w:right w:val="nil"/>
            </w:tcBorders>
          </w:tcPr>
          <w:p w14:paraId="66E6AB4E" w14:textId="77777777" w:rsidR="003F0CDB" w:rsidRPr="00EA0DC7" w:rsidRDefault="003F0CDB" w:rsidP="00B23505">
            <w:pPr>
              <w:spacing w:line="240" w:lineRule="auto"/>
              <w:jc w:val="center"/>
              <w:rPr>
                <w:rFonts w:eastAsia="Times New Roman" w:cs="Arial"/>
                <w:sz w:val="18"/>
                <w:szCs w:val="18"/>
              </w:rPr>
            </w:pPr>
          </w:p>
        </w:tc>
        <w:tc>
          <w:tcPr>
            <w:tcW w:w="1304" w:type="dxa"/>
            <w:tcBorders>
              <w:left w:val="nil"/>
              <w:right w:val="nil"/>
            </w:tcBorders>
          </w:tcPr>
          <w:p w14:paraId="3A46CF50"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tcPr>
          <w:p w14:paraId="498C1331" w14:textId="77777777" w:rsidR="003F0CDB" w:rsidRPr="00EA0DC7" w:rsidRDefault="003F0CDB" w:rsidP="00B23505">
            <w:pPr>
              <w:spacing w:line="240" w:lineRule="auto"/>
              <w:jc w:val="center"/>
              <w:rPr>
                <w:rFonts w:eastAsia="Times New Roman" w:cs="Arial"/>
                <w:sz w:val="18"/>
                <w:szCs w:val="18"/>
              </w:rPr>
            </w:pPr>
          </w:p>
        </w:tc>
        <w:tc>
          <w:tcPr>
            <w:tcW w:w="1417" w:type="dxa"/>
            <w:tcBorders>
              <w:left w:val="nil"/>
              <w:right w:val="nil"/>
            </w:tcBorders>
          </w:tcPr>
          <w:p w14:paraId="1DC9248E" w14:textId="77777777" w:rsidR="003F0CDB" w:rsidRPr="00EA0DC7" w:rsidRDefault="003F0CDB" w:rsidP="00B23505">
            <w:pPr>
              <w:spacing w:line="240" w:lineRule="auto"/>
              <w:jc w:val="center"/>
              <w:rPr>
                <w:rFonts w:eastAsia="Times New Roman" w:cs="Arial"/>
                <w:sz w:val="18"/>
                <w:szCs w:val="18"/>
              </w:rPr>
            </w:pPr>
          </w:p>
        </w:tc>
        <w:tc>
          <w:tcPr>
            <w:tcW w:w="1418" w:type="dxa"/>
            <w:tcBorders>
              <w:left w:val="nil"/>
              <w:right w:val="nil"/>
            </w:tcBorders>
          </w:tcPr>
          <w:p w14:paraId="488C28B0" w14:textId="77777777" w:rsidR="003F0CDB" w:rsidRPr="00EA0DC7" w:rsidRDefault="003F0CDB" w:rsidP="00B23505">
            <w:pPr>
              <w:spacing w:line="240" w:lineRule="auto"/>
              <w:jc w:val="center"/>
              <w:rPr>
                <w:rFonts w:eastAsia="Times New Roman" w:cs="Arial"/>
                <w:sz w:val="18"/>
                <w:szCs w:val="18"/>
              </w:rPr>
            </w:pPr>
          </w:p>
        </w:tc>
      </w:tr>
      <w:tr w:rsidR="000C5B7D" w:rsidRPr="00EA0DC7" w14:paraId="4A0F1C8D" w14:textId="77777777" w:rsidTr="00DA3FBB">
        <w:trPr>
          <w:trHeight w:val="287"/>
          <w:tblHeader/>
        </w:trPr>
        <w:tc>
          <w:tcPr>
            <w:tcW w:w="1560" w:type="dxa"/>
            <w:tcBorders>
              <w:left w:val="nil"/>
              <w:right w:val="nil"/>
            </w:tcBorders>
            <w:shd w:val="clear" w:color="auto" w:fill="auto"/>
            <w:hideMark/>
          </w:tcPr>
          <w:p w14:paraId="78744F4E"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Rice (1980)</w:t>
            </w:r>
          </w:p>
        </w:tc>
        <w:tc>
          <w:tcPr>
            <w:tcW w:w="1134" w:type="dxa"/>
            <w:tcBorders>
              <w:left w:val="nil"/>
              <w:right w:val="nil"/>
            </w:tcBorders>
            <w:shd w:val="clear" w:color="auto" w:fill="auto"/>
            <w:noWrap/>
            <w:hideMark/>
          </w:tcPr>
          <w:p w14:paraId="2113625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7FB078F2"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301CD7D9"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5D91641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2DB9B267" w14:textId="77777777" w:rsidR="003F0CDB" w:rsidRPr="00EA0DC7" w:rsidRDefault="003F0CDB" w:rsidP="00B23505">
            <w:pPr>
              <w:spacing w:line="240" w:lineRule="auto"/>
              <w:jc w:val="center"/>
              <w:rPr>
                <w:rFonts w:eastAsia="Times New Roman" w:cs="Arial"/>
                <w:sz w:val="18"/>
                <w:szCs w:val="18"/>
              </w:rPr>
            </w:pPr>
          </w:p>
        </w:tc>
        <w:tc>
          <w:tcPr>
            <w:tcW w:w="1247" w:type="dxa"/>
            <w:tcBorders>
              <w:left w:val="nil"/>
              <w:right w:val="nil"/>
            </w:tcBorders>
          </w:tcPr>
          <w:p w14:paraId="47FDF069"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73FCC18F"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tcPr>
          <w:p w14:paraId="429A8DD9"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tcBorders>
              <w:left w:val="nil"/>
              <w:right w:val="nil"/>
            </w:tcBorders>
          </w:tcPr>
          <w:p w14:paraId="3E40A442"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8" w:type="dxa"/>
            <w:tcBorders>
              <w:left w:val="nil"/>
              <w:right w:val="nil"/>
            </w:tcBorders>
          </w:tcPr>
          <w:p w14:paraId="50EA5D6E" w14:textId="77777777" w:rsidR="003F0CDB" w:rsidRPr="00EA0DC7" w:rsidRDefault="003F0CDB" w:rsidP="00B23505">
            <w:pPr>
              <w:spacing w:line="240" w:lineRule="auto"/>
              <w:jc w:val="center"/>
              <w:rPr>
                <w:rFonts w:eastAsia="Times New Roman" w:cs="Arial"/>
                <w:sz w:val="18"/>
                <w:szCs w:val="18"/>
              </w:rPr>
            </w:pPr>
          </w:p>
        </w:tc>
      </w:tr>
      <w:tr w:rsidR="000C5B7D" w:rsidRPr="00EA0DC7" w14:paraId="7C93DC8C" w14:textId="77777777" w:rsidTr="00DA3FBB">
        <w:trPr>
          <w:trHeight w:val="80"/>
          <w:tblHeader/>
        </w:trPr>
        <w:tc>
          <w:tcPr>
            <w:tcW w:w="1560" w:type="dxa"/>
            <w:tcBorders>
              <w:left w:val="nil"/>
              <w:right w:val="nil"/>
            </w:tcBorders>
            <w:shd w:val="clear" w:color="auto" w:fill="auto"/>
            <w:hideMark/>
          </w:tcPr>
          <w:p w14:paraId="40C73406"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Linehan (1980)</w:t>
            </w:r>
          </w:p>
        </w:tc>
        <w:tc>
          <w:tcPr>
            <w:tcW w:w="1134" w:type="dxa"/>
            <w:tcBorders>
              <w:left w:val="nil"/>
              <w:right w:val="nil"/>
            </w:tcBorders>
            <w:shd w:val="clear" w:color="auto" w:fill="auto"/>
            <w:noWrap/>
            <w:hideMark/>
          </w:tcPr>
          <w:p w14:paraId="3523AC1D"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348E9786"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5D57B1FD"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08542D9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206615A2" w14:textId="77777777" w:rsidR="003F0CDB" w:rsidRPr="00EA0DC7" w:rsidRDefault="003F0CDB" w:rsidP="00B23505">
            <w:pPr>
              <w:spacing w:line="240" w:lineRule="auto"/>
              <w:jc w:val="center"/>
              <w:rPr>
                <w:rFonts w:eastAsia="Times New Roman" w:cs="Arial"/>
                <w:sz w:val="18"/>
                <w:szCs w:val="18"/>
              </w:rPr>
            </w:pPr>
          </w:p>
        </w:tc>
        <w:tc>
          <w:tcPr>
            <w:tcW w:w="1247" w:type="dxa"/>
            <w:tcBorders>
              <w:left w:val="nil"/>
              <w:right w:val="nil"/>
            </w:tcBorders>
          </w:tcPr>
          <w:p w14:paraId="0758B388" w14:textId="77777777" w:rsidR="003F0CDB" w:rsidRPr="00EA0DC7" w:rsidRDefault="003F0CDB" w:rsidP="00B23505">
            <w:pPr>
              <w:spacing w:line="240" w:lineRule="auto"/>
              <w:jc w:val="center"/>
              <w:rPr>
                <w:rFonts w:eastAsia="Times New Roman" w:cs="Arial"/>
                <w:sz w:val="18"/>
                <w:szCs w:val="18"/>
              </w:rPr>
            </w:pPr>
          </w:p>
        </w:tc>
        <w:tc>
          <w:tcPr>
            <w:tcW w:w="1304" w:type="dxa"/>
            <w:tcBorders>
              <w:left w:val="nil"/>
              <w:right w:val="nil"/>
            </w:tcBorders>
          </w:tcPr>
          <w:p w14:paraId="70EC2D6A"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tcPr>
          <w:p w14:paraId="2F972083" w14:textId="77777777" w:rsidR="003F0CDB" w:rsidRPr="00EA0DC7" w:rsidRDefault="003F0CDB" w:rsidP="00B23505">
            <w:pPr>
              <w:spacing w:line="240" w:lineRule="auto"/>
              <w:jc w:val="center"/>
              <w:rPr>
                <w:rFonts w:eastAsia="Times New Roman" w:cs="Arial"/>
                <w:sz w:val="18"/>
                <w:szCs w:val="18"/>
              </w:rPr>
            </w:pPr>
          </w:p>
        </w:tc>
        <w:tc>
          <w:tcPr>
            <w:tcW w:w="1417" w:type="dxa"/>
            <w:tcBorders>
              <w:left w:val="nil"/>
              <w:right w:val="nil"/>
            </w:tcBorders>
          </w:tcPr>
          <w:p w14:paraId="53C715BC" w14:textId="77777777" w:rsidR="003F0CDB" w:rsidRPr="00EA0DC7" w:rsidRDefault="003F0CDB" w:rsidP="00B23505">
            <w:pPr>
              <w:spacing w:line="240" w:lineRule="auto"/>
              <w:jc w:val="center"/>
              <w:rPr>
                <w:rFonts w:eastAsia="Times New Roman" w:cs="Arial"/>
                <w:sz w:val="18"/>
                <w:szCs w:val="18"/>
              </w:rPr>
            </w:pPr>
          </w:p>
        </w:tc>
        <w:tc>
          <w:tcPr>
            <w:tcW w:w="1418" w:type="dxa"/>
            <w:tcBorders>
              <w:left w:val="nil"/>
              <w:right w:val="nil"/>
            </w:tcBorders>
          </w:tcPr>
          <w:p w14:paraId="1799A677" w14:textId="77777777" w:rsidR="003F0CDB" w:rsidRPr="00EA0DC7" w:rsidRDefault="003F0CDB" w:rsidP="00B23505">
            <w:pPr>
              <w:spacing w:line="240" w:lineRule="auto"/>
              <w:jc w:val="center"/>
              <w:rPr>
                <w:rFonts w:eastAsia="Times New Roman" w:cs="Arial"/>
                <w:sz w:val="18"/>
                <w:szCs w:val="18"/>
              </w:rPr>
            </w:pPr>
          </w:p>
        </w:tc>
      </w:tr>
      <w:tr w:rsidR="000C5B7D" w:rsidRPr="00EA0DC7" w14:paraId="33314189" w14:textId="77777777" w:rsidTr="00DA3FBB">
        <w:trPr>
          <w:trHeight w:val="283"/>
          <w:tblHeader/>
        </w:trPr>
        <w:tc>
          <w:tcPr>
            <w:tcW w:w="1560" w:type="dxa"/>
            <w:tcBorders>
              <w:top w:val="nil"/>
              <w:left w:val="nil"/>
              <w:right w:val="nil"/>
            </w:tcBorders>
            <w:shd w:val="clear" w:color="auto" w:fill="auto"/>
            <w:hideMark/>
          </w:tcPr>
          <w:p w14:paraId="4F80E556"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Beier &amp; Young (1980)</w:t>
            </w:r>
          </w:p>
        </w:tc>
        <w:tc>
          <w:tcPr>
            <w:tcW w:w="1134" w:type="dxa"/>
            <w:tcBorders>
              <w:top w:val="nil"/>
              <w:left w:val="nil"/>
              <w:right w:val="nil"/>
            </w:tcBorders>
            <w:shd w:val="clear" w:color="auto" w:fill="auto"/>
            <w:noWrap/>
            <w:hideMark/>
          </w:tcPr>
          <w:p w14:paraId="1EEB0576"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shd w:val="clear" w:color="auto" w:fill="auto"/>
            <w:noWrap/>
            <w:hideMark/>
          </w:tcPr>
          <w:p w14:paraId="393D44F4"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right w:val="nil"/>
            </w:tcBorders>
            <w:shd w:val="clear" w:color="auto" w:fill="auto"/>
            <w:noWrap/>
            <w:hideMark/>
          </w:tcPr>
          <w:p w14:paraId="7E8B0A3F" w14:textId="77777777" w:rsidR="003F0CDB" w:rsidRPr="00EA0DC7" w:rsidRDefault="003F0CDB" w:rsidP="00B23505">
            <w:pPr>
              <w:spacing w:line="240" w:lineRule="auto"/>
              <w:jc w:val="center"/>
              <w:rPr>
                <w:rFonts w:eastAsia="Times New Roman" w:cs="Arial"/>
                <w:sz w:val="18"/>
                <w:szCs w:val="18"/>
              </w:rPr>
            </w:pPr>
          </w:p>
        </w:tc>
        <w:tc>
          <w:tcPr>
            <w:tcW w:w="992" w:type="dxa"/>
            <w:tcBorders>
              <w:top w:val="nil"/>
              <w:left w:val="nil"/>
              <w:right w:val="nil"/>
            </w:tcBorders>
          </w:tcPr>
          <w:p w14:paraId="37150946" w14:textId="77777777" w:rsidR="003F0CDB" w:rsidRPr="00EA0DC7" w:rsidRDefault="003F0CDB" w:rsidP="00B23505">
            <w:pPr>
              <w:spacing w:line="240" w:lineRule="auto"/>
              <w:jc w:val="center"/>
              <w:rPr>
                <w:rFonts w:eastAsia="Times New Roman" w:cs="Arial"/>
                <w:sz w:val="18"/>
                <w:szCs w:val="18"/>
              </w:rPr>
            </w:pPr>
          </w:p>
        </w:tc>
        <w:tc>
          <w:tcPr>
            <w:tcW w:w="1304" w:type="dxa"/>
            <w:tcBorders>
              <w:top w:val="nil"/>
              <w:left w:val="nil"/>
              <w:right w:val="nil"/>
            </w:tcBorders>
          </w:tcPr>
          <w:p w14:paraId="3D119BF8" w14:textId="77777777" w:rsidR="003F0CDB" w:rsidRPr="00EA0DC7" w:rsidRDefault="003F0CDB" w:rsidP="00B23505">
            <w:pPr>
              <w:spacing w:line="240" w:lineRule="auto"/>
              <w:jc w:val="center"/>
              <w:rPr>
                <w:rFonts w:eastAsia="Times New Roman" w:cs="Arial"/>
                <w:sz w:val="18"/>
                <w:szCs w:val="18"/>
              </w:rPr>
            </w:pPr>
          </w:p>
        </w:tc>
        <w:tc>
          <w:tcPr>
            <w:tcW w:w="1247" w:type="dxa"/>
            <w:tcBorders>
              <w:top w:val="nil"/>
              <w:left w:val="nil"/>
              <w:right w:val="nil"/>
            </w:tcBorders>
          </w:tcPr>
          <w:p w14:paraId="67995541" w14:textId="77777777" w:rsidR="003F0CDB" w:rsidRPr="00EA0DC7" w:rsidRDefault="003F0CDB" w:rsidP="00B23505">
            <w:pPr>
              <w:spacing w:line="240" w:lineRule="auto"/>
              <w:jc w:val="center"/>
              <w:rPr>
                <w:rFonts w:eastAsia="Times New Roman" w:cs="Arial"/>
                <w:sz w:val="18"/>
                <w:szCs w:val="18"/>
              </w:rPr>
            </w:pPr>
          </w:p>
        </w:tc>
        <w:tc>
          <w:tcPr>
            <w:tcW w:w="1304" w:type="dxa"/>
            <w:tcBorders>
              <w:top w:val="nil"/>
              <w:left w:val="nil"/>
              <w:right w:val="nil"/>
            </w:tcBorders>
          </w:tcPr>
          <w:p w14:paraId="0068887E"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right w:val="nil"/>
            </w:tcBorders>
          </w:tcPr>
          <w:p w14:paraId="4548F023" w14:textId="77777777" w:rsidR="003F0CDB" w:rsidRPr="00EA0DC7" w:rsidRDefault="003F0CDB" w:rsidP="00B23505">
            <w:pPr>
              <w:spacing w:line="240" w:lineRule="auto"/>
              <w:jc w:val="center"/>
              <w:rPr>
                <w:rFonts w:eastAsia="Times New Roman" w:cs="Arial"/>
                <w:sz w:val="18"/>
                <w:szCs w:val="18"/>
              </w:rPr>
            </w:pPr>
          </w:p>
        </w:tc>
        <w:tc>
          <w:tcPr>
            <w:tcW w:w="1417" w:type="dxa"/>
            <w:tcBorders>
              <w:top w:val="nil"/>
              <w:left w:val="nil"/>
              <w:right w:val="nil"/>
            </w:tcBorders>
          </w:tcPr>
          <w:p w14:paraId="1A31488F" w14:textId="77777777" w:rsidR="003F0CDB" w:rsidRPr="00EA0DC7" w:rsidRDefault="003F0CDB" w:rsidP="00B23505">
            <w:pPr>
              <w:spacing w:line="240" w:lineRule="auto"/>
              <w:jc w:val="center"/>
              <w:rPr>
                <w:rFonts w:eastAsia="Times New Roman" w:cs="Arial"/>
                <w:sz w:val="18"/>
                <w:szCs w:val="18"/>
              </w:rPr>
            </w:pPr>
          </w:p>
        </w:tc>
        <w:tc>
          <w:tcPr>
            <w:tcW w:w="1418" w:type="dxa"/>
            <w:tcBorders>
              <w:top w:val="nil"/>
              <w:left w:val="nil"/>
              <w:right w:val="nil"/>
            </w:tcBorders>
          </w:tcPr>
          <w:p w14:paraId="6FB94FA4" w14:textId="77777777" w:rsidR="003F0CDB" w:rsidRPr="00EA0DC7" w:rsidRDefault="003F0CDB" w:rsidP="00B23505">
            <w:pPr>
              <w:spacing w:line="240" w:lineRule="auto"/>
              <w:jc w:val="center"/>
              <w:rPr>
                <w:rFonts w:eastAsia="Times New Roman" w:cs="Arial"/>
                <w:sz w:val="18"/>
                <w:szCs w:val="18"/>
              </w:rPr>
            </w:pPr>
          </w:p>
        </w:tc>
      </w:tr>
      <w:tr w:rsidR="000C5B7D" w:rsidRPr="00EA0DC7" w14:paraId="13346C10" w14:textId="77777777" w:rsidTr="00DA3FBB">
        <w:trPr>
          <w:trHeight w:val="416"/>
          <w:tblHeader/>
        </w:trPr>
        <w:tc>
          <w:tcPr>
            <w:tcW w:w="1560" w:type="dxa"/>
            <w:tcBorders>
              <w:left w:val="nil"/>
              <w:right w:val="nil"/>
            </w:tcBorders>
            <w:shd w:val="clear" w:color="auto" w:fill="auto"/>
            <w:hideMark/>
          </w:tcPr>
          <w:p w14:paraId="03AC0176"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Stoltenberg (1981)</w:t>
            </w:r>
          </w:p>
        </w:tc>
        <w:tc>
          <w:tcPr>
            <w:tcW w:w="1134" w:type="dxa"/>
            <w:tcBorders>
              <w:left w:val="nil"/>
              <w:right w:val="nil"/>
            </w:tcBorders>
            <w:shd w:val="clear" w:color="auto" w:fill="auto"/>
            <w:noWrap/>
            <w:hideMark/>
          </w:tcPr>
          <w:p w14:paraId="78C0B36D"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13B05935"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6F5AFC6D"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1092C7F4"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6A0D93E9"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left w:val="nil"/>
              <w:right w:val="nil"/>
            </w:tcBorders>
          </w:tcPr>
          <w:p w14:paraId="25F03B4C"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0C1F8A6F"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left w:val="nil"/>
              <w:right w:val="nil"/>
            </w:tcBorders>
          </w:tcPr>
          <w:p w14:paraId="310E842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tcBorders>
              <w:left w:val="nil"/>
              <w:right w:val="nil"/>
            </w:tcBorders>
          </w:tcPr>
          <w:p w14:paraId="14F10FCF" w14:textId="77777777" w:rsidR="003F0CDB" w:rsidRPr="00EA0DC7" w:rsidRDefault="003F0CDB" w:rsidP="00B23505">
            <w:pPr>
              <w:spacing w:line="240" w:lineRule="auto"/>
              <w:jc w:val="center"/>
              <w:rPr>
                <w:rFonts w:eastAsia="Times New Roman" w:cs="Arial"/>
                <w:sz w:val="18"/>
                <w:szCs w:val="18"/>
              </w:rPr>
            </w:pPr>
          </w:p>
        </w:tc>
        <w:tc>
          <w:tcPr>
            <w:tcW w:w="1418" w:type="dxa"/>
            <w:tcBorders>
              <w:left w:val="nil"/>
              <w:right w:val="nil"/>
            </w:tcBorders>
          </w:tcPr>
          <w:p w14:paraId="7EF835C9" w14:textId="77777777" w:rsidR="003F0CDB" w:rsidRPr="00EA0DC7" w:rsidRDefault="003F0CDB" w:rsidP="00B23505">
            <w:pPr>
              <w:spacing w:line="240" w:lineRule="auto"/>
              <w:jc w:val="center"/>
              <w:rPr>
                <w:rFonts w:eastAsia="Times New Roman" w:cs="Arial"/>
                <w:sz w:val="18"/>
                <w:szCs w:val="18"/>
              </w:rPr>
            </w:pPr>
          </w:p>
        </w:tc>
      </w:tr>
      <w:tr w:rsidR="000C5B7D" w:rsidRPr="00EA0DC7" w14:paraId="5159AE84" w14:textId="77777777" w:rsidTr="00DA3FBB">
        <w:trPr>
          <w:trHeight w:val="70"/>
          <w:tblHeader/>
        </w:trPr>
        <w:tc>
          <w:tcPr>
            <w:tcW w:w="1560" w:type="dxa"/>
            <w:tcBorders>
              <w:left w:val="nil"/>
              <w:right w:val="nil"/>
            </w:tcBorders>
            <w:shd w:val="clear" w:color="auto" w:fill="auto"/>
            <w:hideMark/>
          </w:tcPr>
          <w:p w14:paraId="5D226805"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Loganbill et al. (1982)</w:t>
            </w:r>
          </w:p>
        </w:tc>
        <w:tc>
          <w:tcPr>
            <w:tcW w:w="1134" w:type="dxa"/>
            <w:tcBorders>
              <w:left w:val="nil"/>
              <w:right w:val="nil"/>
            </w:tcBorders>
            <w:shd w:val="clear" w:color="auto" w:fill="auto"/>
            <w:noWrap/>
            <w:hideMark/>
          </w:tcPr>
          <w:p w14:paraId="0BFD693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13BA8EA5"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left w:val="nil"/>
              <w:right w:val="nil"/>
            </w:tcBorders>
            <w:shd w:val="clear" w:color="auto" w:fill="auto"/>
            <w:noWrap/>
            <w:hideMark/>
          </w:tcPr>
          <w:p w14:paraId="76FF08BC"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30FF085D"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42F09933"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left w:val="nil"/>
              <w:right w:val="nil"/>
            </w:tcBorders>
          </w:tcPr>
          <w:p w14:paraId="233202F6"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50A84B24"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tcPr>
          <w:p w14:paraId="6357919F"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tcBorders>
              <w:left w:val="nil"/>
              <w:right w:val="nil"/>
            </w:tcBorders>
          </w:tcPr>
          <w:p w14:paraId="317A7008"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8" w:type="dxa"/>
            <w:tcBorders>
              <w:left w:val="nil"/>
              <w:right w:val="nil"/>
            </w:tcBorders>
          </w:tcPr>
          <w:p w14:paraId="4128B2A1"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r>
      <w:tr w:rsidR="000C5B7D" w:rsidRPr="00EA0DC7" w14:paraId="34D5319D" w14:textId="77777777" w:rsidTr="00DA3FBB">
        <w:trPr>
          <w:trHeight w:val="283"/>
          <w:tblHeader/>
        </w:trPr>
        <w:tc>
          <w:tcPr>
            <w:tcW w:w="1560" w:type="dxa"/>
            <w:tcBorders>
              <w:left w:val="nil"/>
              <w:right w:val="nil"/>
            </w:tcBorders>
            <w:shd w:val="clear" w:color="auto" w:fill="auto"/>
            <w:hideMark/>
          </w:tcPr>
          <w:p w14:paraId="7888EA99"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Yogev (1982)</w:t>
            </w:r>
          </w:p>
        </w:tc>
        <w:tc>
          <w:tcPr>
            <w:tcW w:w="1134" w:type="dxa"/>
            <w:tcBorders>
              <w:left w:val="nil"/>
              <w:right w:val="nil"/>
            </w:tcBorders>
            <w:shd w:val="clear" w:color="auto" w:fill="auto"/>
            <w:noWrap/>
            <w:hideMark/>
          </w:tcPr>
          <w:p w14:paraId="379CD7F5"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1715ACE5"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right w:val="nil"/>
            </w:tcBorders>
            <w:shd w:val="clear" w:color="auto" w:fill="auto"/>
            <w:noWrap/>
            <w:hideMark/>
          </w:tcPr>
          <w:p w14:paraId="35968D55"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right w:val="nil"/>
            </w:tcBorders>
          </w:tcPr>
          <w:p w14:paraId="6BB8BBEF"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290EB9A9" w14:textId="77777777" w:rsidR="003F0CDB" w:rsidRPr="00EA0DC7" w:rsidRDefault="003F0CDB" w:rsidP="00B23505">
            <w:pPr>
              <w:spacing w:line="240" w:lineRule="auto"/>
              <w:jc w:val="center"/>
              <w:rPr>
                <w:rFonts w:eastAsia="Times New Roman" w:cs="Arial"/>
                <w:sz w:val="18"/>
                <w:szCs w:val="18"/>
              </w:rPr>
            </w:pPr>
          </w:p>
        </w:tc>
        <w:tc>
          <w:tcPr>
            <w:tcW w:w="1247" w:type="dxa"/>
            <w:tcBorders>
              <w:left w:val="nil"/>
              <w:right w:val="nil"/>
            </w:tcBorders>
          </w:tcPr>
          <w:p w14:paraId="34F5495C" w14:textId="77777777" w:rsidR="003F0CDB" w:rsidRPr="00EA0DC7" w:rsidRDefault="003F0CDB" w:rsidP="00B23505">
            <w:pPr>
              <w:spacing w:line="240" w:lineRule="auto"/>
              <w:jc w:val="center"/>
              <w:rPr>
                <w:rFonts w:eastAsia="Times New Roman" w:cs="Arial"/>
                <w:sz w:val="18"/>
                <w:szCs w:val="18"/>
              </w:rPr>
            </w:pPr>
          </w:p>
        </w:tc>
        <w:tc>
          <w:tcPr>
            <w:tcW w:w="1304" w:type="dxa"/>
            <w:tcBorders>
              <w:left w:val="nil"/>
              <w:right w:val="nil"/>
            </w:tcBorders>
          </w:tcPr>
          <w:p w14:paraId="410C1468"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left w:val="nil"/>
              <w:right w:val="nil"/>
            </w:tcBorders>
          </w:tcPr>
          <w:p w14:paraId="0777A649"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tcBorders>
              <w:left w:val="nil"/>
              <w:right w:val="nil"/>
            </w:tcBorders>
          </w:tcPr>
          <w:p w14:paraId="14330375" w14:textId="77777777" w:rsidR="003F0CDB" w:rsidRPr="00EA0DC7" w:rsidRDefault="003F0CDB" w:rsidP="00B23505">
            <w:pPr>
              <w:spacing w:line="240" w:lineRule="auto"/>
              <w:jc w:val="center"/>
              <w:rPr>
                <w:rFonts w:eastAsia="Times New Roman" w:cs="Arial"/>
                <w:sz w:val="18"/>
                <w:szCs w:val="18"/>
              </w:rPr>
            </w:pPr>
          </w:p>
        </w:tc>
        <w:tc>
          <w:tcPr>
            <w:tcW w:w="1418" w:type="dxa"/>
            <w:tcBorders>
              <w:left w:val="nil"/>
              <w:right w:val="nil"/>
            </w:tcBorders>
          </w:tcPr>
          <w:p w14:paraId="0418572E"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r>
      <w:tr w:rsidR="000C5B7D" w:rsidRPr="00EA0DC7" w14:paraId="18B2E271" w14:textId="77777777" w:rsidTr="00DA3FBB">
        <w:trPr>
          <w:trHeight w:val="283"/>
          <w:tblHeader/>
        </w:trPr>
        <w:tc>
          <w:tcPr>
            <w:tcW w:w="1560" w:type="dxa"/>
            <w:shd w:val="clear" w:color="auto" w:fill="auto"/>
            <w:hideMark/>
          </w:tcPr>
          <w:p w14:paraId="71DD2CD3"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Blocher (1983)</w:t>
            </w:r>
          </w:p>
        </w:tc>
        <w:tc>
          <w:tcPr>
            <w:tcW w:w="1134" w:type="dxa"/>
            <w:shd w:val="clear" w:color="auto" w:fill="auto"/>
            <w:noWrap/>
            <w:hideMark/>
          </w:tcPr>
          <w:p w14:paraId="4D0D7DDB"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bottom w:val="nil"/>
              <w:right w:val="nil"/>
            </w:tcBorders>
            <w:shd w:val="clear" w:color="auto" w:fill="auto"/>
            <w:noWrap/>
            <w:hideMark/>
          </w:tcPr>
          <w:p w14:paraId="19A22748"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bottom w:val="nil"/>
              <w:right w:val="nil"/>
            </w:tcBorders>
            <w:shd w:val="clear" w:color="auto" w:fill="auto"/>
            <w:noWrap/>
            <w:hideMark/>
          </w:tcPr>
          <w:p w14:paraId="7CC9BE22" w14:textId="77777777" w:rsidR="003F0CDB" w:rsidRPr="00EA0DC7" w:rsidRDefault="003F0CDB" w:rsidP="00B23505">
            <w:pPr>
              <w:spacing w:line="240" w:lineRule="auto"/>
              <w:jc w:val="center"/>
              <w:rPr>
                <w:rFonts w:eastAsia="Times New Roman" w:cs="Arial"/>
                <w:sz w:val="18"/>
                <w:szCs w:val="18"/>
              </w:rPr>
            </w:pPr>
          </w:p>
        </w:tc>
        <w:tc>
          <w:tcPr>
            <w:tcW w:w="992" w:type="dxa"/>
            <w:tcBorders>
              <w:left w:val="nil"/>
              <w:bottom w:val="nil"/>
              <w:right w:val="nil"/>
            </w:tcBorders>
          </w:tcPr>
          <w:p w14:paraId="62901B68"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bottom w:val="nil"/>
              <w:right w:val="nil"/>
            </w:tcBorders>
          </w:tcPr>
          <w:p w14:paraId="4D7844C4" w14:textId="77777777" w:rsidR="003F0CDB" w:rsidRPr="00EA0DC7" w:rsidRDefault="003F0CDB" w:rsidP="00B23505">
            <w:pPr>
              <w:spacing w:line="240" w:lineRule="auto"/>
              <w:jc w:val="center"/>
              <w:rPr>
                <w:rFonts w:eastAsia="Times New Roman" w:cs="Arial"/>
                <w:sz w:val="18"/>
                <w:szCs w:val="18"/>
              </w:rPr>
            </w:pPr>
          </w:p>
        </w:tc>
        <w:tc>
          <w:tcPr>
            <w:tcW w:w="1247" w:type="dxa"/>
            <w:tcBorders>
              <w:left w:val="nil"/>
              <w:bottom w:val="nil"/>
              <w:right w:val="nil"/>
            </w:tcBorders>
          </w:tcPr>
          <w:p w14:paraId="19F2E0D5" w14:textId="77777777" w:rsidR="003F0CDB" w:rsidRPr="00EA0DC7" w:rsidRDefault="003F0CDB" w:rsidP="00B23505">
            <w:pPr>
              <w:spacing w:line="240" w:lineRule="auto"/>
              <w:jc w:val="center"/>
              <w:rPr>
                <w:rFonts w:eastAsia="Times New Roman" w:cs="Arial"/>
                <w:sz w:val="18"/>
                <w:szCs w:val="18"/>
              </w:rPr>
            </w:pPr>
          </w:p>
        </w:tc>
        <w:tc>
          <w:tcPr>
            <w:tcW w:w="1304" w:type="dxa"/>
            <w:tcBorders>
              <w:left w:val="nil"/>
              <w:bottom w:val="nil"/>
              <w:right w:val="nil"/>
            </w:tcBorders>
          </w:tcPr>
          <w:p w14:paraId="15A805C0" w14:textId="77777777" w:rsidR="003F0CDB" w:rsidRPr="00EA0DC7" w:rsidRDefault="003F0CDB" w:rsidP="00B23505">
            <w:pPr>
              <w:spacing w:line="240" w:lineRule="auto"/>
              <w:jc w:val="center"/>
              <w:rPr>
                <w:rFonts w:eastAsia="Times New Roman" w:cs="Arial"/>
                <w:sz w:val="18"/>
                <w:szCs w:val="18"/>
              </w:rPr>
            </w:pPr>
          </w:p>
        </w:tc>
        <w:tc>
          <w:tcPr>
            <w:tcW w:w="1276" w:type="dxa"/>
            <w:tcBorders>
              <w:left w:val="nil"/>
              <w:bottom w:val="nil"/>
              <w:right w:val="nil"/>
            </w:tcBorders>
          </w:tcPr>
          <w:p w14:paraId="69F15D55" w14:textId="77777777" w:rsidR="003F0CDB" w:rsidRPr="00EA0DC7" w:rsidRDefault="003F0CDB" w:rsidP="00B23505">
            <w:pPr>
              <w:spacing w:line="240" w:lineRule="auto"/>
              <w:jc w:val="center"/>
              <w:rPr>
                <w:rFonts w:eastAsia="Times New Roman" w:cs="Arial"/>
                <w:sz w:val="18"/>
                <w:szCs w:val="18"/>
              </w:rPr>
            </w:pPr>
          </w:p>
        </w:tc>
        <w:tc>
          <w:tcPr>
            <w:tcW w:w="1417" w:type="dxa"/>
            <w:tcBorders>
              <w:left w:val="nil"/>
              <w:bottom w:val="nil"/>
              <w:right w:val="nil"/>
            </w:tcBorders>
          </w:tcPr>
          <w:p w14:paraId="6B9663C3"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8" w:type="dxa"/>
            <w:tcBorders>
              <w:left w:val="nil"/>
              <w:bottom w:val="nil"/>
              <w:right w:val="nil"/>
            </w:tcBorders>
          </w:tcPr>
          <w:p w14:paraId="037E2089" w14:textId="77777777" w:rsidR="003F0CDB" w:rsidRPr="00EA0DC7" w:rsidRDefault="003F0CDB" w:rsidP="00B23505">
            <w:pPr>
              <w:spacing w:line="240" w:lineRule="auto"/>
              <w:jc w:val="center"/>
              <w:rPr>
                <w:rFonts w:eastAsia="Times New Roman" w:cs="Arial"/>
                <w:sz w:val="18"/>
                <w:szCs w:val="18"/>
              </w:rPr>
            </w:pPr>
          </w:p>
        </w:tc>
      </w:tr>
      <w:tr w:rsidR="000C5B7D" w:rsidRPr="00EA0DC7" w14:paraId="301A9C59" w14:textId="77777777" w:rsidTr="00DA3FBB">
        <w:trPr>
          <w:trHeight w:val="283"/>
          <w:tblHeader/>
        </w:trPr>
        <w:tc>
          <w:tcPr>
            <w:tcW w:w="1560" w:type="dxa"/>
            <w:shd w:val="clear" w:color="auto" w:fill="auto"/>
          </w:tcPr>
          <w:p w14:paraId="21A5C525"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Bordin (1983)</w:t>
            </w:r>
          </w:p>
        </w:tc>
        <w:tc>
          <w:tcPr>
            <w:tcW w:w="1134" w:type="dxa"/>
            <w:shd w:val="clear" w:color="auto" w:fill="auto"/>
          </w:tcPr>
          <w:p w14:paraId="6F88E9D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nil"/>
              <w:right w:val="nil"/>
            </w:tcBorders>
            <w:shd w:val="clear" w:color="auto" w:fill="auto"/>
            <w:noWrap/>
            <w:hideMark/>
          </w:tcPr>
          <w:p w14:paraId="727FCF4B" w14:textId="77777777" w:rsidR="003F0CDB" w:rsidRPr="00EA0DC7" w:rsidRDefault="003F0CDB" w:rsidP="00B23505">
            <w:pPr>
              <w:spacing w:line="240" w:lineRule="auto"/>
              <w:jc w:val="center"/>
              <w:rPr>
                <w:rFonts w:eastAsia="Times New Roman" w:cs="Arial"/>
                <w:sz w:val="18"/>
                <w:szCs w:val="18"/>
              </w:rPr>
            </w:pPr>
          </w:p>
        </w:tc>
        <w:tc>
          <w:tcPr>
            <w:tcW w:w="1276" w:type="dxa"/>
            <w:tcBorders>
              <w:top w:val="nil"/>
              <w:left w:val="nil"/>
              <w:bottom w:val="nil"/>
              <w:right w:val="nil"/>
            </w:tcBorders>
            <w:shd w:val="clear" w:color="auto" w:fill="auto"/>
            <w:noWrap/>
            <w:hideMark/>
          </w:tcPr>
          <w:p w14:paraId="2C40698E" w14:textId="77777777" w:rsidR="003F0CDB" w:rsidRPr="00EA0DC7" w:rsidRDefault="003F0CDB" w:rsidP="00B23505">
            <w:pPr>
              <w:spacing w:line="240" w:lineRule="auto"/>
              <w:jc w:val="center"/>
              <w:rPr>
                <w:rFonts w:eastAsia="Times New Roman" w:cs="Arial"/>
                <w:sz w:val="18"/>
                <w:szCs w:val="18"/>
              </w:rPr>
            </w:pPr>
          </w:p>
        </w:tc>
        <w:tc>
          <w:tcPr>
            <w:tcW w:w="992" w:type="dxa"/>
            <w:tcBorders>
              <w:top w:val="nil"/>
              <w:left w:val="nil"/>
              <w:bottom w:val="nil"/>
              <w:right w:val="nil"/>
            </w:tcBorders>
          </w:tcPr>
          <w:p w14:paraId="3E1E496C" w14:textId="77777777" w:rsidR="003F0CDB" w:rsidRPr="00EA0DC7" w:rsidRDefault="003F0CDB" w:rsidP="00B23505">
            <w:pPr>
              <w:spacing w:line="240" w:lineRule="auto"/>
              <w:jc w:val="center"/>
              <w:rPr>
                <w:rFonts w:eastAsia="Times New Roman" w:cs="Arial"/>
                <w:sz w:val="18"/>
                <w:szCs w:val="18"/>
              </w:rPr>
            </w:pPr>
          </w:p>
        </w:tc>
        <w:tc>
          <w:tcPr>
            <w:tcW w:w="1304" w:type="dxa"/>
            <w:tcBorders>
              <w:top w:val="nil"/>
              <w:left w:val="nil"/>
              <w:bottom w:val="nil"/>
              <w:right w:val="nil"/>
            </w:tcBorders>
          </w:tcPr>
          <w:p w14:paraId="2AF39019" w14:textId="77777777" w:rsidR="003F0CDB" w:rsidRPr="00EA0DC7" w:rsidRDefault="003F0CDB" w:rsidP="00B23505">
            <w:pPr>
              <w:spacing w:line="240" w:lineRule="auto"/>
              <w:jc w:val="center"/>
              <w:rPr>
                <w:rFonts w:eastAsia="Times New Roman" w:cs="Arial"/>
                <w:sz w:val="18"/>
                <w:szCs w:val="18"/>
              </w:rPr>
            </w:pPr>
          </w:p>
        </w:tc>
        <w:tc>
          <w:tcPr>
            <w:tcW w:w="1247" w:type="dxa"/>
            <w:tcBorders>
              <w:top w:val="nil"/>
              <w:left w:val="nil"/>
              <w:bottom w:val="nil"/>
              <w:right w:val="nil"/>
            </w:tcBorders>
          </w:tcPr>
          <w:p w14:paraId="5CEBDD15" w14:textId="77777777" w:rsidR="003F0CDB" w:rsidRPr="00EA0DC7" w:rsidRDefault="003F0CDB" w:rsidP="00B23505">
            <w:pPr>
              <w:spacing w:line="240" w:lineRule="auto"/>
              <w:jc w:val="center"/>
              <w:rPr>
                <w:rFonts w:eastAsia="Times New Roman" w:cs="Arial"/>
                <w:sz w:val="18"/>
                <w:szCs w:val="18"/>
              </w:rPr>
            </w:pPr>
          </w:p>
        </w:tc>
        <w:tc>
          <w:tcPr>
            <w:tcW w:w="1304" w:type="dxa"/>
            <w:tcBorders>
              <w:top w:val="nil"/>
              <w:left w:val="nil"/>
              <w:bottom w:val="nil"/>
              <w:right w:val="nil"/>
            </w:tcBorders>
          </w:tcPr>
          <w:p w14:paraId="5F8D4BD7"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bottom w:val="nil"/>
              <w:right w:val="nil"/>
            </w:tcBorders>
          </w:tcPr>
          <w:p w14:paraId="4AA34F72" w14:textId="77777777" w:rsidR="003F0CDB" w:rsidRPr="00EA0DC7" w:rsidRDefault="003F0CDB" w:rsidP="00B23505">
            <w:pPr>
              <w:spacing w:line="240" w:lineRule="auto"/>
              <w:jc w:val="center"/>
              <w:rPr>
                <w:rFonts w:eastAsia="Times New Roman" w:cs="Arial"/>
                <w:sz w:val="18"/>
                <w:szCs w:val="18"/>
              </w:rPr>
            </w:pPr>
          </w:p>
        </w:tc>
        <w:tc>
          <w:tcPr>
            <w:tcW w:w="1417" w:type="dxa"/>
            <w:tcBorders>
              <w:top w:val="nil"/>
              <w:left w:val="nil"/>
              <w:bottom w:val="nil"/>
              <w:right w:val="nil"/>
            </w:tcBorders>
          </w:tcPr>
          <w:p w14:paraId="762BA82B" w14:textId="77777777" w:rsidR="003F0CDB" w:rsidRPr="00EA0DC7" w:rsidRDefault="003F0CDB" w:rsidP="00B23505">
            <w:pPr>
              <w:spacing w:line="240" w:lineRule="auto"/>
              <w:jc w:val="center"/>
              <w:rPr>
                <w:rFonts w:eastAsia="Times New Roman" w:cs="Arial"/>
                <w:sz w:val="18"/>
                <w:szCs w:val="18"/>
              </w:rPr>
            </w:pPr>
          </w:p>
        </w:tc>
        <w:tc>
          <w:tcPr>
            <w:tcW w:w="1418" w:type="dxa"/>
            <w:tcBorders>
              <w:top w:val="nil"/>
              <w:left w:val="nil"/>
              <w:bottom w:val="nil"/>
              <w:right w:val="nil"/>
            </w:tcBorders>
          </w:tcPr>
          <w:p w14:paraId="03DF7F13" w14:textId="77777777" w:rsidR="003F0CDB" w:rsidRPr="00EA0DC7" w:rsidRDefault="003F0CDB" w:rsidP="00B23505">
            <w:pPr>
              <w:spacing w:line="240" w:lineRule="auto"/>
              <w:jc w:val="center"/>
              <w:rPr>
                <w:rFonts w:eastAsia="Times New Roman" w:cs="Arial"/>
                <w:sz w:val="18"/>
                <w:szCs w:val="18"/>
              </w:rPr>
            </w:pPr>
          </w:p>
        </w:tc>
      </w:tr>
      <w:tr w:rsidR="00EA0DC7" w:rsidRPr="00EA0DC7" w14:paraId="4ED18918" w14:textId="77777777" w:rsidTr="00632CFE">
        <w:trPr>
          <w:trHeight w:val="283"/>
          <w:tblHeader/>
        </w:trPr>
        <w:tc>
          <w:tcPr>
            <w:tcW w:w="1560" w:type="dxa"/>
            <w:shd w:val="clear" w:color="auto" w:fill="auto"/>
          </w:tcPr>
          <w:p w14:paraId="2E348B97" w14:textId="4D941632" w:rsidR="00DA3FBB" w:rsidRPr="00EA0DC7" w:rsidRDefault="00DA3FBB" w:rsidP="00DA3FBB">
            <w:pPr>
              <w:spacing w:line="240" w:lineRule="auto"/>
              <w:jc w:val="left"/>
              <w:rPr>
                <w:rFonts w:eastAsia="Times New Roman" w:cs="Arial"/>
                <w:sz w:val="18"/>
                <w:szCs w:val="18"/>
              </w:rPr>
            </w:pPr>
            <w:r w:rsidRPr="00EA0DC7">
              <w:rPr>
                <w:rFonts w:eastAsia="Times New Roman" w:cs="Arial"/>
                <w:sz w:val="18"/>
                <w:szCs w:val="18"/>
              </w:rPr>
              <w:t>Hosford &amp; Barmann (1983)</w:t>
            </w:r>
          </w:p>
        </w:tc>
        <w:tc>
          <w:tcPr>
            <w:tcW w:w="1134" w:type="dxa"/>
            <w:shd w:val="clear" w:color="auto" w:fill="auto"/>
          </w:tcPr>
          <w:p w14:paraId="30DBFE6B" w14:textId="45245853"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shd w:val="clear" w:color="auto" w:fill="auto"/>
            <w:noWrap/>
          </w:tcPr>
          <w:p w14:paraId="02BC0B31" w14:textId="1E5D5207"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right w:val="nil"/>
            </w:tcBorders>
            <w:shd w:val="clear" w:color="auto" w:fill="auto"/>
            <w:noWrap/>
          </w:tcPr>
          <w:p w14:paraId="030612BF" w14:textId="7D20A344"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tcPr>
          <w:p w14:paraId="1B09E8DB" w14:textId="682467E7"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6636DE43" w14:textId="57B30107"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top w:val="nil"/>
              <w:left w:val="nil"/>
              <w:right w:val="nil"/>
            </w:tcBorders>
          </w:tcPr>
          <w:p w14:paraId="61F99830" w14:textId="77777777" w:rsidR="00DA3FBB" w:rsidRPr="00EA0DC7" w:rsidRDefault="00DA3FBB" w:rsidP="00DA3FBB">
            <w:pPr>
              <w:spacing w:line="240" w:lineRule="auto"/>
              <w:jc w:val="center"/>
              <w:rPr>
                <w:rFonts w:eastAsia="Times New Roman" w:cs="Arial"/>
                <w:sz w:val="18"/>
                <w:szCs w:val="18"/>
              </w:rPr>
            </w:pPr>
          </w:p>
        </w:tc>
        <w:tc>
          <w:tcPr>
            <w:tcW w:w="1304" w:type="dxa"/>
            <w:tcBorders>
              <w:top w:val="nil"/>
              <w:left w:val="nil"/>
              <w:right w:val="nil"/>
            </w:tcBorders>
          </w:tcPr>
          <w:p w14:paraId="3F506033" w14:textId="093B49E8" w:rsidR="00DA3FBB" w:rsidRPr="00EA0DC7" w:rsidRDefault="00DA3FBB" w:rsidP="00DA3FBB">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right w:val="nil"/>
            </w:tcBorders>
          </w:tcPr>
          <w:p w14:paraId="09875A8C" w14:textId="77777777" w:rsidR="00DA3FBB" w:rsidRPr="00EA0DC7" w:rsidRDefault="00DA3FBB" w:rsidP="00DA3FBB">
            <w:pPr>
              <w:spacing w:line="240" w:lineRule="auto"/>
              <w:jc w:val="center"/>
              <w:rPr>
                <w:rFonts w:eastAsia="Times New Roman" w:cs="Arial"/>
                <w:sz w:val="18"/>
                <w:szCs w:val="18"/>
              </w:rPr>
            </w:pPr>
          </w:p>
        </w:tc>
        <w:tc>
          <w:tcPr>
            <w:tcW w:w="1417" w:type="dxa"/>
            <w:tcBorders>
              <w:top w:val="nil"/>
              <w:left w:val="nil"/>
              <w:right w:val="nil"/>
            </w:tcBorders>
          </w:tcPr>
          <w:p w14:paraId="28A9746B" w14:textId="77777777" w:rsidR="00DA3FBB" w:rsidRPr="00EA0DC7" w:rsidRDefault="00DA3FBB" w:rsidP="00DA3FBB">
            <w:pPr>
              <w:spacing w:line="240" w:lineRule="auto"/>
              <w:jc w:val="center"/>
              <w:rPr>
                <w:rFonts w:eastAsia="Times New Roman" w:cs="Arial"/>
                <w:sz w:val="18"/>
                <w:szCs w:val="18"/>
              </w:rPr>
            </w:pPr>
          </w:p>
        </w:tc>
        <w:tc>
          <w:tcPr>
            <w:tcW w:w="1418" w:type="dxa"/>
            <w:tcBorders>
              <w:top w:val="nil"/>
              <w:left w:val="nil"/>
              <w:right w:val="nil"/>
            </w:tcBorders>
          </w:tcPr>
          <w:p w14:paraId="07E3F242" w14:textId="77777777" w:rsidR="00DA3FBB" w:rsidRPr="00EA0DC7" w:rsidRDefault="00DA3FBB" w:rsidP="00DA3FBB">
            <w:pPr>
              <w:spacing w:line="240" w:lineRule="auto"/>
              <w:jc w:val="center"/>
              <w:rPr>
                <w:rFonts w:eastAsia="Times New Roman" w:cs="Arial"/>
                <w:sz w:val="18"/>
                <w:szCs w:val="18"/>
              </w:rPr>
            </w:pPr>
          </w:p>
        </w:tc>
      </w:tr>
      <w:tr w:rsidR="00EA0DC7" w:rsidRPr="00EA0DC7" w14:paraId="3D128DEB" w14:textId="77777777" w:rsidTr="00632CFE">
        <w:trPr>
          <w:trHeight w:val="283"/>
          <w:tblHeader/>
        </w:trPr>
        <w:tc>
          <w:tcPr>
            <w:tcW w:w="1560" w:type="dxa"/>
            <w:tcBorders>
              <w:bottom w:val="single" w:sz="4" w:space="0" w:color="auto"/>
            </w:tcBorders>
            <w:shd w:val="clear" w:color="auto" w:fill="auto"/>
          </w:tcPr>
          <w:p w14:paraId="432FBA8B" w14:textId="6499881F" w:rsidR="00DA3FBB" w:rsidRPr="00EA0DC7" w:rsidRDefault="00DA3FBB" w:rsidP="00DA3FBB">
            <w:pPr>
              <w:spacing w:line="240" w:lineRule="auto"/>
              <w:jc w:val="left"/>
              <w:rPr>
                <w:rFonts w:eastAsia="Times New Roman" w:cs="Arial"/>
                <w:sz w:val="18"/>
                <w:szCs w:val="18"/>
              </w:rPr>
            </w:pPr>
            <w:r w:rsidRPr="00EA0DC7">
              <w:rPr>
                <w:rFonts w:eastAsia="Times New Roman" w:cs="Arial"/>
                <w:sz w:val="18"/>
                <w:szCs w:val="18"/>
              </w:rPr>
              <w:t>Patterson (1983)</w:t>
            </w:r>
          </w:p>
        </w:tc>
        <w:tc>
          <w:tcPr>
            <w:tcW w:w="1134" w:type="dxa"/>
            <w:tcBorders>
              <w:bottom w:val="single" w:sz="4" w:space="0" w:color="auto"/>
            </w:tcBorders>
            <w:shd w:val="clear" w:color="auto" w:fill="auto"/>
          </w:tcPr>
          <w:p w14:paraId="19143ED7" w14:textId="77777777" w:rsidR="00DA3FBB" w:rsidRPr="00EA0DC7" w:rsidRDefault="00DA3FBB" w:rsidP="00DA3FBB">
            <w:pPr>
              <w:spacing w:line="240" w:lineRule="auto"/>
              <w:jc w:val="center"/>
              <w:rPr>
                <w:rFonts w:eastAsia="Times New Roman" w:cs="Arial"/>
                <w:sz w:val="18"/>
                <w:szCs w:val="18"/>
              </w:rPr>
            </w:pPr>
          </w:p>
        </w:tc>
        <w:tc>
          <w:tcPr>
            <w:tcW w:w="992" w:type="dxa"/>
            <w:tcBorders>
              <w:top w:val="nil"/>
              <w:left w:val="nil"/>
              <w:bottom w:val="single" w:sz="4" w:space="0" w:color="auto"/>
              <w:right w:val="nil"/>
            </w:tcBorders>
            <w:shd w:val="clear" w:color="auto" w:fill="auto"/>
            <w:noWrap/>
          </w:tcPr>
          <w:p w14:paraId="38BB7780" w14:textId="77777777" w:rsidR="00DA3FBB" w:rsidRPr="00EA0DC7" w:rsidRDefault="00DA3FBB" w:rsidP="00DA3FBB">
            <w:pPr>
              <w:spacing w:line="240" w:lineRule="auto"/>
              <w:jc w:val="center"/>
              <w:rPr>
                <w:rFonts w:eastAsia="Times New Roman" w:cs="Arial"/>
                <w:sz w:val="18"/>
                <w:szCs w:val="18"/>
              </w:rPr>
            </w:pPr>
          </w:p>
        </w:tc>
        <w:tc>
          <w:tcPr>
            <w:tcW w:w="1276" w:type="dxa"/>
            <w:tcBorders>
              <w:top w:val="nil"/>
              <w:left w:val="nil"/>
              <w:bottom w:val="single" w:sz="4" w:space="0" w:color="auto"/>
              <w:right w:val="nil"/>
            </w:tcBorders>
            <w:shd w:val="clear" w:color="auto" w:fill="auto"/>
            <w:noWrap/>
          </w:tcPr>
          <w:p w14:paraId="0AE44896" w14:textId="77777777" w:rsidR="00DA3FBB" w:rsidRPr="00EA0DC7" w:rsidRDefault="00DA3FBB" w:rsidP="00DA3FBB">
            <w:pPr>
              <w:spacing w:line="240" w:lineRule="auto"/>
              <w:jc w:val="center"/>
              <w:rPr>
                <w:rFonts w:eastAsia="Times New Roman" w:cs="Arial"/>
                <w:sz w:val="18"/>
                <w:szCs w:val="18"/>
              </w:rPr>
            </w:pPr>
          </w:p>
        </w:tc>
        <w:tc>
          <w:tcPr>
            <w:tcW w:w="992" w:type="dxa"/>
            <w:tcBorders>
              <w:top w:val="nil"/>
              <w:left w:val="nil"/>
              <w:bottom w:val="single" w:sz="4" w:space="0" w:color="auto"/>
              <w:right w:val="nil"/>
            </w:tcBorders>
          </w:tcPr>
          <w:p w14:paraId="72C16939" w14:textId="77777777" w:rsidR="00DA3FBB" w:rsidRPr="00EA0DC7" w:rsidRDefault="00DA3FBB" w:rsidP="00DA3FBB">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00EE9B88" w14:textId="77777777" w:rsidR="00DA3FBB" w:rsidRPr="00EA0DC7" w:rsidRDefault="00DA3FBB" w:rsidP="00DA3FBB">
            <w:pPr>
              <w:spacing w:line="240" w:lineRule="auto"/>
              <w:jc w:val="center"/>
              <w:rPr>
                <w:rFonts w:eastAsia="Times New Roman" w:cs="Arial"/>
                <w:sz w:val="18"/>
                <w:szCs w:val="18"/>
              </w:rPr>
            </w:pPr>
          </w:p>
        </w:tc>
        <w:tc>
          <w:tcPr>
            <w:tcW w:w="1247" w:type="dxa"/>
            <w:tcBorders>
              <w:top w:val="nil"/>
              <w:left w:val="nil"/>
              <w:bottom w:val="single" w:sz="4" w:space="0" w:color="auto"/>
              <w:right w:val="nil"/>
            </w:tcBorders>
          </w:tcPr>
          <w:p w14:paraId="5CD17291" w14:textId="77777777" w:rsidR="00DA3FBB" w:rsidRPr="00EA0DC7" w:rsidRDefault="00DA3FBB" w:rsidP="00DA3FBB">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6A250D6D" w14:textId="77777777" w:rsidR="00DA3FBB" w:rsidRPr="00EA0DC7" w:rsidRDefault="00DA3FBB" w:rsidP="00DA3FBB">
            <w:pPr>
              <w:spacing w:line="240" w:lineRule="auto"/>
              <w:jc w:val="center"/>
              <w:rPr>
                <w:rFonts w:eastAsia="Times New Roman" w:cs="Arial"/>
                <w:sz w:val="18"/>
                <w:szCs w:val="18"/>
              </w:rPr>
            </w:pPr>
          </w:p>
        </w:tc>
        <w:tc>
          <w:tcPr>
            <w:tcW w:w="1276" w:type="dxa"/>
            <w:tcBorders>
              <w:top w:val="nil"/>
              <w:left w:val="nil"/>
              <w:bottom w:val="single" w:sz="4" w:space="0" w:color="auto"/>
              <w:right w:val="nil"/>
            </w:tcBorders>
          </w:tcPr>
          <w:p w14:paraId="2A80F15B" w14:textId="77777777" w:rsidR="00DA3FBB" w:rsidRPr="00EA0DC7" w:rsidRDefault="00DA3FBB" w:rsidP="00DA3FBB">
            <w:pPr>
              <w:spacing w:line="240" w:lineRule="auto"/>
              <w:jc w:val="center"/>
              <w:rPr>
                <w:rFonts w:eastAsia="Times New Roman" w:cs="Arial"/>
                <w:sz w:val="18"/>
                <w:szCs w:val="18"/>
              </w:rPr>
            </w:pPr>
          </w:p>
        </w:tc>
        <w:tc>
          <w:tcPr>
            <w:tcW w:w="1417" w:type="dxa"/>
            <w:tcBorders>
              <w:top w:val="nil"/>
              <w:left w:val="nil"/>
              <w:bottom w:val="single" w:sz="4" w:space="0" w:color="auto"/>
              <w:right w:val="nil"/>
            </w:tcBorders>
          </w:tcPr>
          <w:p w14:paraId="2FB7F2F9" w14:textId="77777777" w:rsidR="00DA3FBB" w:rsidRPr="00EA0DC7" w:rsidRDefault="00DA3FBB" w:rsidP="00DA3FBB">
            <w:pPr>
              <w:spacing w:line="240" w:lineRule="auto"/>
              <w:jc w:val="center"/>
              <w:rPr>
                <w:rFonts w:eastAsia="Times New Roman" w:cs="Arial"/>
                <w:sz w:val="18"/>
                <w:szCs w:val="18"/>
              </w:rPr>
            </w:pPr>
          </w:p>
        </w:tc>
        <w:tc>
          <w:tcPr>
            <w:tcW w:w="1418" w:type="dxa"/>
            <w:tcBorders>
              <w:top w:val="nil"/>
              <w:left w:val="nil"/>
              <w:bottom w:val="single" w:sz="4" w:space="0" w:color="auto"/>
              <w:right w:val="nil"/>
            </w:tcBorders>
          </w:tcPr>
          <w:p w14:paraId="3EF0F5CD" w14:textId="77777777" w:rsidR="00DA3FBB" w:rsidRPr="00EA0DC7" w:rsidRDefault="00DA3FBB" w:rsidP="00DA3FBB">
            <w:pPr>
              <w:spacing w:line="240" w:lineRule="auto"/>
              <w:jc w:val="center"/>
              <w:rPr>
                <w:rFonts w:eastAsia="Times New Roman" w:cs="Arial"/>
                <w:sz w:val="18"/>
                <w:szCs w:val="18"/>
              </w:rPr>
            </w:pPr>
          </w:p>
        </w:tc>
      </w:tr>
    </w:tbl>
    <w:p w14:paraId="09C04FF4" w14:textId="77777777" w:rsidR="001E551A" w:rsidRPr="00EA0DC7" w:rsidRDefault="001E551A" w:rsidP="00B23505">
      <w:pPr>
        <w:spacing w:line="240" w:lineRule="auto"/>
        <w:jc w:val="left"/>
        <w:rPr>
          <w:rFonts w:eastAsia="Times New Roman" w:cs="Arial"/>
          <w:sz w:val="20"/>
          <w:szCs w:val="20"/>
        </w:rPr>
        <w:sectPr w:rsidR="001E551A" w:rsidRPr="00EA0DC7" w:rsidSect="00A97F7E">
          <w:type w:val="nextColumn"/>
          <w:pgSz w:w="16838" w:h="11906" w:orient="landscape"/>
          <w:pgMar w:top="2268" w:right="1440" w:bottom="1440" w:left="1440" w:header="709" w:footer="709" w:gutter="0"/>
          <w:cols w:space="708"/>
          <w:docGrid w:linePitch="360"/>
        </w:sectPr>
      </w:pPr>
    </w:p>
    <w:tbl>
      <w:tblPr>
        <w:tblW w:w="13833" w:type="dxa"/>
        <w:tblLayout w:type="fixed"/>
        <w:tblLook w:val="04A0" w:firstRow="1" w:lastRow="0" w:firstColumn="1" w:lastColumn="0" w:noHBand="0" w:noVBand="1"/>
      </w:tblPr>
      <w:tblGrid>
        <w:gridCol w:w="1696"/>
        <w:gridCol w:w="1131"/>
        <w:gridCol w:w="994"/>
        <w:gridCol w:w="1277"/>
        <w:gridCol w:w="994"/>
        <w:gridCol w:w="1279"/>
        <w:gridCol w:w="25"/>
        <w:gridCol w:w="1249"/>
        <w:gridCol w:w="1278"/>
        <w:gridCol w:w="26"/>
        <w:gridCol w:w="1250"/>
        <w:gridCol w:w="26"/>
        <w:gridCol w:w="1304"/>
        <w:gridCol w:w="87"/>
        <w:gridCol w:w="1134"/>
        <w:gridCol w:w="83"/>
      </w:tblGrid>
      <w:tr w:rsidR="001E551A" w:rsidRPr="00EA0DC7" w14:paraId="2C479153" w14:textId="77777777" w:rsidTr="006D2299">
        <w:trPr>
          <w:trHeight w:val="1408"/>
          <w:tblHeader/>
        </w:trPr>
        <w:tc>
          <w:tcPr>
            <w:tcW w:w="1696" w:type="dxa"/>
            <w:tcBorders>
              <w:top w:val="single" w:sz="4" w:space="0" w:color="auto"/>
              <w:left w:val="nil"/>
              <w:bottom w:val="single" w:sz="4" w:space="0" w:color="auto"/>
              <w:right w:val="nil"/>
            </w:tcBorders>
            <w:shd w:val="clear" w:color="auto" w:fill="auto"/>
            <w:noWrap/>
            <w:vAlign w:val="center"/>
            <w:hideMark/>
          </w:tcPr>
          <w:p w14:paraId="4D6410F2" w14:textId="77777777" w:rsidR="001E551A" w:rsidRPr="00EA0DC7" w:rsidRDefault="001E551A" w:rsidP="001E551A">
            <w:pPr>
              <w:spacing w:before="240" w:after="0" w:line="240" w:lineRule="auto"/>
              <w:jc w:val="center"/>
              <w:rPr>
                <w:rFonts w:eastAsia="Times New Roman" w:cs="Arial"/>
                <w:b/>
                <w:bCs/>
                <w:sz w:val="18"/>
                <w:szCs w:val="18"/>
              </w:rPr>
            </w:pPr>
            <w:r w:rsidRPr="00EA0DC7">
              <w:rPr>
                <w:rFonts w:eastAsia="Times New Roman" w:cs="Arial"/>
                <w:b/>
                <w:bCs/>
                <w:sz w:val="18"/>
                <w:szCs w:val="18"/>
              </w:rPr>
              <w:lastRenderedPageBreak/>
              <w:t>Model/</w:t>
            </w:r>
          </w:p>
          <w:p w14:paraId="12EAE4C4" w14:textId="77777777" w:rsidR="001E551A" w:rsidRPr="00EA0DC7" w:rsidRDefault="001E551A" w:rsidP="00CC3FB0">
            <w:pPr>
              <w:spacing w:after="0" w:line="240" w:lineRule="auto"/>
              <w:jc w:val="center"/>
              <w:rPr>
                <w:rFonts w:eastAsia="Times New Roman" w:cs="Arial"/>
                <w:b/>
                <w:bCs/>
                <w:sz w:val="18"/>
                <w:szCs w:val="18"/>
              </w:rPr>
            </w:pPr>
            <w:r w:rsidRPr="00EA0DC7">
              <w:rPr>
                <w:rFonts w:eastAsia="Times New Roman" w:cs="Arial"/>
                <w:b/>
                <w:bCs/>
                <w:sz w:val="18"/>
                <w:szCs w:val="18"/>
              </w:rPr>
              <w:t>approach</w:t>
            </w:r>
          </w:p>
        </w:tc>
        <w:tc>
          <w:tcPr>
            <w:tcW w:w="1131" w:type="dxa"/>
            <w:tcBorders>
              <w:top w:val="single" w:sz="4" w:space="0" w:color="auto"/>
              <w:left w:val="nil"/>
              <w:bottom w:val="single" w:sz="4" w:space="0" w:color="auto"/>
              <w:right w:val="nil"/>
            </w:tcBorders>
            <w:shd w:val="clear" w:color="auto" w:fill="auto"/>
            <w:vAlign w:val="center"/>
            <w:hideMark/>
          </w:tcPr>
          <w:p w14:paraId="5856E64E" w14:textId="79A7438F"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w:t>
            </w:r>
            <w:r w:rsidR="00510ECA" w:rsidRPr="00EA0DC7">
              <w:rPr>
                <w:rFonts w:eastAsia="Times New Roman" w:cs="Arial"/>
                <w:b/>
                <w:bCs/>
                <w:sz w:val="18"/>
                <w:szCs w:val="18"/>
              </w:rPr>
              <w:t>-</w:t>
            </w:r>
            <w:r w:rsidRPr="00EA0DC7">
              <w:rPr>
                <w:rFonts w:eastAsia="Times New Roman" w:cs="Arial"/>
                <w:b/>
                <w:bCs/>
                <w:sz w:val="18"/>
                <w:szCs w:val="18"/>
              </w:rPr>
              <w:t>ee's personal ch</w:t>
            </w:r>
            <w:r w:rsidR="00194B4D" w:rsidRPr="00EA0DC7">
              <w:rPr>
                <w:rFonts w:eastAsia="Times New Roman" w:cs="Arial"/>
                <w:b/>
                <w:bCs/>
                <w:sz w:val="18"/>
                <w:szCs w:val="18"/>
              </w:rPr>
              <w:t>aracter</w:t>
            </w:r>
            <w:r w:rsidR="00510ECA" w:rsidRPr="00EA0DC7">
              <w:rPr>
                <w:rFonts w:eastAsia="Times New Roman" w:cs="Arial"/>
                <w:b/>
                <w:bCs/>
                <w:sz w:val="18"/>
                <w:szCs w:val="18"/>
              </w:rPr>
              <w:t>-</w:t>
            </w:r>
            <w:r w:rsidRPr="00EA0DC7">
              <w:rPr>
                <w:rFonts w:eastAsia="Times New Roman" w:cs="Arial"/>
                <w:b/>
                <w:bCs/>
                <w:sz w:val="18"/>
                <w:szCs w:val="18"/>
              </w:rPr>
              <w:t>istics</w:t>
            </w:r>
          </w:p>
        </w:tc>
        <w:tc>
          <w:tcPr>
            <w:tcW w:w="994" w:type="dxa"/>
            <w:tcBorders>
              <w:top w:val="single" w:sz="4" w:space="0" w:color="auto"/>
              <w:left w:val="nil"/>
              <w:bottom w:val="single" w:sz="4" w:space="0" w:color="auto"/>
              <w:right w:val="nil"/>
            </w:tcBorders>
            <w:shd w:val="clear" w:color="auto" w:fill="auto"/>
            <w:vAlign w:val="center"/>
            <w:hideMark/>
          </w:tcPr>
          <w:p w14:paraId="18CE1388" w14:textId="257864E0"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gender</w:t>
            </w:r>
          </w:p>
        </w:tc>
        <w:tc>
          <w:tcPr>
            <w:tcW w:w="1277" w:type="dxa"/>
            <w:tcBorders>
              <w:top w:val="single" w:sz="4" w:space="0" w:color="auto"/>
              <w:left w:val="nil"/>
              <w:bottom w:val="single" w:sz="4" w:space="0" w:color="auto"/>
              <w:right w:val="nil"/>
            </w:tcBorders>
            <w:shd w:val="clear" w:color="auto" w:fill="auto"/>
            <w:vAlign w:val="center"/>
            <w:hideMark/>
          </w:tcPr>
          <w:p w14:paraId="34D0100A" w14:textId="77777777"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ethnicity/ culture</w:t>
            </w:r>
          </w:p>
        </w:tc>
        <w:tc>
          <w:tcPr>
            <w:tcW w:w="994" w:type="dxa"/>
            <w:tcBorders>
              <w:top w:val="single" w:sz="4" w:space="0" w:color="auto"/>
              <w:left w:val="nil"/>
              <w:bottom w:val="single" w:sz="4" w:space="0" w:color="auto"/>
              <w:right w:val="nil"/>
            </w:tcBorders>
            <w:vAlign w:val="center"/>
          </w:tcPr>
          <w:p w14:paraId="2D041BFC" w14:textId="01DECFDA"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anxiety</w:t>
            </w:r>
          </w:p>
        </w:tc>
        <w:tc>
          <w:tcPr>
            <w:tcW w:w="1304" w:type="dxa"/>
            <w:gridSpan w:val="2"/>
            <w:tcBorders>
              <w:top w:val="single" w:sz="4" w:space="0" w:color="auto"/>
              <w:left w:val="nil"/>
              <w:bottom w:val="single" w:sz="4" w:space="0" w:color="auto"/>
              <w:right w:val="nil"/>
            </w:tcBorders>
            <w:vAlign w:val="center"/>
          </w:tcPr>
          <w:p w14:paraId="11B26FE9" w14:textId="77777777"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motivation</w:t>
            </w:r>
          </w:p>
        </w:tc>
        <w:tc>
          <w:tcPr>
            <w:tcW w:w="1249" w:type="dxa"/>
            <w:tcBorders>
              <w:top w:val="single" w:sz="4" w:space="0" w:color="auto"/>
              <w:left w:val="nil"/>
              <w:bottom w:val="single" w:sz="4" w:space="0" w:color="auto"/>
              <w:right w:val="nil"/>
            </w:tcBorders>
            <w:vAlign w:val="center"/>
          </w:tcPr>
          <w:p w14:paraId="057BFD90" w14:textId="66C0853D"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autonomy vs dependen</w:t>
            </w:r>
            <w:r w:rsidR="00510ECA" w:rsidRPr="00EA0DC7">
              <w:rPr>
                <w:rFonts w:eastAsia="Times New Roman" w:cs="Arial"/>
                <w:b/>
                <w:bCs/>
                <w:sz w:val="18"/>
                <w:szCs w:val="18"/>
              </w:rPr>
              <w:t>-</w:t>
            </w:r>
            <w:r w:rsidRPr="00EA0DC7">
              <w:rPr>
                <w:rFonts w:eastAsia="Times New Roman" w:cs="Arial"/>
                <w:b/>
                <w:bCs/>
                <w:sz w:val="18"/>
                <w:szCs w:val="18"/>
              </w:rPr>
              <w:t>cy</w:t>
            </w:r>
          </w:p>
        </w:tc>
        <w:tc>
          <w:tcPr>
            <w:tcW w:w="1304" w:type="dxa"/>
            <w:gridSpan w:val="2"/>
            <w:tcBorders>
              <w:top w:val="single" w:sz="4" w:space="0" w:color="auto"/>
              <w:left w:val="nil"/>
              <w:bottom w:val="single" w:sz="4" w:space="0" w:color="auto"/>
              <w:right w:val="nil"/>
            </w:tcBorders>
            <w:vAlign w:val="center"/>
          </w:tcPr>
          <w:p w14:paraId="00BB2E78" w14:textId="77777777"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awareness of self and/or others</w:t>
            </w:r>
          </w:p>
        </w:tc>
        <w:tc>
          <w:tcPr>
            <w:tcW w:w="1276" w:type="dxa"/>
            <w:gridSpan w:val="2"/>
            <w:tcBorders>
              <w:top w:val="single" w:sz="4" w:space="0" w:color="auto"/>
              <w:left w:val="nil"/>
              <w:bottom w:val="single" w:sz="4" w:space="0" w:color="auto"/>
              <w:right w:val="nil"/>
            </w:tcBorders>
            <w:vAlign w:val="center"/>
          </w:tcPr>
          <w:p w14:paraId="27F26B11" w14:textId="625187D0"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Developm</w:t>
            </w:r>
            <w:r w:rsidR="00510ECA" w:rsidRPr="00EA0DC7">
              <w:rPr>
                <w:rFonts w:eastAsia="Times New Roman" w:cs="Arial"/>
                <w:b/>
                <w:bCs/>
                <w:sz w:val="18"/>
                <w:szCs w:val="18"/>
              </w:rPr>
              <w:t>-</w:t>
            </w:r>
            <w:r w:rsidRPr="00EA0DC7">
              <w:rPr>
                <w:rFonts w:eastAsia="Times New Roman" w:cs="Arial"/>
                <w:b/>
                <w:bCs/>
                <w:sz w:val="18"/>
                <w:szCs w:val="18"/>
              </w:rPr>
              <w:t>ent of supervisee</w:t>
            </w:r>
          </w:p>
        </w:tc>
        <w:tc>
          <w:tcPr>
            <w:tcW w:w="1304" w:type="dxa"/>
            <w:tcBorders>
              <w:top w:val="single" w:sz="4" w:space="0" w:color="auto"/>
              <w:left w:val="nil"/>
              <w:bottom w:val="single" w:sz="4" w:space="0" w:color="auto"/>
              <w:right w:val="nil"/>
            </w:tcBorders>
            <w:vAlign w:val="center"/>
          </w:tcPr>
          <w:p w14:paraId="1A022ADE" w14:textId="77777777"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individual learning styles</w:t>
            </w:r>
          </w:p>
        </w:tc>
        <w:tc>
          <w:tcPr>
            <w:tcW w:w="1304" w:type="dxa"/>
            <w:gridSpan w:val="3"/>
            <w:tcBorders>
              <w:top w:val="single" w:sz="4" w:space="0" w:color="auto"/>
              <w:left w:val="nil"/>
              <w:bottom w:val="single" w:sz="4" w:space="0" w:color="auto"/>
              <w:right w:val="nil"/>
            </w:tcBorders>
            <w:vAlign w:val="center"/>
          </w:tcPr>
          <w:p w14:paraId="603354C2" w14:textId="77777777" w:rsidR="001E551A" w:rsidRPr="00EA0DC7" w:rsidRDefault="001E551A" w:rsidP="001E551A">
            <w:pPr>
              <w:spacing w:before="240" w:line="240" w:lineRule="auto"/>
              <w:jc w:val="center"/>
              <w:rPr>
                <w:rFonts w:eastAsia="Times New Roman" w:cs="Arial"/>
                <w:b/>
                <w:bCs/>
                <w:sz w:val="18"/>
                <w:szCs w:val="18"/>
              </w:rPr>
            </w:pPr>
            <w:r w:rsidRPr="00EA0DC7">
              <w:rPr>
                <w:rFonts w:eastAsia="Times New Roman" w:cs="Arial"/>
                <w:b/>
                <w:bCs/>
                <w:sz w:val="18"/>
                <w:szCs w:val="18"/>
              </w:rPr>
              <w:t>Supervisee can take on variety of roles</w:t>
            </w:r>
          </w:p>
        </w:tc>
      </w:tr>
      <w:tr w:rsidR="00194B4D" w:rsidRPr="00EA0DC7" w14:paraId="48A73ECB" w14:textId="77777777" w:rsidTr="006D2299">
        <w:trPr>
          <w:trHeight w:val="283"/>
          <w:tblHeader/>
        </w:trPr>
        <w:tc>
          <w:tcPr>
            <w:tcW w:w="1696" w:type="dxa"/>
            <w:tcBorders>
              <w:top w:val="nil"/>
              <w:left w:val="nil"/>
              <w:right w:val="nil"/>
            </w:tcBorders>
            <w:shd w:val="clear" w:color="auto" w:fill="auto"/>
            <w:hideMark/>
          </w:tcPr>
          <w:p w14:paraId="5DB68B23" w14:textId="77777777" w:rsidR="003F0CDB" w:rsidRPr="00EA0DC7" w:rsidRDefault="003F0CDB" w:rsidP="00770CB3">
            <w:pPr>
              <w:spacing w:before="240" w:line="240" w:lineRule="auto"/>
              <w:jc w:val="left"/>
              <w:rPr>
                <w:rFonts w:eastAsia="Times New Roman" w:cs="Arial"/>
                <w:sz w:val="18"/>
                <w:szCs w:val="18"/>
              </w:rPr>
            </w:pPr>
            <w:r w:rsidRPr="00EA0DC7">
              <w:rPr>
                <w:rFonts w:eastAsia="Times New Roman" w:cs="Arial"/>
                <w:sz w:val="18"/>
                <w:szCs w:val="18"/>
              </w:rPr>
              <w:t>Connell (1984)</w:t>
            </w:r>
          </w:p>
        </w:tc>
        <w:tc>
          <w:tcPr>
            <w:tcW w:w="1131" w:type="dxa"/>
            <w:tcBorders>
              <w:top w:val="nil"/>
              <w:left w:val="nil"/>
              <w:right w:val="nil"/>
            </w:tcBorders>
            <w:shd w:val="clear" w:color="auto" w:fill="auto"/>
            <w:noWrap/>
            <w:hideMark/>
          </w:tcPr>
          <w:p w14:paraId="3F04AC76" w14:textId="77777777" w:rsidR="003F0CDB" w:rsidRPr="00EA0DC7" w:rsidRDefault="003F0CDB"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right w:val="nil"/>
            </w:tcBorders>
            <w:shd w:val="clear" w:color="auto" w:fill="auto"/>
            <w:noWrap/>
            <w:hideMark/>
          </w:tcPr>
          <w:p w14:paraId="3158F02D" w14:textId="77777777" w:rsidR="003F0CDB" w:rsidRPr="00EA0DC7" w:rsidRDefault="003F0CDB" w:rsidP="00770CB3">
            <w:pPr>
              <w:spacing w:before="240" w:line="240" w:lineRule="auto"/>
              <w:jc w:val="center"/>
              <w:rPr>
                <w:rFonts w:eastAsia="Times New Roman" w:cs="Arial"/>
                <w:sz w:val="18"/>
                <w:szCs w:val="18"/>
              </w:rPr>
            </w:pPr>
          </w:p>
        </w:tc>
        <w:tc>
          <w:tcPr>
            <w:tcW w:w="1277" w:type="dxa"/>
            <w:tcBorders>
              <w:top w:val="nil"/>
              <w:left w:val="nil"/>
              <w:right w:val="nil"/>
            </w:tcBorders>
            <w:shd w:val="clear" w:color="auto" w:fill="auto"/>
            <w:noWrap/>
            <w:hideMark/>
          </w:tcPr>
          <w:p w14:paraId="3C02C8DD" w14:textId="77777777" w:rsidR="003F0CDB" w:rsidRPr="00EA0DC7" w:rsidRDefault="003F0CDB" w:rsidP="00770CB3">
            <w:pPr>
              <w:spacing w:before="240" w:line="240" w:lineRule="auto"/>
              <w:jc w:val="center"/>
              <w:rPr>
                <w:rFonts w:eastAsia="Times New Roman" w:cs="Arial"/>
                <w:sz w:val="18"/>
                <w:szCs w:val="18"/>
              </w:rPr>
            </w:pPr>
          </w:p>
        </w:tc>
        <w:tc>
          <w:tcPr>
            <w:tcW w:w="994" w:type="dxa"/>
            <w:tcBorders>
              <w:top w:val="nil"/>
              <w:left w:val="nil"/>
              <w:right w:val="nil"/>
            </w:tcBorders>
          </w:tcPr>
          <w:p w14:paraId="51E089F2" w14:textId="77777777" w:rsidR="003F0CDB" w:rsidRPr="00EA0DC7" w:rsidRDefault="003F0CDB"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right w:val="nil"/>
            </w:tcBorders>
          </w:tcPr>
          <w:p w14:paraId="2E18E394" w14:textId="77777777" w:rsidR="003F0CDB" w:rsidRPr="00EA0DC7" w:rsidRDefault="003F0CDB" w:rsidP="00770CB3">
            <w:pPr>
              <w:spacing w:before="240" w:line="240" w:lineRule="auto"/>
              <w:jc w:val="center"/>
              <w:rPr>
                <w:rFonts w:eastAsia="Times New Roman" w:cs="Arial"/>
                <w:sz w:val="18"/>
                <w:szCs w:val="18"/>
              </w:rPr>
            </w:pPr>
          </w:p>
        </w:tc>
        <w:tc>
          <w:tcPr>
            <w:tcW w:w="1249" w:type="dxa"/>
            <w:tcBorders>
              <w:top w:val="nil"/>
              <w:left w:val="nil"/>
              <w:right w:val="nil"/>
            </w:tcBorders>
          </w:tcPr>
          <w:p w14:paraId="0BDF765E" w14:textId="77777777" w:rsidR="003F0CDB" w:rsidRPr="00EA0DC7" w:rsidRDefault="003F0CDB" w:rsidP="00770CB3">
            <w:pPr>
              <w:spacing w:before="240" w:line="240" w:lineRule="auto"/>
              <w:jc w:val="center"/>
              <w:rPr>
                <w:rFonts w:eastAsia="Times New Roman" w:cs="Arial"/>
                <w:sz w:val="18"/>
                <w:szCs w:val="18"/>
              </w:rPr>
            </w:pPr>
          </w:p>
        </w:tc>
        <w:tc>
          <w:tcPr>
            <w:tcW w:w="1304" w:type="dxa"/>
            <w:gridSpan w:val="2"/>
            <w:tcBorders>
              <w:top w:val="nil"/>
              <w:left w:val="nil"/>
              <w:right w:val="nil"/>
            </w:tcBorders>
          </w:tcPr>
          <w:p w14:paraId="16CCA036" w14:textId="77777777" w:rsidR="003F0CDB" w:rsidRPr="00EA0DC7" w:rsidRDefault="003F0CDB" w:rsidP="00770CB3">
            <w:pPr>
              <w:spacing w:before="240" w:line="240" w:lineRule="auto"/>
              <w:jc w:val="center"/>
              <w:rPr>
                <w:rFonts w:eastAsia="Times New Roman" w:cs="Arial"/>
                <w:sz w:val="18"/>
                <w:szCs w:val="18"/>
              </w:rPr>
            </w:pPr>
          </w:p>
        </w:tc>
        <w:tc>
          <w:tcPr>
            <w:tcW w:w="1276" w:type="dxa"/>
            <w:gridSpan w:val="2"/>
            <w:tcBorders>
              <w:top w:val="nil"/>
              <w:left w:val="nil"/>
              <w:right w:val="nil"/>
            </w:tcBorders>
          </w:tcPr>
          <w:p w14:paraId="432AE39A" w14:textId="77777777" w:rsidR="003F0CDB" w:rsidRPr="00EA0DC7" w:rsidRDefault="003F0CDB"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5F6A5652" w14:textId="77777777" w:rsidR="003F0CDB" w:rsidRPr="00EA0DC7" w:rsidRDefault="003F0CDB" w:rsidP="00770CB3">
            <w:pPr>
              <w:spacing w:before="240" w:line="240" w:lineRule="auto"/>
              <w:jc w:val="center"/>
              <w:rPr>
                <w:rFonts w:eastAsia="Times New Roman" w:cs="Arial"/>
                <w:sz w:val="18"/>
                <w:szCs w:val="18"/>
              </w:rPr>
            </w:pPr>
          </w:p>
        </w:tc>
        <w:tc>
          <w:tcPr>
            <w:tcW w:w="1304" w:type="dxa"/>
            <w:gridSpan w:val="3"/>
            <w:tcBorders>
              <w:top w:val="nil"/>
              <w:left w:val="nil"/>
              <w:right w:val="nil"/>
            </w:tcBorders>
          </w:tcPr>
          <w:p w14:paraId="0D7E7DA8" w14:textId="77777777" w:rsidR="003F0CDB" w:rsidRPr="00EA0DC7" w:rsidRDefault="003F0CDB" w:rsidP="00770CB3">
            <w:pPr>
              <w:spacing w:before="240" w:line="240" w:lineRule="auto"/>
              <w:jc w:val="center"/>
              <w:rPr>
                <w:rFonts w:eastAsia="Times New Roman" w:cs="Arial"/>
                <w:sz w:val="18"/>
                <w:szCs w:val="18"/>
              </w:rPr>
            </w:pPr>
          </w:p>
        </w:tc>
      </w:tr>
      <w:tr w:rsidR="00194B4D" w:rsidRPr="00EA0DC7" w14:paraId="5AF13B07" w14:textId="77777777" w:rsidTr="006D2299">
        <w:trPr>
          <w:trHeight w:val="283"/>
          <w:tblHeader/>
        </w:trPr>
        <w:tc>
          <w:tcPr>
            <w:tcW w:w="1696" w:type="dxa"/>
            <w:tcBorders>
              <w:left w:val="nil"/>
              <w:right w:val="nil"/>
            </w:tcBorders>
            <w:shd w:val="clear" w:color="auto" w:fill="auto"/>
            <w:hideMark/>
          </w:tcPr>
          <w:p w14:paraId="5320C464" w14:textId="77777777" w:rsidR="003F0CDB" w:rsidRPr="00EA0DC7" w:rsidRDefault="003F0CDB" w:rsidP="00B23505">
            <w:pPr>
              <w:spacing w:line="240" w:lineRule="auto"/>
              <w:jc w:val="left"/>
              <w:rPr>
                <w:rFonts w:eastAsia="Times New Roman" w:cs="Arial"/>
                <w:sz w:val="18"/>
                <w:szCs w:val="18"/>
              </w:rPr>
            </w:pPr>
            <w:r w:rsidRPr="00EA0DC7">
              <w:rPr>
                <w:rFonts w:eastAsia="Times New Roman" w:cs="Arial"/>
                <w:sz w:val="18"/>
                <w:szCs w:val="18"/>
              </w:rPr>
              <w:t>Grater (1985)</w:t>
            </w:r>
          </w:p>
        </w:tc>
        <w:tc>
          <w:tcPr>
            <w:tcW w:w="1131" w:type="dxa"/>
            <w:tcBorders>
              <w:left w:val="nil"/>
              <w:right w:val="nil"/>
            </w:tcBorders>
            <w:shd w:val="clear" w:color="auto" w:fill="auto"/>
            <w:noWrap/>
            <w:hideMark/>
          </w:tcPr>
          <w:p w14:paraId="2B1B1795"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hideMark/>
          </w:tcPr>
          <w:p w14:paraId="49646E25" w14:textId="77777777" w:rsidR="003F0CDB" w:rsidRPr="00EA0DC7" w:rsidRDefault="003F0CDB" w:rsidP="00B23505">
            <w:pPr>
              <w:spacing w:line="240" w:lineRule="auto"/>
              <w:jc w:val="center"/>
              <w:rPr>
                <w:rFonts w:eastAsia="Times New Roman" w:cs="Arial"/>
                <w:sz w:val="18"/>
                <w:szCs w:val="18"/>
              </w:rPr>
            </w:pPr>
          </w:p>
        </w:tc>
        <w:tc>
          <w:tcPr>
            <w:tcW w:w="1277" w:type="dxa"/>
            <w:tcBorders>
              <w:left w:val="nil"/>
              <w:right w:val="nil"/>
            </w:tcBorders>
            <w:shd w:val="clear" w:color="auto" w:fill="auto"/>
            <w:noWrap/>
            <w:hideMark/>
          </w:tcPr>
          <w:p w14:paraId="2CE25211" w14:textId="77777777" w:rsidR="003F0CDB" w:rsidRPr="00EA0DC7" w:rsidRDefault="003F0CDB" w:rsidP="00B23505">
            <w:pPr>
              <w:spacing w:line="240" w:lineRule="auto"/>
              <w:jc w:val="center"/>
              <w:rPr>
                <w:rFonts w:eastAsia="Times New Roman" w:cs="Arial"/>
                <w:sz w:val="18"/>
                <w:szCs w:val="18"/>
              </w:rPr>
            </w:pPr>
          </w:p>
        </w:tc>
        <w:tc>
          <w:tcPr>
            <w:tcW w:w="994" w:type="dxa"/>
            <w:tcBorders>
              <w:left w:val="nil"/>
              <w:right w:val="nil"/>
            </w:tcBorders>
          </w:tcPr>
          <w:p w14:paraId="01731ABD"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right w:val="nil"/>
            </w:tcBorders>
          </w:tcPr>
          <w:p w14:paraId="37D57FDB" w14:textId="77777777" w:rsidR="003F0CDB" w:rsidRPr="00EA0DC7" w:rsidRDefault="003F0CDB" w:rsidP="00B23505">
            <w:pPr>
              <w:spacing w:line="240" w:lineRule="auto"/>
              <w:jc w:val="center"/>
              <w:rPr>
                <w:rFonts w:eastAsia="Times New Roman" w:cs="Arial"/>
                <w:sz w:val="18"/>
                <w:szCs w:val="18"/>
              </w:rPr>
            </w:pPr>
          </w:p>
        </w:tc>
        <w:tc>
          <w:tcPr>
            <w:tcW w:w="1249" w:type="dxa"/>
            <w:tcBorders>
              <w:left w:val="nil"/>
              <w:right w:val="nil"/>
            </w:tcBorders>
          </w:tcPr>
          <w:p w14:paraId="1496BB12" w14:textId="77777777" w:rsidR="003F0CDB" w:rsidRPr="00EA0DC7" w:rsidRDefault="003F0CDB" w:rsidP="00B23505">
            <w:pPr>
              <w:spacing w:line="240" w:lineRule="auto"/>
              <w:jc w:val="center"/>
              <w:rPr>
                <w:rFonts w:eastAsia="Times New Roman" w:cs="Arial"/>
                <w:sz w:val="18"/>
                <w:szCs w:val="18"/>
              </w:rPr>
            </w:pPr>
          </w:p>
        </w:tc>
        <w:tc>
          <w:tcPr>
            <w:tcW w:w="1304" w:type="dxa"/>
            <w:gridSpan w:val="2"/>
            <w:tcBorders>
              <w:left w:val="nil"/>
              <w:right w:val="nil"/>
            </w:tcBorders>
          </w:tcPr>
          <w:p w14:paraId="75935D8E" w14:textId="77777777" w:rsidR="003F0CDB" w:rsidRPr="00EA0DC7" w:rsidRDefault="003F0CDB" w:rsidP="00B23505">
            <w:pPr>
              <w:spacing w:line="240" w:lineRule="auto"/>
              <w:jc w:val="center"/>
              <w:rPr>
                <w:rFonts w:eastAsia="Times New Roman" w:cs="Arial"/>
                <w:sz w:val="18"/>
                <w:szCs w:val="18"/>
              </w:rPr>
            </w:pPr>
          </w:p>
        </w:tc>
        <w:tc>
          <w:tcPr>
            <w:tcW w:w="1276" w:type="dxa"/>
            <w:gridSpan w:val="2"/>
            <w:tcBorders>
              <w:left w:val="nil"/>
              <w:right w:val="nil"/>
            </w:tcBorders>
          </w:tcPr>
          <w:p w14:paraId="3178FD62"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099D688E" w14:textId="77777777" w:rsidR="003F0CDB" w:rsidRPr="00EA0DC7" w:rsidRDefault="003F0CDB" w:rsidP="00B23505">
            <w:pPr>
              <w:spacing w:line="240" w:lineRule="auto"/>
              <w:jc w:val="center"/>
              <w:rPr>
                <w:rFonts w:eastAsia="Times New Roman" w:cs="Arial"/>
                <w:sz w:val="18"/>
                <w:szCs w:val="18"/>
              </w:rPr>
            </w:pPr>
          </w:p>
        </w:tc>
        <w:tc>
          <w:tcPr>
            <w:tcW w:w="1304" w:type="dxa"/>
            <w:gridSpan w:val="3"/>
            <w:tcBorders>
              <w:left w:val="nil"/>
              <w:right w:val="nil"/>
            </w:tcBorders>
          </w:tcPr>
          <w:p w14:paraId="76C0BBCA" w14:textId="77777777" w:rsidR="003F0CDB" w:rsidRPr="00EA0DC7" w:rsidRDefault="003F0CDB"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r>
      <w:tr w:rsidR="00194B4D" w:rsidRPr="00EA0DC7" w14:paraId="4706394E" w14:textId="77777777" w:rsidTr="006D2299">
        <w:trPr>
          <w:trHeight w:val="283"/>
          <w:tblHeader/>
        </w:trPr>
        <w:tc>
          <w:tcPr>
            <w:tcW w:w="1696" w:type="dxa"/>
            <w:tcBorders>
              <w:left w:val="nil"/>
              <w:bottom w:val="nil"/>
              <w:right w:val="nil"/>
            </w:tcBorders>
            <w:shd w:val="clear" w:color="auto" w:fill="auto"/>
            <w:hideMark/>
          </w:tcPr>
          <w:p w14:paraId="604B4007"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Friedmand &amp; Kaslow (1986)</w:t>
            </w:r>
          </w:p>
        </w:tc>
        <w:tc>
          <w:tcPr>
            <w:tcW w:w="1131" w:type="dxa"/>
            <w:tcBorders>
              <w:left w:val="nil"/>
              <w:bottom w:val="nil"/>
              <w:right w:val="nil"/>
            </w:tcBorders>
            <w:shd w:val="clear" w:color="auto" w:fill="auto"/>
            <w:noWrap/>
            <w:hideMark/>
          </w:tcPr>
          <w:p w14:paraId="41E436DE"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bottom w:val="nil"/>
              <w:right w:val="nil"/>
            </w:tcBorders>
            <w:shd w:val="clear" w:color="auto" w:fill="auto"/>
            <w:noWrap/>
            <w:hideMark/>
          </w:tcPr>
          <w:p w14:paraId="6B19B2D2" w14:textId="77777777" w:rsidR="00B23505" w:rsidRPr="00EA0DC7" w:rsidRDefault="00B23505" w:rsidP="00B23505">
            <w:pPr>
              <w:spacing w:line="240" w:lineRule="auto"/>
              <w:jc w:val="center"/>
              <w:rPr>
                <w:rFonts w:eastAsia="Times New Roman" w:cs="Arial"/>
                <w:sz w:val="18"/>
                <w:szCs w:val="18"/>
              </w:rPr>
            </w:pPr>
          </w:p>
        </w:tc>
        <w:tc>
          <w:tcPr>
            <w:tcW w:w="1277" w:type="dxa"/>
            <w:tcBorders>
              <w:left w:val="nil"/>
              <w:bottom w:val="nil"/>
              <w:right w:val="nil"/>
            </w:tcBorders>
            <w:shd w:val="clear" w:color="auto" w:fill="auto"/>
            <w:noWrap/>
            <w:hideMark/>
          </w:tcPr>
          <w:p w14:paraId="53EE09C4" w14:textId="77777777" w:rsidR="00B23505" w:rsidRPr="00EA0DC7" w:rsidRDefault="00B23505" w:rsidP="00B23505">
            <w:pPr>
              <w:spacing w:line="240" w:lineRule="auto"/>
              <w:jc w:val="center"/>
              <w:rPr>
                <w:rFonts w:eastAsia="Times New Roman" w:cs="Arial"/>
                <w:sz w:val="18"/>
                <w:szCs w:val="18"/>
              </w:rPr>
            </w:pPr>
          </w:p>
        </w:tc>
        <w:tc>
          <w:tcPr>
            <w:tcW w:w="994" w:type="dxa"/>
            <w:tcBorders>
              <w:left w:val="nil"/>
              <w:bottom w:val="nil"/>
              <w:right w:val="nil"/>
            </w:tcBorders>
          </w:tcPr>
          <w:p w14:paraId="6DF97832"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bottom w:val="nil"/>
              <w:right w:val="nil"/>
            </w:tcBorders>
          </w:tcPr>
          <w:p w14:paraId="168507C2" w14:textId="77777777" w:rsidR="00B23505" w:rsidRPr="00EA0DC7" w:rsidRDefault="00B23505" w:rsidP="00B23505">
            <w:pPr>
              <w:spacing w:line="240" w:lineRule="auto"/>
              <w:jc w:val="center"/>
              <w:rPr>
                <w:rFonts w:eastAsia="Times New Roman" w:cs="Arial"/>
                <w:sz w:val="18"/>
                <w:szCs w:val="18"/>
              </w:rPr>
            </w:pPr>
          </w:p>
        </w:tc>
        <w:tc>
          <w:tcPr>
            <w:tcW w:w="1249" w:type="dxa"/>
            <w:tcBorders>
              <w:left w:val="nil"/>
              <w:bottom w:val="nil"/>
              <w:right w:val="nil"/>
            </w:tcBorders>
          </w:tcPr>
          <w:p w14:paraId="08875F0B"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bottom w:val="nil"/>
              <w:right w:val="nil"/>
            </w:tcBorders>
          </w:tcPr>
          <w:p w14:paraId="4C55DA00"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gridSpan w:val="2"/>
            <w:tcBorders>
              <w:left w:val="nil"/>
              <w:bottom w:val="nil"/>
              <w:right w:val="nil"/>
            </w:tcBorders>
          </w:tcPr>
          <w:p w14:paraId="149903E6"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bottom w:val="nil"/>
              <w:right w:val="nil"/>
            </w:tcBorders>
          </w:tcPr>
          <w:p w14:paraId="4D37567C" w14:textId="77777777" w:rsidR="00B23505" w:rsidRPr="00EA0DC7" w:rsidRDefault="00B23505" w:rsidP="00B23505">
            <w:pPr>
              <w:spacing w:line="240" w:lineRule="auto"/>
              <w:jc w:val="center"/>
              <w:rPr>
                <w:rFonts w:eastAsia="Times New Roman" w:cs="Arial"/>
                <w:sz w:val="18"/>
                <w:szCs w:val="18"/>
              </w:rPr>
            </w:pPr>
          </w:p>
        </w:tc>
        <w:tc>
          <w:tcPr>
            <w:tcW w:w="1304" w:type="dxa"/>
            <w:gridSpan w:val="3"/>
            <w:tcBorders>
              <w:left w:val="nil"/>
              <w:bottom w:val="nil"/>
              <w:right w:val="nil"/>
            </w:tcBorders>
          </w:tcPr>
          <w:p w14:paraId="5EFDBB45" w14:textId="77777777" w:rsidR="00B23505" w:rsidRPr="00EA0DC7" w:rsidRDefault="00B23505" w:rsidP="00B23505">
            <w:pPr>
              <w:spacing w:line="240" w:lineRule="auto"/>
              <w:jc w:val="center"/>
              <w:rPr>
                <w:rFonts w:eastAsia="Times New Roman" w:cs="Arial"/>
                <w:sz w:val="18"/>
                <w:szCs w:val="18"/>
              </w:rPr>
            </w:pPr>
          </w:p>
        </w:tc>
      </w:tr>
      <w:tr w:rsidR="00194B4D" w:rsidRPr="00EA0DC7" w14:paraId="2218F6AB" w14:textId="77777777" w:rsidTr="006D2299">
        <w:trPr>
          <w:trHeight w:val="283"/>
          <w:tblHeader/>
        </w:trPr>
        <w:tc>
          <w:tcPr>
            <w:tcW w:w="1696" w:type="dxa"/>
            <w:tcBorders>
              <w:top w:val="nil"/>
              <w:left w:val="nil"/>
              <w:right w:val="nil"/>
            </w:tcBorders>
            <w:shd w:val="clear" w:color="auto" w:fill="auto"/>
            <w:hideMark/>
          </w:tcPr>
          <w:p w14:paraId="54D14D1C"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Hess (1986)</w:t>
            </w:r>
          </w:p>
        </w:tc>
        <w:tc>
          <w:tcPr>
            <w:tcW w:w="1131" w:type="dxa"/>
            <w:tcBorders>
              <w:top w:val="nil"/>
              <w:left w:val="nil"/>
              <w:right w:val="nil"/>
            </w:tcBorders>
            <w:shd w:val="clear" w:color="auto" w:fill="auto"/>
            <w:noWrap/>
            <w:hideMark/>
          </w:tcPr>
          <w:p w14:paraId="7C881AF6" w14:textId="77777777" w:rsidR="00B23505" w:rsidRPr="00EA0DC7" w:rsidRDefault="00B23505" w:rsidP="00B23505">
            <w:pPr>
              <w:spacing w:line="240" w:lineRule="auto"/>
              <w:jc w:val="center"/>
              <w:rPr>
                <w:rFonts w:eastAsia="Times New Roman" w:cs="Arial"/>
                <w:sz w:val="18"/>
                <w:szCs w:val="18"/>
              </w:rPr>
            </w:pPr>
          </w:p>
        </w:tc>
        <w:tc>
          <w:tcPr>
            <w:tcW w:w="994" w:type="dxa"/>
            <w:tcBorders>
              <w:top w:val="nil"/>
              <w:left w:val="nil"/>
              <w:right w:val="nil"/>
            </w:tcBorders>
            <w:shd w:val="clear" w:color="auto" w:fill="auto"/>
            <w:noWrap/>
            <w:hideMark/>
          </w:tcPr>
          <w:p w14:paraId="0C7F4FDF" w14:textId="77777777" w:rsidR="00B23505" w:rsidRPr="00EA0DC7" w:rsidRDefault="00B23505" w:rsidP="00B23505">
            <w:pPr>
              <w:spacing w:line="240" w:lineRule="auto"/>
              <w:jc w:val="center"/>
              <w:rPr>
                <w:rFonts w:eastAsia="Times New Roman" w:cs="Arial"/>
                <w:sz w:val="18"/>
                <w:szCs w:val="18"/>
              </w:rPr>
            </w:pPr>
          </w:p>
        </w:tc>
        <w:tc>
          <w:tcPr>
            <w:tcW w:w="1277" w:type="dxa"/>
            <w:tcBorders>
              <w:top w:val="nil"/>
              <w:left w:val="nil"/>
              <w:right w:val="nil"/>
            </w:tcBorders>
            <w:shd w:val="clear" w:color="auto" w:fill="auto"/>
            <w:noWrap/>
            <w:hideMark/>
          </w:tcPr>
          <w:p w14:paraId="0B27E546" w14:textId="77777777" w:rsidR="00B23505" w:rsidRPr="00EA0DC7" w:rsidRDefault="00B23505" w:rsidP="00B23505">
            <w:pPr>
              <w:spacing w:line="240" w:lineRule="auto"/>
              <w:jc w:val="center"/>
              <w:rPr>
                <w:rFonts w:eastAsia="Times New Roman" w:cs="Arial"/>
                <w:sz w:val="18"/>
                <w:szCs w:val="18"/>
              </w:rPr>
            </w:pPr>
          </w:p>
        </w:tc>
        <w:tc>
          <w:tcPr>
            <w:tcW w:w="994" w:type="dxa"/>
            <w:tcBorders>
              <w:top w:val="nil"/>
              <w:left w:val="nil"/>
              <w:right w:val="nil"/>
            </w:tcBorders>
          </w:tcPr>
          <w:p w14:paraId="149357F1"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right w:val="nil"/>
            </w:tcBorders>
          </w:tcPr>
          <w:p w14:paraId="73A18427" w14:textId="77777777" w:rsidR="00B23505" w:rsidRPr="00EA0DC7" w:rsidRDefault="00B23505" w:rsidP="00B23505">
            <w:pPr>
              <w:spacing w:line="240" w:lineRule="auto"/>
              <w:jc w:val="center"/>
              <w:rPr>
                <w:rFonts w:eastAsia="Times New Roman" w:cs="Arial"/>
                <w:sz w:val="18"/>
                <w:szCs w:val="18"/>
              </w:rPr>
            </w:pPr>
          </w:p>
        </w:tc>
        <w:tc>
          <w:tcPr>
            <w:tcW w:w="1249" w:type="dxa"/>
            <w:tcBorders>
              <w:top w:val="nil"/>
              <w:left w:val="nil"/>
              <w:right w:val="nil"/>
            </w:tcBorders>
          </w:tcPr>
          <w:p w14:paraId="1657B093"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right w:val="nil"/>
            </w:tcBorders>
          </w:tcPr>
          <w:p w14:paraId="3D1DBA2A" w14:textId="77777777" w:rsidR="00B23505" w:rsidRPr="00EA0DC7" w:rsidRDefault="00B23505" w:rsidP="00B23505">
            <w:pPr>
              <w:spacing w:line="240" w:lineRule="auto"/>
              <w:jc w:val="center"/>
              <w:rPr>
                <w:rFonts w:eastAsia="Times New Roman" w:cs="Arial"/>
                <w:sz w:val="18"/>
                <w:szCs w:val="18"/>
              </w:rPr>
            </w:pPr>
          </w:p>
        </w:tc>
        <w:tc>
          <w:tcPr>
            <w:tcW w:w="1276" w:type="dxa"/>
            <w:gridSpan w:val="2"/>
            <w:tcBorders>
              <w:top w:val="nil"/>
              <w:left w:val="nil"/>
              <w:right w:val="nil"/>
            </w:tcBorders>
          </w:tcPr>
          <w:p w14:paraId="387BB107" w14:textId="77777777" w:rsidR="00B23505" w:rsidRPr="00EA0DC7" w:rsidRDefault="00B23505" w:rsidP="00B23505">
            <w:pPr>
              <w:spacing w:line="240" w:lineRule="auto"/>
              <w:jc w:val="center"/>
              <w:rPr>
                <w:rFonts w:eastAsia="Times New Roman" w:cs="Arial"/>
                <w:sz w:val="18"/>
                <w:szCs w:val="18"/>
              </w:rPr>
            </w:pPr>
          </w:p>
        </w:tc>
        <w:tc>
          <w:tcPr>
            <w:tcW w:w="1304" w:type="dxa"/>
            <w:tcBorders>
              <w:top w:val="nil"/>
              <w:left w:val="nil"/>
              <w:right w:val="nil"/>
            </w:tcBorders>
          </w:tcPr>
          <w:p w14:paraId="7C43363A" w14:textId="77777777" w:rsidR="00B23505" w:rsidRPr="00EA0DC7" w:rsidRDefault="00B23505" w:rsidP="00B23505">
            <w:pPr>
              <w:spacing w:line="240" w:lineRule="auto"/>
              <w:jc w:val="center"/>
              <w:rPr>
                <w:rFonts w:eastAsia="Times New Roman" w:cs="Arial"/>
                <w:sz w:val="18"/>
                <w:szCs w:val="18"/>
              </w:rPr>
            </w:pPr>
          </w:p>
        </w:tc>
        <w:tc>
          <w:tcPr>
            <w:tcW w:w="1304" w:type="dxa"/>
            <w:gridSpan w:val="3"/>
            <w:tcBorders>
              <w:top w:val="nil"/>
              <w:left w:val="nil"/>
              <w:right w:val="nil"/>
            </w:tcBorders>
          </w:tcPr>
          <w:p w14:paraId="3984435C" w14:textId="77777777" w:rsidR="00B23505" w:rsidRPr="00EA0DC7" w:rsidRDefault="00B23505" w:rsidP="00B23505">
            <w:pPr>
              <w:spacing w:line="240" w:lineRule="auto"/>
              <w:jc w:val="center"/>
              <w:rPr>
                <w:rFonts w:eastAsia="Times New Roman" w:cs="Arial"/>
                <w:sz w:val="18"/>
                <w:szCs w:val="18"/>
              </w:rPr>
            </w:pPr>
          </w:p>
        </w:tc>
      </w:tr>
      <w:tr w:rsidR="00194B4D" w:rsidRPr="00EA0DC7" w14:paraId="2286A7E1" w14:textId="77777777" w:rsidTr="006D2299">
        <w:trPr>
          <w:trHeight w:val="283"/>
          <w:tblHeader/>
        </w:trPr>
        <w:tc>
          <w:tcPr>
            <w:tcW w:w="1696" w:type="dxa"/>
            <w:tcBorders>
              <w:top w:val="nil"/>
              <w:left w:val="nil"/>
              <w:right w:val="nil"/>
            </w:tcBorders>
            <w:shd w:val="clear" w:color="auto" w:fill="auto"/>
            <w:hideMark/>
          </w:tcPr>
          <w:p w14:paraId="32BBB438"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Stoltenberg &amp; Delworth (1987)</w:t>
            </w:r>
          </w:p>
        </w:tc>
        <w:tc>
          <w:tcPr>
            <w:tcW w:w="1131" w:type="dxa"/>
            <w:tcBorders>
              <w:top w:val="nil"/>
              <w:left w:val="nil"/>
              <w:right w:val="nil"/>
            </w:tcBorders>
            <w:shd w:val="clear" w:color="auto" w:fill="auto"/>
            <w:noWrap/>
            <w:hideMark/>
          </w:tcPr>
          <w:p w14:paraId="65FDA7BA"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right w:val="nil"/>
            </w:tcBorders>
            <w:shd w:val="clear" w:color="auto" w:fill="auto"/>
            <w:noWrap/>
            <w:hideMark/>
          </w:tcPr>
          <w:p w14:paraId="4F186D2D"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7" w:type="dxa"/>
            <w:tcBorders>
              <w:top w:val="nil"/>
              <w:left w:val="nil"/>
              <w:right w:val="nil"/>
            </w:tcBorders>
            <w:shd w:val="clear" w:color="auto" w:fill="auto"/>
            <w:noWrap/>
            <w:hideMark/>
          </w:tcPr>
          <w:p w14:paraId="772132AF"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right w:val="nil"/>
            </w:tcBorders>
          </w:tcPr>
          <w:p w14:paraId="4FA24D86"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right w:val="nil"/>
            </w:tcBorders>
          </w:tcPr>
          <w:p w14:paraId="2084E187"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9" w:type="dxa"/>
            <w:tcBorders>
              <w:top w:val="nil"/>
              <w:left w:val="nil"/>
              <w:right w:val="nil"/>
            </w:tcBorders>
          </w:tcPr>
          <w:p w14:paraId="24CCB556"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right w:val="nil"/>
            </w:tcBorders>
          </w:tcPr>
          <w:p w14:paraId="5C556E0C"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gridSpan w:val="2"/>
            <w:tcBorders>
              <w:top w:val="nil"/>
              <w:left w:val="nil"/>
              <w:right w:val="nil"/>
            </w:tcBorders>
          </w:tcPr>
          <w:p w14:paraId="546B98FA"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3ED887C3"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3"/>
            <w:tcBorders>
              <w:top w:val="nil"/>
              <w:left w:val="nil"/>
              <w:right w:val="nil"/>
            </w:tcBorders>
          </w:tcPr>
          <w:p w14:paraId="13DD0E9F" w14:textId="77777777" w:rsidR="00B23505" w:rsidRPr="00EA0DC7" w:rsidRDefault="00B23505" w:rsidP="00B23505">
            <w:pPr>
              <w:spacing w:line="240" w:lineRule="auto"/>
              <w:jc w:val="center"/>
              <w:rPr>
                <w:rFonts w:eastAsia="Times New Roman" w:cs="Arial"/>
                <w:sz w:val="18"/>
                <w:szCs w:val="18"/>
              </w:rPr>
            </w:pPr>
          </w:p>
        </w:tc>
      </w:tr>
      <w:tr w:rsidR="00194B4D" w:rsidRPr="00EA0DC7" w14:paraId="6A4D7B0E" w14:textId="77777777" w:rsidTr="006D2299">
        <w:trPr>
          <w:trHeight w:val="283"/>
          <w:tblHeader/>
        </w:trPr>
        <w:tc>
          <w:tcPr>
            <w:tcW w:w="1696" w:type="dxa"/>
            <w:tcBorders>
              <w:left w:val="nil"/>
              <w:right w:val="nil"/>
            </w:tcBorders>
            <w:shd w:val="clear" w:color="auto" w:fill="auto"/>
            <w:hideMark/>
          </w:tcPr>
          <w:p w14:paraId="22E32C78"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Ault-Riche (1988)</w:t>
            </w:r>
          </w:p>
        </w:tc>
        <w:tc>
          <w:tcPr>
            <w:tcW w:w="1131" w:type="dxa"/>
            <w:tcBorders>
              <w:left w:val="nil"/>
              <w:right w:val="nil"/>
            </w:tcBorders>
            <w:shd w:val="clear" w:color="auto" w:fill="auto"/>
            <w:noWrap/>
            <w:hideMark/>
          </w:tcPr>
          <w:p w14:paraId="002DC73F"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hideMark/>
          </w:tcPr>
          <w:p w14:paraId="77417295"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7" w:type="dxa"/>
            <w:tcBorders>
              <w:left w:val="nil"/>
              <w:right w:val="nil"/>
            </w:tcBorders>
            <w:shd w:val="clear" w:color="auto" w:fill="auto"/>
            <w:noWrap/>
            <w:hideMark/>
          </w:tcPr>
          <w:p w14:paraId="24D5AEE6" w14:textId="77777777" w:rsidR="00B23505" w:rsidRPr="00EA0DC7" w:rsidRDefault="00B23505" w:rsidP="00B23505">
            <w:pPr>
              <w:spacing w:line="240" w:lineRule="auto"/>
              <w:jc w:val="center"/>
              <w:rPr>
                <w:rFonts w:eastAsia="Times New Roman" w:cs="Arial"/>
                <w:sz w:val="18"/>
                <w:szCs w:val="18"/>
              </w:rPr>
            </w:pPr>
          </w:p>
        </w:tc>
        <w:tc>
          <w:tcPr>
            <w:tcW w:w="994" w:type="dxa"/>
            <w:tcBorders>
              <w:left w:val="nil"/>
              <w:right w:val="nil"/>
            </w:tcBorders>
          </w:tcPr>
          <w:p w14:paraId="34A37DA7"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tcPr>
          <w:p w14:paraId="7F18502C" w14:textId="77777777" w:rsidR="00B23505" w:rsidRPr="00EA0DC7" w:rsidRDefault="00B23505" w:rsidP="00B23505">
            <w:pPr>
              <w:spacing w:line="240" w:lineRule="auto"/>
              <w:jc w:val="center"/>
              <w:rPr>
                <w:rFonts w:eastAsia="Times New Roman" w:cs="Arial"/>
                <w:sz w:val="18"/>
                <w:szCs w:val="18"/>
              </w:rPr>
            </w:pPr>
          </w:p>
        </w:tc>
        <w:tc>
          <w:tcPr>
            <w:tcW w:w="1249" w:type="dxa"/>
            <w:tcBorders>
              <w:left w:val="nil"/>
              <w:right w:val="nil"/>
            </w:tcBorders>
          </w:tcPr>
          <w:p w14:paraId="62C8A663"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tcPr>
          <w:p w14:paraId="46A40E4A" w14:textId="77777777" w:rsidR="00B23505" w:rsidRPr="00EA0DC7" w:rsidRDefault="00B23505" w:rsidP="00B23505">
            <w:pPr>
              <w:spacing w:line="240" w:lineRule="auto"/>
              <w:jc w:val="center"/>
              <w:rPr>
                <w:rFonts w:eastAsia="Times New Roman" w:cs="Arial"/>
                <w:sz w:val="18"/>
                <w:szCs w:val="18"/>
              </w:rPr>
            </w:pPr>
          </w:p>
        </w:tc>
        <w:tc>
          <w:tcPr>
            <w:tcW w:w="1276" w:type="dxa"/>
            <w:gridSpan w:val="2"/>
            <w:tcBorders>
              <w:left w:val="nil"/>
              <w:right w:val="nil"/>
            </w:tcBorders>
          </w:tcPr>
          <w:p w14:paraId="1EC4FD0F"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062CE991" w14:textId="77777777" w:rsidR="00B23505" w:rsidRPr="00EA0DC7" w:rsidRDefault="00B23505" w:rsidP="00B23505">
            <w:pPr>
              <w:spacing w:line="240" w:lineRule="auto"/>
              <w:jc w:val="center"/>
              <w:rPr>
                <w:rFonts w:eastAsia="Times New Roman" w:cs="Arial"/>
                <w:sz w:val="18"/>
                <w:szCs w:val="18"/>
              </w:rPr>
            </w:pPr>
          </w:p>
        </w:tc>
        <w:tc>
          <w:tcPr>
            <w:tcW w:w="1304" w:type="dxa"/>
            <w:gridSpan w:val="3"/>
            <w:tcBorders>
              <w:left w:val="nil"/>
              <w:right w:val="nil"/>
            </w:tcBorders>
          </w:tcPr>
          <w:p w14:paraId="04090D3C" w14:textId="77777777" w:rsidR="00B23505" w:rsidRPr="00EA0DC7" w:rsidRDefault="00B23505" w:rsidP="00B23505">
            <w:pPr>
              <w:spacing w:line="240" w:lineRule="auto"/>
              <w:jc w:val="center"/>
              <w:rPr>
                <w:rFonts w:eastAsia="Times New Roman" w:cs="Arial"/>
                <w:sz w:val="18"/>
                <w:szCs w:val="18"/>
              </w:rPr>
            </w:pPr>
          </w:p>
        </w:tc>
      </w:tr>
      <w:tr w:rsidR="00194B4D" w:rsidRPr="00EA0DC7" w14:paraId="2507349C" w14:textId="77777777" w:rsidTr="006D2299">
        <w:trPr>
          <w:trHeight w:val="283"/>
          <w:tblHeader/>
        </w:trPr>
        <w:tc>
          <w:tcPr>
            <w:tcW w:w="1696" w:type="dxa"/>
            <w:tcBorders>
              <w:top w:val="nil"/>
              <w:left w:val="nil"/>
              <w:bottom w:val="nil"/>
              <w:right w:val="nil"/>
            </w:tcBorders>
            <w:shd w:val="clear" w:color="auto" w:fill="auto"/>
            <w:hideMark/>
          </w:tcPr>
          <w:p w14:paraId="3976B422"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Watkins (1990)</w:t>
            </w:r>
          </w:p>
        </w:tc>
        <w:tc>
          <w:tcPr>
            <w:tcW w:w="1131" w:type="dxa"/>
            <w:tcBorders>
              <w:top w:val="nil"/>
              <w:left w:val="nil"/>
              <w:bottom w:val="nil"/>
              <w:right w:val="nil"/>
            </w:tcBorders>
            <w:shd w:val="clear" w:color="auto" w:fill="auto"/>
            <w:noWrap/>
            <w:hideMark/>
          </w:tcPr>
          <w:p w14:paraId="19E95359" w14:textId="77777777" w:rsidR="00B23505" w:rsidRPr="00EA0DC7" w:rsidRDefault="00B23505" w:rsidP="00B23505">
            <w:pPr>
              <w:spacing w:line="240" w:lineRule="auto"/>
              <w:jc w:val="center"/>
              <w:rPr>
                <w:rFonts w:eastAsia="Times New Roman" w:cs="Arial"/>
                <w:sz w:val="18"/>
                <w:szCs w:val="18"/>
              </w:rPr>
            </w:pPr>
          </w:p>
        </w:tc>
        <w:tc>
          <w:tcPr>
            <w:tcW w:w="994" w:type="dxa"/>
            <w:tcBorders>
              <w:top w:val="nil"/>
              <w:left w:val="nil"/>
              <w:bottom w:val="nil"/>
              <w:right w:val="nil"/>
            </w:tcBorders>
            <w:shd w:val="clear" w:color="auto" w:fill="auto"/>
            <w:noWrap/>
            <w:hideMark/>
          </w:tcPr>
          <w:p w14:paraId="272F2C64" w14:textId="77777777" w:rsidR="00B23505" w:rsidRPr="00EA0DC7" w:rsidRDefault="00B23505" w:rsidP="00B23505">
            <w:pPr>
              <w:spacing w:line="240" w:lineRule="auto"/>
              <w:jc w:val="center"/>
              <w:rPr>
                <w:rFonts w:eastAsia="Times New Roman" w:cs="Arial"/>
                <w:sz w:val="18"/>
                <w:szCs w:val="18"/>
              </w:rPr>
            </w:pPr>
          </w:p>
        </w:tc>
        <w:tc>
          <w:tcPr>
            <w:tcW w:w="1277" w:type="dxa"/>
            <w:tcBorders>
              <w:top w:val="nil"/>
              <w:left w:val="nil"/>
              <w:bottom w:val="nil"/>
              <w:right w:val="nil"/>
            </w:tcBorders>
            <w:shd w:val="clear" w:color="auto" w:fill="auto"/>
            <w:noWrap/>
            <w:hideMark/>
          </w:tcPr>
          <w:p w14:paraId="57C6AE80" w14:textId="77777777" w:rsidR="00B23505" w:rsidRPr="00EA0DC7" w:rsidRDefault="00B23505" w:rsidP="00B23505">
            <w:pPr>
              <w:spacing w:line="240" w:lineRule="auto"/>
              <w:jc w:val="center"/>
              <w:rPr>
                <w:rFonts w:eastAsia="Times New Roman" w:cs="Arial"/>
                <w:sz w:val="18"/>
                <w:szCs w:val="18"/>
              </w:rPr>
            </w:pPr>
          </w:p>
        </w:tc>
        <w:tc>
          <w:tcPr>
            <w:tcW w:w="994" w:type="dxa"/>
            <w:tcBorders>
              <w:top w:val="nil"/>
              <w:left w:val="nil"/>
              <w:bottom w:val="nil"/>
              <w:right w:val="nil"/>
            </w:tcBorders>
          </w:tcPr>
          <w:p w14:paraId="7C214AD9"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24416BAF" w14:textId="77777777" w:rsidR="00B23505" w:rsidRPr="00EA0DC7" w:rsidRDefault="00B23505" w:rsidP="00B23505">
            <w:pPr>
              <w:spacing w:line="240" w:lineRule="auto"/>
              <w:jc w:val="center"/>
              <w:rPr>
                <w:rFonts w:eastAsia="Times New Roman" w:cs="Arial"/>
                <w:sz w:val="18"/>
                <w:szCs w:val="18"/>
              </w:rPr>
            </w:pPr>
          </w:p>
        </w:tc>
        <w:tc>
          <w:tcPr>
            <w:tcW w:w="1249" w:type="dxa"/>
            <w:tcBorders>
              <w:top w:val="nil"/>
              <w:left w:val="nil"/>
              <w:bottom w:val="nil"/>
              <w:right w:val="nil"/>
            </w:tcBorders>
          </w:tcPr>
          <w:p w14:paraId="7CCCCDFF"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58079D08" w14:textId="77777777" w:rsidR="00B23505" w:rsidRPr="00EA0DC7" w:rsidRDefault="00B23505" w:rsidP="00B23505">
            <w:pPr>
              <w:spacing w:line="240" w:lineRule="auto"/>
              <w:jc w:val="center"/>
              <w:rPr>
                <w:rFonts w:eastAsia="Times New Roman" w:cs="Arial"/>
                <w:sz w:val="18"/>
                <w:szCs w:val="18"/>
              </w:rPr>
            </w:pPr>
          </w:p>
        </w:tc>
        <w:tc>
          <w:tcPr>
            <w:tcW w:w="1276" w:type="dxa"/>
            <w:gridSpan w:val="2"/>
            <w:tcBorders>
              <w:top w:val="nil"/>
              <w:left w:val="nil"/>
              <w:bottom w:val="nil"/>
              <w:right w:val="nil"/>
            </w:tcBorders>
          </w:tcPr>
          <w:p w14:paraId="37201D3D" w14:textId="77777777" w:rsidR="00B23505" w:rsidRPr="00EA0DC7" w:rsidRDefault="00B23505" w:rsidP="00B23505">
            <w:pPr>
              <w:spacing w:line="240" w:lineRule="auto"/>
              <w:jc w:val="center"/>
              <w:rPr>
                <w:rFonts w:eastAsia="Times New Roman" w:cs="Arial"/>
                <w:sz w:val="18"/>
                <w:szCs w:val="18"/>
              </w:rPr>
            </w:pPr>
          </w:p>
        </w:tc>
        <w:tc>
          <w:tcPr>
            <w:tcW w:w="1304" w:type="dxa"/>
            <w:tcBorders>
              <w:top w:val="nil"/>
              <w:left w:val="nil"/>
              <w:bottom w:val="nil"/>
              <w:right w:val="nil"/>
            </w:tcBorders>
          </w:tcPr>
          <w:p w14:paraId="660E8520" w14:textId="77777777" w:rsidR="00B23505" w:rsidRPr="00EA0DC7" w:rsidRDefault="00B23505" w:rsidP="00B23505">
            <w:pPr>
              <w:spacing w:line="240" w:lineRule="auto"/>
              <w:jc w:val="center"/>
              <w:rPr>
                <w:rFonts w:eastAsia="Times New Roman" w:cs="Arial"/>
                <w:sz w:val="18"/>
                <w:szCs w:val="18"/>
              </w:rPr>
            </w:pPr>
          </w:p>
        </w:tc>
        <w:tc>
          <w:tcPr>
            <w:tcW w:w="1304" w:type="dxa"/>
            <w:gridSpan w:val="3"/>
            <w:tcBorders>
              <w:top w:val="nil"/>
              <w:left w:val="nil"/>
              <w:bottom w:val="nil"/>
              <w:right w:val="nil"/>
            </w:tcBorders>
          </w:tcPr>
          <w:p w14:paraId="5615FFE7" w14:textId="77777777" w:rsidR="00B23505" w:rsidRPr="00EA0DC7" w:rsidRDefault="00B23505" w:rsidP="00B23505">
            <w:pPr>
              <w:spacing w:line="240" w:lineRule="auto"/>
              <w:jc w:val="center"/>
              <w:rPr>
                <w:rFonts w:eastAsia="Times New Roman" w:cs="Arial"/>
                <w:sz w:val="18"/>
                <w:szCs w:val="18"/>
              </w:rPr>
            </w:pPr>
          </w:p>
        </w:tc>
      </w:tr>
      <w:tr w:rsidR="00770CB3" w:rsidRPr="00EA0DC7" w14:paraId="76B76F2E" w14:textId="77777777" w:rsidTr="006D2299">
        <w:trPr>
          <w:trHeight w:val="283"/>
          <w:tblHeader/>
        </w:trPr>
        <w:tc>
          <w:tcPr>
            <w:tcW w:w="1696" w:type="dxa"/>
            <w:tcBorders>
              <w:top w:val="nil"/>
              <w:left w:val="nil"/>
              <w:bottom w:val="nil"/>
              <w:right w:val="nil"/>
            </w:tcBorders>
            <w:shd w:val="clear" w:color="auto" w:fill="auto"/>
          </w:tcPr>
          <w:p w14:paraId="10048EB1" w14:textId="6F24A4BD" w:rsidR="00770CB3" w:rsidRPr="00EA0DC7" w:rsidRDefault="00770CB3" w:rsidP="00770CB3">
            <w:pPr>
              <w:spacing w:line="240" w:lineRule="auto"/>
              <w:jc w:val="left"/>
              <w:rPr>
                <w:rFonts w:eastAsia="Times New Roman" w:cs="Arial"/>
                <w:sz w:val="18"/>
                <w:szCs w:val="18"/>
              </w:rPr>
            </w:pPr>
            <w:r w:rsidRPr="00EA0DC7">
              <w:rPr>
                <w:rFonts w:eastAsia="Times New Roman" w:cs="Arial"/>
                <w:sz w:val="18"/>
                <w:szCs w:val="18"/>
              </w:rPr>
              <w:t>Wetchler (1990)</w:t>
            </w:r>
          </w:p>
        </w:tc>
        <w:tc>
          <w:tcPr>
            <w:tcW w:w="1131" w:type="dxa"/>
            <w:tcBorders>
              <w:top w:val="nil"/>
              <w:left w:val="nil"/>
              <w:bottom w:val="nil"/>
              <w:right w:val="nil"/>
            </w:tcBorders>
            <w:shd w:val="clear" w:color="auto" w:fill="auto"/>
            <w:noWrap/>
          </w:tcPr>
          <w:p w14:paraId="19E2D89F" w14:textId="6BD0C91D"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shd w:val="clear" w:color="auto" w:fill="auto"/>
            <w:noWrap/>
          </w:tcPr>
          <w:p w14:paraId="2E9D07B5" w14:textId="77777777" w:rsidR="00770CB3" w:rsidRPr="00EA0DC7" w:rsidRDefault="00770CB3" w:rsidP="00770CB3">
            <w:pPr>
              <w:spacing w:line="240" w:lineRule="auto"/>
              <w:jc w:val="center"/>
              <w:rPr>
                <w:rFonts w:eastAsia="Times New Roman" w:cs="Arial"/>
                <w:sz w:val="18"/>
                <w:szCs w:val="18"/>
              </w:rPr>
            </w:pPr>
          </w:p>
        </w:tc>
        <w:tc>
          <w:tcPr>
            <w:tcW w:w="1277" w:type="dxa"/>
            <w:tcBorders>
              <w:top w:val="nil"/>
              <w:left w:val="nil"/>
              <w:bottom w:val="nil"/>
              <w:right w:val="nil"/>
            </w:tcBorders>
            <w:shd w:val="clear" w:color="auto" w:fill="auto"/>
            <w:noWrap/>
          </w:tcPr>
          <w:p w14:paraId="593D6A38" w14:textId="77777777" w:rsidR="00770CB3" w:rsidRPr="00EA0DC7" w:rsidRDefault="00770CB3" w:rsidP="00770CB3">
            <w:pPr>
              <w:spacing w:line="240" w:lineRule="auto"/>
              <w:jc w:val="center"/>
              <w:rPr>
                <w:rFonts w:eastAsia="Times New Roman" w:cs="Arial"/>
                <w:sz w:val="18"/>
                <w:szCs w:val="18"/>
              </w:rPr>
            </w:pPr>
          </w:p>
        </w:tc>
        <w:tc>
          <w:tcPr>
            <w:tcW w:w="994" w:type="dxa"/>
            <w:tcBorders>
              <w:top w:val="nil"/>
              <w:left w:val="nil"/>
              <w:bottom w:val="nil"/>
              <w:right w:val="nil"/>
            </w:tcBorders>
          </w:tcPr>
          <w:p w14:paraId="2420BA6A"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169C46B5" w14:textId="77777777" w:rsidR="00770CB3" w:rsidRPr="00EA0DC7" w:rsidRDefault="00770CB3" w:rsidP="00770CB3">
            <w:pPr>
              <w:spacing w:line="240" w:lineRule="auto"/>
              <w:jc w:val="center"/>
              <w:rPr>
                <w:rFonts w:eastAsia="Times New Roman" w:cs="Arial"/>
                <w:sz w:val="18"/>
                <w:szCs w:val="18"/>
              </w:rPr>
            </w:pPr>
          </w:p>
        </w:tc>
        <w:tc>
          <w:tcPr>
            <w:tcW w:w="1249" w:type="dxa"/>
            <w:tcBorders>
              <w:top w:val="nil"/>
              <w:left w:val="nil"/>
              <w:bottom w:val="nil"/>
              <w:right w:val="nil"/>
            </w:tcBorders>
          </w:tcPr>
          <w:p w14:paraId="04514B33"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3DBE94E8" w14:textId="77777777" w:rsidR="00770CB3" w:rsidRPr="00EA0DC7" w:rsidRDefault="00770CB3" w:rsidP="00770CB3">
            <w:pPr>
              <w:spacing w:line="240" w:lineRule="auto"/>
              <w:jc w:val="center"/>
              <w:rPr>
                <w:rFonts w:eastAsia="Times New Roman" w:cs="Arial"/>
                <w:sz w:val="18"/>
                <w:szCs w:val="18"/>
              </w:rPr>
            </w:pPr>
          </w:p>
        </w:tc>
        <w:tc>
          <w:tcPr>
            <w:tcW w:w="1276" w:type="dxa"/>
            <w:gridSpan w:val="2"/>
            <w:tcBorders>
              <w:top w:val="nil"/>
              <w:left w:val="nil"/>
              <w:bottom w:val="nil"/>
              <w:right w:val="nil"/>
            </w:tcBorders>
          </w:tcPr>
          <w:p w14:paraId="536356A8" w14:textId="43C05173"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250044B9" w14:textId="77777777" w:rsidR="00770CB3" w:rsidRPr="00EA0DC7" w:rsidRDefault="00770CB3" w:rsidP="00770CB3">
            <w:pPr>
              <w:spacing w:line="240" w:lineRule="auto"/>
              <w:jc w:val="center"/>
              <w:rPr>
                <w:rFonts w:eastAsia="Times New Roman" w:cs="Arial"/>
                <w:sz w:val="18"/>
                <w:szCs w:val="18"/>
              </w:rPr>
            </w:pPr>
          </w:p>
        </w:tc>
        <w:tc>
          <w:tcPr>
            <w:tcW w:w="1304" w:type="dxa"/>
            <w:gridSpan w:val="3"/>
            <w:tcBorders>
              <w:top w:val="nil"/>
              <w:left w:val="nil"/>
              <w:bottom w:val="nil"/>
              <w:right w:val="nil"/>
            </w:tcBorders>
          </w:tcPr>
          <w:p w14:paraId="165930F2" w14:textId="77777777" w:rsidR="00770CB3" w:rsidRPr="00EA0DC7" w:rsidRDefault="00770CB3" w:rsidP="00770CB3">
            <w:pPr>
              <w:spacing w:line="240" w:lineRule="auto"/>
              <w:jc w:val="center"/>
              <w:rPr>
                <w:rFonts w:eastAsia="Times New Roman" w:cs="Arial"/>
                <w:sz w:val="18"/>
                <w:szCs w:val="18"/>
              </w:rPr>
            </w:pPr>
          </w:p>
        </w:tc>
      </w:tr>
      <w:tr w:rsidR="00770CB3" w:rsidRPr="00EA0DC7" w14:paraId="19D9BEB8" w14:textId="77777777" w:rsidTr="006D2299">
        <w:trPr>
          <w:trHeight w:val="283"/>
          <w:tblHeader/>
        </w:trPr>
        <w:tc>
          <w:tcPr>
            <w:tcW w:w="1696" w:type="dxa"/>
            <w:tcBorders>
              <w:top w:val="nil"/>
              <w:left w:val="nil"/>
              <w:bottom w:val="nil"/>
              <w:right w:val="nil"/>
            </w:tcBorders>
            <w:shd w:val="clear" w:color="auto" w:fill="auto"/>
          </w:tcPr>
          <w:p w14:paraId="0B6FE8E0" w14:textId="70B1A2E9" w:rsidR="00770CB3" w:rsidRPr="00EA0DC7" w:rsidRDefault="00770CB3" w:rsidP="00770CB3">
            <w:pPr>
              <w:spacing w:line="240" w:lineRule="auto"/>
              <w:jc w:val="left"/>
              <w:rPr>
                <w:rFonts w:eastAsia="Times New Roman" w:cs="Arial"/>
                <w:sz w:val="18"/>
                <w:szCs w:val="18"/>
              </w:rPr>
            </w:pPr>
            <w:r w:rsidRPr="00EA0DC7">
              <w:rPr>
                <w:rFonts w:eastAsia="Times New Roman" w:cs="Arial"/>
                <w:sz w:val="18"/>
                <w:szCs w:val="18"/>
              </w:rPr>
              <w:t>Mead (1990)</w:t>
            </w:r>
          </w:p>
        </w:tc>
        <w:tc>
          <w:tcPr>
            <w:tcW w:w="1131" w:type="dxa"/>
            <w:tcBorders>
              <w:top w:val="nil"/>
              <w:left w:val="nil"/>
              <w:bottom w:val="nil"/>
              <w:right w:val="nil"/>
            </w:tcBorders>
            <w:shd w:val="clear" w:color="auto" w:fill="auto"/>
            <w:noWrap/>
          </w:tcPr>
          <w:p w14:paraId="5F458655" w14:textId="69C3AD3E"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shd w:val="clear" w:color="auto" w:fill="auto"/>
            <w:noWrap/>
          </w:tcPr>
          <w:p w14:paraId="093F441F" w14:textId="12DA133F"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7" w:type="dxa"/>
            <w:tcBorders>
              <w:top w:val="nil"/>
              <w:left w:val="nil"/>
              <w:bottom w:val="nil"/>
              <w:right w:val="nil"/>
            </w:tcBorders>
            <w:shd w:val="clear" w:color="auto" w:fill="auto"/>
            <w:noWrap/>
          </w:tcPr>
          <w:p w14:paraId="5B25198D" w14:textId="532104B1"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tcPr>
          <w:p w14:paraId="39520A38" w14:textId="34BDEBF8"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bottom w:val="nil"/>
              <w:right w:val="nil"/>
            </w:tcBorders>
          </w:tcPr>
          <w:p w14:paraId="1B5ED193" w14:textId="7512519F"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9" w:type="dxa"/>
            <w:tcBorders>
              <w:top w:val="nil"/>
              <w:left w:val="nil"/>
              <w:bottom w:val="nil"/>
              <w:right w:val="nil"/>
            </w:tcBorders>
          </w:tcPr>
          <w:p w14:paraId="1F9AB5F8"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0D439C1A" w14:textId="5AD23A5E"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gridSpan w:val="2"/>
            <w:tcBorders>
              <w:top w:val="nil"/>
              <w:left w:val="nil"/>
              <w:bottom w:val="nil"/>
              <w:right w:val="nil"/>
            </w:tcBorders>
          </w:tcPr>
          <w:p w14:paraId="75C83CFA" w14:textId="4E1620DB"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1DD8311E" w14:textId="77777777" w:rsidR="00770CB3" w:rsidRPr="00EA0DC7" w:rsidRDefault="00770CB3" w:rsidP="00770CB3">
            <w:pPr>
              <w:spacing w:line="240" w:lineRule="auto"/>
              <w:jc w:val="center"/>
              <w:rPr>
                <w:rFonts w:eastAsia="Times New Roman" w:cs="Arial"/>
                <w:sz w:val="18"/>
                <w:szCs w:val="18"/>
              </w:rPr>
            </w:pPr>
          </w:p>
        </w:tc>
        <w:tc>
          <w:tcPr>
            <w:tcW w:w="1304" w:type="dxa"/>
            <w:gridSpan w:val="3"/>
            <w:tcBorders>
              <w:top w:val="nil"/>
              <w:left w:val="nil"/>
              <w:bottom w:val="nil"/>
              <w:right w:val="nil"/>
            </w:tcBorders>
          </w:tcPr>
          <w:p w14:paraId="09E10DC4" w14:textId="77777777" w:rsidR="00770CB3" w:rsidRPr="00EA0DC7" w:rsidRDefault="00770CB3" w:rsidP="00770CB3">
            <w:pPr>
              <w:spacing w:line="240" w:lineRule="auto"/>
              <w:jc w:val="center"/>
              <w:rPr>
                <w:rFonts w:eastAsia="Times New Roman" w:cs="Arial"/>
                <w:sz w:val="18"/>
                <w:szCs w:val="18"/>
              </w:rPr>
            </w:pPr>
          </w:p>
        </w:tc>
      </w:tr>
      <w:tr w:rsidR="00770CB3" w:rsidRPr="00EA0DC7" w14:paraId="5BEBADDD" w14:textId="77777777" w:rsidTr="006D2299">
        <w:trPr>
          <w:trHeight w:val="283"/>
          <w:tblHeader/>
        </w:trPr>
        <w:tc>
          <w:tcPr>
            <w:tcW w:w="1696" w:type="dxa"/>
            <w:tcBorders>
              <w:top w:val="nil"/>
              <w:left w:val="nil"/>
              <w:bottom w:val="nil"/>
              <w:right w:val="nil"/>
            </w:tcBorders>
            <w:shd w:val="clear" w:color="auto" w:fill="auto"/>
          </w:tcPr>
          <w:p w14:paraId="197EC743" w14:textId="0D4B5B58" w:rsidR="00770CB3" w:rsidRPr="00EA0DC7" w:rsidRDefault="00770CB3" w:rsidP="00770CB3">
            <w:pPr>
              <w:spacing w:line="240" w:lineRule="auto"/>
              <w:jc w:val="left"/>
              <w:rPr>
                <w:rFonts w:eastAsia="Times New Roman" w:cs="Arial"/>
                <w:sz w:val="18"/>
                <w:szCs w:val="18"/>
              </w:rPr>
            </w:pPr>
            <w:r w:rsidRPr="00EA0DC7">
              <w:rPr>
                <w:rFonts w:eastAsia="Times New Roman" w:cs="Arial"/>
                <w:sz w:val="18"/>
                <w:szCs w:val="18"/>
              </w:rPr>
              <w:t>Hawkins &amp; Shohet (1993)</w:t>
            </w:r>
          </w:p>
        </w:tc>
        <w:tc>
          <w:tcPr>
            <w:tcW w:w="1131" w:type="dxa"/>
            <w:tcBorders>
              <w:top w:val="nil"/>
              <w:left w:val="nil"/>
              <w:bottom w:val="nil"/>
              <w:right w:val="nil"/>
            </w:tcBorders>
            <w:shd w:val="clear" w:color="auto" w:fill="auto"/>
            <w:noWrap/>
          </w:tcPr>
          <w:p w14:paraId="2FAF0C90" w14:textId="1EFBF84B"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shd w:val="clear" w:color="auto" w:fill="auto"/>
            <w:noWrap/>
          </w:tcPr>
          <w:p w14:paraId="6981C521" w14:textId="43710700"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7" w:type="dxa"/>
            <w:tcBorders>
              <w:top w:val="nil"/>
              <w:left w:val="nil"/>
              <w:bottom w:val="nil"/>
              <w:right w:val="nil"/>
            </w:tcBorders>
            <w:shd w:val="clear" w:color="auto" w:fill="auto"/>
            <w:noWrap/>
          </w:tcPr>
          <w:p w14:paraId="32747481" w14:textId="622655DA"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tcPr>
          <w:p w14:paraId="38A659D2"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60D0A8C6" w14:textId="77777777" w:rsidR="00770CB3" w:rsidRPr="00EA0DC7" w:rsidRDefault="00770CB3" w:rsidP="00770CB3">
            <w:pPr>
              <w:spacing w:line="240" w:lineRule="auto"/>
              <w:jc w:val="center"/>
              <w:rPr>
                <w:rFonts w:eastAsia="Times New Roman" w:cs="Arial"/>
                <w:sz w:val="18"/>
                <w:szCs w:val="18"/>
              </w:rPr>
            </w:pPr>
          </w:p>
        </w:tc>
        <w:tc>
          <w:tcPr>
            <w:tcW w:w="1249" w:type="dxa"/>
            <w:tcBorders>
              <w:top w:val="nil"/>
              <w:left w:val="nil"/>
              <w:bottom w:val="nil"/>
              <w:right w:val="nil"/>
            </w:tcBorders>
          </w:tcPr>
          <w:p w14:paraId="3FE7ABD1"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35B73C61" w14:textId="77777777" w:rsidR="00770CB3" w:rsidRPr="00EA0DC7" w:rsidRDefault="00770CB3" w:rsidP="00770CB3">
            <w:pPr>
              <w:spacing w:line="240" w:lineRule="auto"/>
              <w:jc w:val="center"/>
              <w:rPr>
                <w:rFonts w:eastAsia="Times New Roman" w:cs="Arial"/>
                <w:sz w:val="18"/>
                <w:szCs w:val="18"/>
              </w:rPr>
            </w:pPr>
          </w:p>
        </w:tc>
        <w:tc>
          <w:tcPr>
            <w:tcW w:w="1276" w:type="dxa"/>
            <w:gridSpan w:val="2"/>
            <w:tcBorders>
              <w:top w:val="nil"/>
              <w:left w:val="nil"/>
              <w:bottom w:val="nil"/>
              <w:right w:val="nil"/>
            </w:tcBorders>
          </w:tcPr>
          <w:p w14:paraId="51942BB4" w14:textId="73B877A4"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3C5D89C2" w14:textId="06D2BA8E"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3"/>
            <w:tcBorders>
              <w:top w:val="nil"/>
              <w:left w:val="nil"/>
              <w:bottom w:val="nil"/>
              <w:right w:val="nil"/>
            </w:tcBorders>
          </w:tcPr>
          <w:p w14:paraId="6B7AAA7F" w14:textId="77777777" w:rsidR="00770CB3" w:rsidRPr="00EA0DC7" w:rsidRDefault="00770CB3" w:rsidP="00770CB3">
            <w:pPr>
              <w:spacing w:line="240" w:lineRule="auto"/>
              <w:jc w:val="center"/>
              <w:rPr>
                <w:rFonts w:eastAsia="Times New Roman" w:cs="Arial"/>
                <w:sz w:val="18"/>
                <w:szCs w:val="18"/>
              </w:rPr>
            </w:pPr>
          </w:p>
        </w:tc>
      </w:tr>
      <w:tr w:rsidR="00770CB3" w:rsidRPr="00EA0DC7" w14:paraId="083356EF" w14:textId="77777777" w:rsidTr="006D2299">
        <w:trPr>
          <w:trHeight w:val="283"/>
          <w:tblHeader/>
        </w:trPr>
        <w:tc>
          <w:tcPr>
            <w:tcW w:w="1696" w:type="dxa"/>
            <w:tcBorders>
              <w:top w:val="nil"/>
              <w:left w:val="nil"/>
              <w:bottom w:val="nil"/>
              <w:right w:val="nil"/>
            </w:tcBorders>
            <w:shd w:val="clear" w:color="auto" w:fill="auto"/>
          </w:tcPr>
          <w:p w14:paraId="1D79C9E8" w14:textId="71E4B2FF" w:rsidR="00770CB3" w:rsidRPr="00EA0DC7" w:rsidRDefault="00770CB3" w:rsidP="00770CB3">
            <w:pPr>
              <w:spacing w:line="240" w:lineRule="auto"/>
              <w:jc w:val="left"/>
              <w:rPr>
                <w:rFonts w:eastAsia="Times New Roman" w:cs="Arial"/>
                <w:sz w:val="18"/>
                <w:szCs w:val="18"/>
              </w:rPr>
            </w:pPr>
            <w:r w:rsidRPr="00EA0DC7">
              <w:rPr>
                <w:rFonts w:eastAsia="Times New Roman" w:cs="Arial"/>
                <w:sz w:val="18"/>
                <w:szCs w:val="18"/>
              </w:rPr>
              <w:t>Rodenhauser (1994)</w:t>
            </w:r>
          </w:p>
        </w:tc>
        <w:tc>
          <w:tcPr>
            <w:tcW w:w="1131" w:type="dxa"/>
            <w:tcBorders>
              <w:top w:val="nil"/>
              <w:left w:val="nil"/>
              <w:bottom w:val="nil"/>
              <w:right w:val="nil"/>
            </w:tcBorders>
            <w:shd w:val="clear" w:color="auto" w:fill="auto"/>
            <w:noWrap/>
          </w:tcPr>
          <w:p w14:paraId="644384B3" w14:textId="6DB3C21E"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bottom w:val="nil"/>
              <w:right w:val="nil"/>
            </w:tcBorders>
            <w:shd w:val="clear" w:color="auto" w:fill="auto"/>
            <w:noWrap/>
          </w:tcPr>
          <w:p w14:paraId="0D46A271" w14:textId="77777777" w:rsidR="00770CB3" w:rsidRPr="00EA0DC7" w:rsidRDefault="00770CB3" w:rsidP="00770CB3">
            <w:pPr>
              <w:spacing w:line="240" w:lineRule="auto"/>
              <w:jc w:val="center"/>
              <w:rPr>
                <w:rFonts w:eastAsia="Times New Roman" w:cs="Arial"/>
                <w:sz w:val="18"/>
                <w:szCs w:val="18"/>
              </w:rPr>
            </w:pPr>
          </w:p>
        </w:tc>
        <w:tc>
          <w:tcPr>
            <w:tcW w:w="1277" w:type="dxa"/>
            <w:tcBorders>
              <w:top w:val="nil"/>
              <w:left w:val="nil"/>
              <w:bottom w:val="nil"/>
              <w:right w:val="nil"/>
            </w:tcBorders>
            <w:shd w:val="clear" w:color="auto" w:fill="auto"/>
            <w:noWrap/>
          </w:tcPr>
          <w:p w14:paraId="69D2939A" w14:textId="77777777" w:rsidR="00770CB3" w:rsidRPr="00EA0DC7" w:rsidRDefault="00770CB3" w:rsidP="00770CB3">
            <w:pPr>
              <w:spacing w:line="240" w:lineRule="auto"/>
              <w:jc w:val="center"/>
              <w:rPr>
                <w:rFonts w:eastAsia="Times New Roman" w:cs="Arial"/>
                <w:sz w:val="18"/>
                <w:szCs w:val="18"/>
              </w:rPr>
            </w:pPr>
          </w:p>
        </w:tc>
        <w:tc>
          <w:tcPr>
            <w:tcW w:w="994" w:type="dxa"/>
            <w:tcBorders>
              <w:top w:val="nil"/>
              <w:left w:val="nil"/>
              <w:bottom w:val="nil"/>
              <w:right w:val="nil"/>
            </w:tcBorders>
          </w:tcPr>
          <w:p w14:paraId="4E7570E2" w14:textId="242ADEE1"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9" w:type="dxa"/>
            <w:tcBorders>
              <w:top w:val="nil"/>
              <w:left w:val="nil"/>
              <w:bottom w:val="nil"/>
              <w:right w:val="nil"/>
            </w:tcBorders>
          </w:tcPr>
          <w:p w14:paraId="0A786433" w14:textId="77777777" w:rsidR="00770CB3" w:rsidRPr="00EA0DC7" w:rsidRDefault="00770CB3" w:rsidP="00770CB3">
            <w:pPr>
              <w:spacing w:line="240" w:lineRule="auto"/>
              <w:jc w:val="center"/>
              <w:rPr>
                <w:rFonts w:eastAsia="Times New Roman" w:cs="Arial"/>
                <w:sz w:val="18"/>
                <w:szCs w:val="18"/>
              </w:rPr>
            </w:pPr>
          </w:p>
        </w:tc>
        <w:tc>
          <w:tcPr>
            <w:tcW w:w="1274" w:type="dxa"/>
            <w:gridSpan w:val="2"/>
            <w:tcBorders>
              <w:top w:val="nil"/>
              <w:left w:val="nil"/>
              <w:bottom w:val="nil"/>
              <w:right w:val="nil"/>
            </w:tcBorders>
          </w:tcPr>
          <w:p w14:paraId="47A8A0B0"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nil"/>
              <w:right w:val="nil"/>
            </w:tcBorders>
          </w:tcPr>
          <w:p w14:paraId="2B296791" w14:textId="77777777" w:rsidR="00770CB3" w:rsidRPr="00EA0DC7" w:rsidRDefault="00770CB3" w:rsidP="00770CB3">
            <w:pPr>
              <w:spacing w:line="240" w:lineRule="auto"/>
              <w:jc w:val="center"/>
              <w:rPr>
                <w:rFonts w:eastAsia="Times New Roman" w:cs="Arial"/>
                <w:sz w:val="18"/>
                <w:szCs w:val="18"/>
              </w:rPr>
            </w:pPr>
          </w:p>
        </w:tc>
        <w:tc>
          <w:tcPr>
            <w:tcW w:w="1276" w:type="dxa"/>
            <w:gridSpan w:val="2"/>
            <w:tcBorders>
              <w:top w:val="nil"/>
              <w:left w:val="nil"/>
              <w:bottom w:val="nil"/>
              <w:right w:val="nil"/>
            </w:tcBorders>
          </w:tcPr>
          <w:p w14:paraId="6E76E12B" w14:textId="1BB51975"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61A91100" w14:textId="77777777" w:rsidR="00770CB3" w:rsidRPr="00EA0DC7" w:rsidRDefault="00770CB3" w:rsidP="00770CB3">
            <w:pPr>
              <w:spacing w:line="240" w:lineRule="auto"/>
              <w:jc w:val="center"/>
              <w:rPr>
                <w:rFonts w:eastAsia="Times New Roman" w:cs="Arial"/>
                <w:sz w:val="18"/>
                <w:szCs w:val="18"/>
              </w:rPr>
            </w:pPr>
          </w:p>
        </w:tc>
        <w:tc>
          <w:tcPr>
            <w:tcW w:w="1304" w:type="dxa"/>
            <w:gridSpan w:val="3"/>
            <w:tcBorders>
              <w:top w:val="nil"/>
              <w:left w:val="nil"/>
              <w:bottom w:val="nil"/>
              <w:right w:val="nil"/>
            </w:tcBorders>
          </w:tcPr>
          <w:p w14:paraId="2DFE19DF" w14:textId="77777777" w:rsidR="00770CB3" w:rsidRPr="00EA0DC7" w:rsidRDefault="00770CB3" w:rsidP="00770CB3">
            <w:pPr>
              <w:spacing w:line="240" w:lineRule="auto"/>
              <w:jc w:val="center"/>
              <w:rPr>
                <w:rFonts w:eastAsia="Times New Roman" w:cs="Arial"/>
                <w:sz w:val="18"/>
                <w:szCs w:val="18"/>
              </w:rPr>
            </w:pPr>
          </w:p>
        </w:tc>
      </w:tr>
      <w:tr w:rsidR="006D2299" w:rsidRPr="00EA0DC7" w14:paraId="1A8034CB" w14:textId="77777777" w:rsidTr="006D2299">
        <w:trPr>
          <w:gridAfter w:val="1"/>
          <w:wAfter w:w="83" w:type="dxa"/>
          <w:trHeight w:val="283"/>
          <w:tblHeader/>
        </w:trPr>
        <w:tc>
          <w:tcPr>
            <w:tcW w:w="1696" w:type="dxa"/>
            <w:tcBorders>
              <w:top w:val="nil"/>
              <w:left w:val="nil"/>
              <w:bottom w:val="nil"/>
              <w:right w:val="nil"/>
            </w:tcBorders>
            <w:shd w:val="clear" w:color="auto" w:fill="auto"/>
            <w:hideMark/>
          </w:tcPr>
          <w:p w14:paraId="6521D35C" w14:textId="77777777" w:rsidR="00770CB3" w:rsidRPr="00EA0DC7" w:rsidRDefault="00770CB3" w:rsidP="00071D9D">
            <w:pPr>
              <w:spacing w:line="240" w:lineRule="auto"/>
              <w:jc w:val="left"/>
              <w:rPr>
                <w:rFonts w:eastAsia="Times New Roman" w:cs="Arial"/>
                <w:sz w:val="18"/>
                <w:szCs w:val="18"/>
              </w:rPr>
            </w:pPr>
            <w:r w:rsidRPr="00EA0DC7">
              <w:rPr>
                <w:rFonts w:eastAsia="Times New Roman" w:cs="Arial"/>
                <w:sz w:val="18"/>
                <w:szCs w:val="18"/>
              </w:rPr>
              <w:t>Thomas (1994)</w:t>
            </w:r>
          </w:p>
        </w:tc>
        <w:tc>
          <w:tcPr>
            <w:tcW w:w="1131" w:type="dxa"/>
            <w:tcBorders>
              <w:top w:val="nil"/>
              <w:left w:val="nil"/>
              <w:bottom w:val="nil"/>
              <w:right w:val="nil"/>
            </w:tcBorders>
            <w:shd w:val="clear" w:color="auto" w:fill="auto"/>
            <w:noWrap/>
            <w:hideMark/>
          </w:tcPr>
          <w:p w14:paraId="5DB65D84" w14:textId="77777777" w:rsidR="00770CB3" w:rsidRPr="00EA0DC7" w:rsidRDefault="00770CB3" w:rsidP="00071D9D">
            <w:pPr>
              <w:spacing w:line="240" w:lineRule="auto"/>
              <w:jc w:val="center"/>
              <w:rPr>
                <w:rFonts w:eastAsia="Times New Roman" w:cs="Arial"/>
                <w:sz w:val="18"/>
                <w:szCs w:val="18"/>
              </w:rPr>
            </w:pPr>
          </w:p>
        </w:tc>
        <w:tc>
          <w:tcPr>
            <w:tcW w:w="994" w:type="dxa"/>
            <w:tcBorders>
              <w:top w:val="nil"/>
              <w:left w:val="nil"/>
              <w:bottom w:val="nil"/>
              <w:right w:val="nil"/>
            </w:tcBorders>
            <w:shd w:val="clear" w:color="auto" w:fill="auto"/>
            <w:noWrap/>
            <w:hideMark/>
          </w:tcPr>
          <w:p w14:paraId="382E7CC7" w14:textId="77777777" w:rsidR="00770CB3" w:rsidRPr="00EA0DC7" w:rsidRDefault="00770CB3" w:rsidP="00071D9D">
            <w:pPr>
              <w:spacing w:line="240" w:lineRule="auto"/>
              <w:jc w:val="center"/>
              <w:rPr>
                <w:rFonts w:eastAsia="Times New Roman" w:cs="Arial"/>
                <w:sz w:val="18"/>
                <w:szCs w:val="18"/>
              </w:rPr>
            </w:pPr>
          </w:p>
        </w:tc>
        <w:tc>
          <w:tcPr>
            <w:tcW w:w="1277" w:type="dxa"/>
            <w:tcBorders>
              <w:top w:val="nil"/>
              <w:left w:val="nil"/>
              <w:bottom w:val="nil"/>
              <w:right w:val="nil"/>
            </w:tcBorders>
            <w:shd w:val="clear" w:color="auto" w:fill="auto"/>
            <w:noWrap/>
            <w:hideMark/>
          </w:tcPr>
          <w:p w14:paraId="6A75A061" w14:textId="77777777" w:rsidR="00770CB3" w:rsidRPr="00EA0DC7" w:rsidRDefault="00770CB3" w:rsidP="00071D9D">
            <w:pPr>
              <w:spacing w:line="240" w:lineRule="auto"/>
              <w:jc w:val="center"/>
              <w:rPr>
                <w:rFonts w:eastAsia="Times New Roman" w:cs="Arial"/>
                <w:sz w:val="18"/>
                <w:szCs w:val="18"/>
              </w:rPr>
            </w:pPr>
          </w:p>
        </w:tc>
        <w:tc>
          <w:tcPr>
            <w:tcW w:w="994" w:type="dxa"/>
            <w:tcBorders>
              <w:top w:val="nil"/>
              <w:left w:val="nil"/>
              <w:bottom w:val="nil"/>
              <w:right w:val="nil"/>
            </w:tcBorders>
          </w:tcPr>
          <w:p w14:paraId="3D968B05" w14:textId="77777777" w:rsidR="00770CB3" w:rsidRPr="00EA0DC7" w:rsidRDefault="00770CB3" w:rsidP="00071D9D">
            <w:pPr>
              <w:spacing w:line="240" w:lineRule="auto"/>
              <w:jc w:val="center"/>
              <w:rPr>
                <w:rFonts w:eastAsia="Times New Roman" w:cs="Arial"/>
                <w:sz w:val="18"/>
                <w:szCs w:val="18"/>
              </w:rPr>
            </w:pPr>
          </w:p>
        </w:tc>
        <w:tc>
          <w:tcPr>
            <w:tcW w:w="1279" w:type="dxa"/>
            <w:tcBorders>
              <w:top w:val="nil"/>
              <w:left w:val="nil"/>
              <w:bottom w:val="nil"/>
              <w:right w:val="nil"/>
            </w:tcBorders>
          </w:tcPr>
          <w:p w14:paraId="53601A3A" w14:textId="77777777" w:rsidR="00770CB3" w:rsidRPr="00EA0DC7" w:rsidRDefault="00770CB3"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4" w:type="dxa"/>
            <w:gridSpan w:val="2"/>
            <w:tcBorders>
              <w:top w:val="nil"/>
              <w:left w:val="nil"/>
              <w:bottom w:val="nil"/>
              <w:right w:val="nil"/>
            </w:tcBorders>
          </w:tcPr>
          <w:p w14:paraId="28DB13FD" w14:textId="77777777" w:rsidR="00770CB3" w:rsidRPr="00EA0DC7" w:rsidRDefault="00770CB3" w:rsidP="00071D9D">
            <w:pPr>
              <w:spacing w:line="240" w:lineRule="auto"/>
              <w:jc w:val="center"/>
              <w:rPr>
                <w:rFonts w:eastAsia="Times New Roman" w:cs="Arial"/>
                <w:sz w:val="18"/>
                <w:szCs w:val="18"/>
              </w:rPr>
            </w:pPr>
          </w:p>
        </w:tc>
        <w:tc>
          <w:tcPr>
            <w:tcW w:w="1278" w:type="dxa"/>
            <w:tcBorders>
              <w:top w:val="nil"/>
              <w:left w:val="nil"/>
              <w:bottom w:val="nil"/>
              <w:right w:val="nil"/>
            </w:tcBorders>
          </w:tcPr>
          <w:p w14:paraId="779AA07B" w14:textId="77777777" w:rsidR="00770CB3" w:rsidRPr="00EA0DC7" w:rsidRDefault="00770CB3" w:rsidP="00071D9D">
            <w:pPr>
              <w:spacing w:line="240" w:lineRule="auto"/>
              <w:jc w:val="center"/>
              <w:rPr>
                <w:rFonts w:eastAsia="Times New Roman" w:cs="Arial"/>
                <w:sz w:val="18"/>
                <w:szCs w:val="18"/>
              </w:rPr>
            </w:pPr>
          </w:p>
        </w:tc>
        <w:tc>
          <w:tcPr>
            <w:tcW w:w="1276" w:type="dxa"/>
            <w:gridSpan w:val="2"/>
            <w:tcBorders>
              <w:top w:val="nil"/>
              <w:left w:val="nil"/>
              <w:bottom w:val="nil"/>
              <w:right w:val="nil"/>
            </w:tcBorders>
          </w:tcPr>
          <w:p w14:paraId="020B8B25" w14:textId="77777777" w:rsidR="00770CB3" w:rsidRPr="00EA0DC7" w:rsidRDefault="00770CB3"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gridSpan w:val="3"/>
            <w:tcBorders>
              <w:top w:val="nil"/>
              <w:left w:val="nil"/>
              <w:bottom w:val="nil"/>
              <w:right w:val="nil"/>
            </w:tcBorders>
          </w:tcPr>
          <w:p w14:paraId="0FE5B2AE" w14:textId="77777777" w:rsidR="00770CB3" w:rsidRPr="00EA0DC7" w:rsidRDefault="00770CB3"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134" w:type="dxa"/>
            <w:tcBorders>
              <w:top w:val="nil"/>
              <w:left w:val="nil"/>
              <w:bottom w:val="nil"/>
              <w:right w:val="nil"/>
            </w:tcBorders>
          </w:tcPr>
          <w:p w14:paraId="7A048571" w14:textId="77777777" w:rsidR="00770CB3" w:rsidRPr="00EA0DC7" w:rsidRDefault="00770CB3" w:rsidP="00071D9D">
            <w:pPr>
              <w:spacing w:line="240" w:lineRule="auto"/>
              <w:jc w:val="center"/>
              <w:rPr>
                <w:rFonts w:eastAsia="Times New Roman" w:cs="Arial"/>
                <w:sz w:val="18"/>
                <w:szCs w:val="18"/>
              </w:rPr>
            </w:pPr>
          </w:p>
        </w:tc>
      </w:tr>
      <w:tr w:rsidR="00770CB3" w:rsidRPr="00EA0DC7" w14:paraId="7D4B6BA8" w14:textId="77777777" w:rsidTr="006D2299">
        <w:trPr>
          <w:trHeight w:val="283"/>
          <w:tblHeader/>
        </w:trPr>
        <w:tc>
          <w:tcPr>
            <w:tcW w:w="1696" w:type="dxa"/>
            <w:tcBorders>
              <w:top w:val="nil"/>
              <w:left w:val="nil"/>
              <w:bottom w:val="single" w:sz="4" w:space="0" w:color="auto"/>
              <w:right w:val="nil"/>
            </w:tcBorders>
            <w:shd w:val="clear" w:color="auto" w:fill="auto"/>
          </w:tcPr>
          <w:p w14:paraId="34F704EA" w14:textId="241AF8B5" w:rsidR="00770CB3" w:rsidRPr="00EA0DC7" w:rsidRDefault="00770CB3" w:rsidP="00770CB3">
            <w:pPr>
              <w:spacing w:line="240" w:lineRule="auto"/>
              <w:jc w:val="left"/>
              <w:rPr>
                <w:rFonts w:eastAsia="Times New Roman" w:cs="Arial"/>
                <w:sz w:val="18"/>
                <w:szCs w:val="18"/>
              </w:rPr>
            </w:pPr>
            <w:r w:rsidRPr="00EA0DC7">
              <w:rPr>
                <w:rFonts w:eastAsia="Times New Roman" w:cs="Arial"/>
                <w:sz w:val="18"/>
                <w:szCs w:val="18"/>
              </w:rPr>
              <w:t>Rigazio-DiGilio &amp; Anderson (1994)</w:t>
            </w:r>
          </w:p>
        </w:tc>
        <w:tc>
          <w:tcPr>
            <w:tcW w:w="1131" w:type="dxa"/>
            <w:tcBorders>
              <w:top w:val="nil"/>
              <w:left w:val="nil"/>
              <w:bottom w:val="single" w:sz="4" w:space="0" w:color="auto"/>
              <w:right w:val="nil"/>
            </w:tcBorders>
            <w:shd w:val="clear" w:color="auto" w:fill="auto"/>
            <w:noWrap/>
          </w:tcPr>
          <w:p w14:paraId="03845077" w14:textId="77777777" w:rsidR="00770CB3" w:rsidRPr="00EA0DC7" w:rsidRDefault="00770CB3" w:rsidP="00770CB3">
            <w:pPr>
              <w:spacing w:line="240" w:lineRule="auto"/>
              <w:jc w:val="center"/>
              <w:rPr>
                <w:rFonts w:eastAsia="Times New Roman" w:cs="Arial"/>
                <w:sz w:val="18"/>
                <w:szCs w:val="18"/>
              </w:rPr>
            </w:pPr>
          </w:p>
        </w:tc>
        <w:tc>
          <w:tcPr>
            <w:tcW w:w="994" w:type="dxa"/>
            <w:tcBorders>
              <w:top w:val="nil"/>
              <w:left w:val="nil"/>
              <w:bottom w:val="single" w:sz="4" w:space="0" w:color="auto"/>
              <w:right w:val="nil"/>
            </w:tcBorders>
            <w:shd w:val="clear" w:color="auto" w:fill="auto"/>
            <w:noWrap/>
          </w:tcPr>
          <w:p w14:paraId="060F9557" w14:textId="77777777" w:rsidR="00770CB3" w:rsidRPr="00EA0DC7" w:rsidRDefault="00770CB3" w:rsidP="00770CB3">
            <w:pPr>
              <w:spacing w:line="240" w:lineRule="auto"/>
              <w:jc w:val="center"/>
              <w:rPr>
                <w:rFonts w:eastAsia="Times New Roman" w:cs="Arial"/>
                <w:sz w:val="18"/>
                <w:szCs w:val="18"/>
              </w:rPr>
            </w:pPr>
          </w:p>
        </w:tc>
        <w:tc>
          <w:tcPr>
            <w:tcW w:w="1277" w:type="dxa"/>
            <w:tcBorders>
              <w:top w:val="nil"/>
              <w:left w:val="nil"/>
              <w:bottom w:val="single" w:sz="4" w:space="0" w:color="auto"/>
              <w:right w:val="nil"/>
            </w:tcBorders>
            <w:shd w:val="clear" w:color="auto" w:fill="auto"/>
            <w:noWrap/>
          </w:tcPr>
          <w:p w14:paraId="1EE0CF3F" w14:textId="77777777" w:rsidR="00770CB3" w:rsidRPr="00EA0DC7" w:rsidRDefault="00770CB3" w:rsidP="00770CB3">
            <w:pPr>
              <w:spacing w:line="240" w:lineRule="auto"/>
              <w:jc w:val="center"/>
              <w:rPr>
                <w:rFonts w:eastAsia="Times New Roman" w:cs="Arial"/>
                <w:sz w:val="18"/>
                <w:szCs w:val="18"/>
              </w:rPr>
            </w:pPr>
          </w:p>
        </w:tc>
        <w:tc>
          <w:tcPr>
            <w:tcW w:w="994" w:type="dxa"/>
            <w:tcBorders>
              <w:top w:val="nil"/>
              <w:left w:val="nil"/>
              <w:bottom w:val="single" w:sz="4" w:space="0" w:color="auto"/>
              <w:right w:val="nil"/>
            </w:tcBorders>
          </w:tcPr>
          <w:p w14:paraId="317B76E9" w14:textId="77777777" w:rsidR="00770CB3" w:rsidRPr="00EA0DC7" w:rsidRDefault="00770CB3" w:rsidP="00770CB3">
            <w:pPr>
              <w:spacing w:line="240" w:lineRule="auto"/>
              <w:jc w:val="center"/>
              <w:rPr>
                <w:rFonts w:eastAsia="Times New Roman" w:cs="Arial"/>
                <w:sz w:val="18"/>
                <w:szCs w:val="18"/>
              </w:rPr>
            </w:pPr>
          </w:p>
        </w:tc>
        <w:tc>
          <w:tcPr>
            <w:tcW w:w="1279" w:type="dxa"/>
            <w:tcBorders>
              <w:top w:val="nil"/>
              <w:left w:val="nil"/>
              <w:bottom w:val="single" w:sz="4" w:space="0" w:color="auto"/>
              <w:right w:val="nil"/>
            </w:tcBorders>
          </w:tcPr>
          <w:p w14:paraId="688D8602" w14:textId="77777777" w:rsidR="00770CB3" w:rsidRPr="00EA0DC7" w:rsidRDefault="00770CB3" w:rsidP="00770CB3">
            <w:pPr>
              <w:spacing w:line="240" w:lineRule="auto"/>
              <w:jc w:val="center"/>
              <w:rPr>
                <w:rFonts w:eastAsia="Times New Roman" w:cs="Arial"/>
                <w:sz w:val="18"/>
                <w:szCs w:val="18"/>
              </w:rPr>
            </w:pPr>
          </w:p>
        </w:tc>
        <w:tc>
          <w:tcPr>
            <w:tcW w:w="1274" w:type="dxa"/>
            <w:gridSpan w:val="2"/>
            <w:tcBorders>
              <w:top w:val="nil"/>
              <w:left w:val="nil"/>
              <w:bottom w:val="single" w:sz="4" w:space="0" w:color="auto"/>
              <w:right w:val="nil"/>
            </w:tcBorders>
          </w:tcPr>
          <w:p w14:paraId="185AF1DE" w14:textId="77777777" w:rsidR="00770CB3" w:rsidRPr="00EA0DC7" w:rsidRDefault="00770CB3" w:rsidP="00770CB3">
            <w:pPr>
              <w:spacing w:line="240" w:lineRule="auto"/>
              <w:jc w:val="center"/>
              <w:rPr>
                <w:rFonts w:eastAsia="Times New Roman" w:cs="Arial"/>
                <w:sz w:val="18"/>
                <w:szCs w:val="18"/>
              </w:rPr>
            </w:pPr>
          </w:p>
        </w:tc>
        <w:tc>
          <w:tcPr>
            <w:tcW w:w="1304" w:type="dxa"/>
            <w:gridSpan w:val="2"/>
            <w:tcBorders>
              <w:top w:val="nil"/>
              <w:left w:val="nil"/>
              <w:bottom w:val="single" w:sz="4" w:space="0" w:color="auto"/>
              <w:right w:val="nil"/>
            </w:tcBorders>
          </w:tcPr>
          <w:p w14:paraId="73FD7DC7" w14:textId="77777777" w:rsidR="00770CB3" w:rsidRPr="00EA0DC7" w:rsidRDefault="00770CB3" w:rsidP="00770CB3">
            <w:pPr>
              <w:spacing w:line="240" w:lineRule="auto"/>
              <w:jc w:val="center"/>
              <w:rPr>
                <w:rFonts w:eastAsia="Times New Roman" w:cs="Arial"/>
                <w:sz w:val="18"/>
                <w:szCs w:val="18"/>
              </w:rPr>
            </w:pPr>
          </w:p>
        </w:tc>
        <w:tc>
          <w:tcPr>
            <w:tcW w:w="1276" w:type="dxa"/>
            <w:gridSpan w:val="2"/>
            <w:tcBorders>
              <w:top w:val="nil"/>
              <w:left w:val="nil"/>
              <w:bottom w:val="single" w:sz="4" w:space="0" w:color="auto"/>
              <w:right w:val="nil"/>
            </w:tcBorders>
          </w:tcPr>
          <w:p w14:paraId="5ECF3AF8" w14:textId="39C3EB3B"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single" w:sz="4" w:space="0" w:color="auto"/>
              <w:right w:val="nil"/>
            </w:tcBorders>
          </w:tcPr>
          <w:p w14:paraId="4F1629B7" w14:textId="2C24081B" w:rsidR="00770CB3" w:rsidRPr="00EA0DC7" w:rsidRDefault="00770CB3" w:rsidP="00770CB3">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3"/>
            <w:tcBorders>
              <w:top w:val="nil"/>
              <w:left w:val="nil"/>
              <w:bottom w:val="single" w:sz="4" w:space="0" w:color="auto"/>
              <w:right w:val="nil"/>
            </w:tcBorders>
          </w:tcPr>
          <w:p w14:paraId="204B215B" w14:textId="77777777" w:rsidR="00770CB3" w:rsidRPr="00EA0DC7" w:rsidRDefault="00770CB3" w:rsidP="00770CB3">
            <w:pPr>
              <w:spacing w:line="240" w:lineRule="auto"/>
              <w:jc w:val="center"/>
              <w:rPr>
                <w:rFonts w:eastAsia="Times New Roman" w:cs="Arial"/>
                <w:sz w:val="18"/>
                <w:szCs w:val="18"/>
              </w:rPr>
            </w:pPr>
          </w:p>
        </w:tc>
      </w:tr>
    </w:tbl>
    <w:p w14:paraId="6B32BED6" w14:textId="77777777" w:rsidR="001E551A" w:rsidRPr="00EA0DC7" w:rsidRDefault="001E551A" w:rsidP="00B23505">
      <w:pPr>
        <w:spacing w:line="240" w:lineRule="auto"/>
        <w:jc w:val="left"/>
        <w:rPr>
          <w:rFonts w:eastAsia="Times New Roman" w:cs="Arial"/>
          <w:sz w:val="20"/>
          <w:szCs w:val="20"/>
        </w:rPr>
        <w:sectPr w:rsidR="001E551A" w:rsidRPr="00EA0DC7" w:rsidSect="001E551A">
          <w:type w:val="nextColumn"/>
          <w:pgSz w:w="16838" w:h="11906" w:orient="landscape"/>
          <w:pgMar w:top="1440" w:right="1440" w:bottom="2268" w:left="1440" w:header="709" w:footer="709" w:gutter="0"/>
          <w:cols w:space="708"/>
          <w:docGrid w:linePitch="360"/>
        </w:sectPr>
      </w:pPr>
    </w:p>
    <w:tbl>
      <w:tblPr>
        <w:tblW w:w="13891" w:type="dxa"/>
        <w:tblLayout w:type="fixed"/>
        <w:tblLook w:val="04A0" w:firstRow="1" w:lastRow="0" w:firstColumn="1" w:lastColumn="0" w:noHBand="0" w:noVBand="1"/>
      </w:tblPr>
      <w:tblGrid>
        <w:gridCol w:w="1698"/>
        <w:gridCol w:w="1134"/>
        <w:gridCol w:w="994"/>
        <w:gridCol w:w="1277"/>
        <w:gridCol w:w="27"/>
        <w:gridCol w:w="965"/>
        <w:gridCol w:w="27"/>
        <w:gridCol w:w="1330"/>
        <w:gridCol w:w="60"/>
        <w:gridCol w:w="1134"/>
        <w:gridCol w:w="53"/>
        <w:gridCol w:w="1305"/>
        <w:gridCol w:w="59"/>
        <w:gridCol w:w="1135"/>
        <w:gridCol w:w="82"/>
        <w:gridCol w:w="1304"/>
        <w:gridCol w:w="31"/>
        <w:gridCol w:w="1276"/>
      </w:tblGrid>
      <w:tr w:rsidR="001E551A" w:rsidRPr="00EA0DC7" w14:paraId="25CBA37D" w14:textId="77777777" w:rsidTr="003A3D66">
        <w:trPr>
          <w:trHeight w:val="1408"/>
          <w:tblHeader/>
        </w:trPr>
        <w:tc>
          <w:tcPr>
            <w:tcW w:w="1698" w:type="dxa"/>
            <w:tcBorders>
              <w:top w:val="single" w:sz="4" w:space="0" w:color="auto"/>
              <w:left w:val="nil"/>
              <w:bottom w:val="single" w:sz="4" w:space="0" w:color="auto"/>
              <w:right w:val="nil"/>
            </w:tcBorders>
            <w:shd w:val="clear" w:color="auto" w:fill="auto"/>
            <w:noWrap/>
            <w:vAlign w:val="center"/>
            <w:hideMark/>
          </w:tcPr>
          <w:p w14:paraId="16AC2A68" w14:textId="77777777" w:rsidR="00CC3FB0" w:rsidRPr="00EA0DC7" w:rsidRDefault="00CC3FB0" w:rsidP="00CC3FB0">
            <w:pPr>
              <w:spacing w:before="240" w:after="0" w:line="240" w:lineRule="auto"/>
              <w:jc w:val="center"/>
              <w:rPr>
                <w:rFonts w:eastAsia="Times New Roman" w:cs="Arial"/>
                <w:b/>
                <w:bCs/>
                <w:sz w:val="18"/>
                <w:szCs w:val="18"/>
              </w:rPr>
            </w:pPr>
            <w:r w:rsidRPr="00EA0DC7">
              <w:rPr>
                <w:rFonts w:eastAsia="Times New Roman" w:cs="Arial"/>
                <w:b/>
                <w:bCs/>
                <w:sz w:val="18"/>
                <w:szCs w:val="18"/>
              </w:rPr>
              <w:lastRenderedPageBreak/>
              <w:t>Model/</w:t>
            </w:r>
          </w:p>
          <w:p w14:paraId="3BFA47BF" w14:textId="65E3A721" w:rsidR="001E551A" w:rsidRPr="00EA0DC7" w:rsidRDefault="00CC3FB0" w:rsidP="00CC3FB0">
            <w:pPr>
              <w:spacing w:after="0" w:line="240" w:lineRule="auto"/>
              <w:jc w:val="center"/>
              <w:rPr>
                <w:rFonts w:eastAsia="Times New Roman" w:cs="Arial"/>
                <w:b/>
                <w:bCs/>
                <w:sz w:val="18"/>
                <w:szCs w:val="18"/>
              </w:rPr>
            </w:pPr>
            <w:r w:rsidRPr="00EA0DC7">
              <w:rPr>
                <w:rFonts w:eastAsia="Times New Roman" w:cs="Arial"/>
                <w:b/>
                <w:bCs/>
                <w:sz w:val="18"/>
                <w:szCs w:val="18"/>
              </w:rPr>
              <w:t>approach</w:t>
            </w:r>
          </w:p>
        </w:tc>
        <w:tc>
          <w:tcPr>
            <w:tcW w:w="1134" w:type="dxa"/>
            <w:tcBorders>
              <w:top w:val="single" w:sz="4" w:space="0" w:color="auto"/>
              <w:left w:val="nil"/>
              <w:bottom w:val="single" w:sz="4" w:space="0" w:color="auto"/>
              <w:right w:val="nil"/>
            </w:tcBorders>
            <w:shd w:val="clear" w:color="auto" w:fill="auto"/>
            <w:vAlign w:val="center"/>
            <w:hideMark/>
          </w:tcPr>
          <w:p w14:paraId="0B9F47AD" w14:textId="66DC32B4" w:rsidR="001E551A" w:rsidRPr="00EA0DC7" w:rsidRDefault="00194B4D" w:rsidP="005016CB">
            <w:pPr>
              <w:spacing w:line="240" w:lineRule="auto"/>
              <w:jc w:val="center"/>
              <w:rPr>
                <w:rFonts w:eastAsia="Times New Roman" w:cs="Arial"/>
                <w:b/>
                <w:bCs/>
                <w:sz w:val="18"/>
                <w:szCs w:val="18"/>
              </w:rPr>
            </w:pPr>
            <w:r w:rsidRPr="00EA0DC7">
              <w:rPr>
                <w:rFonts w:eastAsia="Times New Roman" w:cs="Arial"/>
                <w:b/>
                <w:bCs/>
                <w:sz w:val="18"/>
                <w:szCs w:val="18"/>
              </w:rPr>
              <w:t>Supervis</w:t>
            </w:r>
            <w:r w:rsidR="00510ECA" w:rsidRPr="00EA0DC7">
              <w:rPr>
                <w:rFonts w:eastAsia="Times New Roman" w:cs="Arial"/>
                <w:b/>
                <w:bCs/>
                <w:sz w:val="18"/>
                <w:szCs w:val="18"/>
              </w:rPr>
              <w:t>-</w:t>
            </w:r>
            <w:r w:rsidRPr="00EA0DC7">
              <w:rPr>
                <w:rFonts w:eastAsia="Times New Roman" w:cs="Arial"/>
                <w:b/>
                <w:bCs/>
                <w:sz w:val="18"/>
                <w:szCs w:val="18"/>
              </w:rPr>
              <w:t>ee's personal character</w:t>
            </w:r>
            <w:r w:rsidR="00510ECA" w:rsidRPr="00EA0DC7">
              <w:rPr>
                <w:rFonts w:eastAsia="Times New Roman" w:cs="Arial"/>
                <w:b/>
                <w:bCs/>
                <w:sz w:val="18"/>
                <w:szCs w:val="18"/>
              </w:rPr>
              <w:t>-</w:t>
            </w:r>
            <w:r w:rsidR="001E551A" w:rsidRPr="00EA0DC7">
              <w:rPr>
                <w:rFonts w:eastAsia="Times New Roman" w:cs="Arial"/>
                <w:b/>
                <w:bCs/>
                <w:sz w:val="18"/>
                <w:szCs w:val="18"/>
              </w:rPr>
              <w:t>istics</w:t>
            </w:r>
          </w:p>
        </w:tc>
        <w:tc>
          <w:tcPr>
            <w:tcW w:w="994" w:type="dxa"/>
            <w:tcBorders>
              <w:top w:val="single" w:sz="4" w:space="0" w:color="auto"/>
              <w:left w:val="nil"/>
              <w:bottom w:val="single" w:sz="4" w:space="0" w:color="auto"/>
              <w:right w:val="nil"/>
            </w:tcBorders>
            <w:shd w:val="clear" w:color="auto" w:fill="auto"/>
            <w:vAlign w:val="center"/>
            <w:hideMark/>
          </w:tcPr>
          <w:p w14:paraId="788D70CA" w14:textId="5EB99DA3"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gender</w:t>
            </w:r>
          </w:p>
        </w:tc>
        <w:tc>
          <w:tcPr>
            <w:tcW w:w="1304" w:type="dxa"/>
            <w:gridSpan w:val="2"/>
            <w:tcBorders>
              <w:top w:val="single" w:sz="4" w:space="0" w:color="auto"/>
              <w:left w:val="nil"/>
              <w:bottom w:val="single" w:sz="4" w:space="0" w:color="auto"/>
              <w:right w:val="nil"/>
            </w:tcBorders>
            <w:shd w:val="clear" w:color="auto" w:fill="auto"/>
            <w:vAlign w:val="center"/>
            <w:hideMark/>
          </w:tcPr>
          <w:p w14:paraId="652CF762" w14:textId="77777777"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Supervisee ethnicity/ culture</w:t>
            </w:r>
          </w:p>
        </w:tc>
        <w:tc>
          <w:tcPr>
            <w:tcW w:w="992" w:type="dxa"/>
            <w:gridSpan w:val="2"/>
            <w:tcBorders>
              <w:top w:val="single" w:sz="4" w:space="0" w:color="auto"/>
              <w:left w:val="nil"/>
              <w:bottom w:val="single" w:sz="4" w:space="0" w:color="auto"/>
              <w:right w:val="nil"/>
            </w:tcBorders>
            <w:vAlign w:val="center"/>
          </w:tcPr>
          <w:p w14:paraId="091B4A24" w14:textId="6BAF7156"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anxiety</w:t>
            </w:r>
          </w:p>
        </w:tc>
        <w:tc>
          <w:tcPr>
            <w:tcW w:w="1330" w:type="dxa"/>
            <w:tcBorders>
              <w:top w:val="single" w:sz="4" w:space="0" w:color="auto"/>
              <w:left w:val="nil"/>
              <w:bottom w:val="single" w:sz="4" w:space="0" w:color="auto"/>
              <w:right w:val="nil"/>
            </w:tcBorders>
            <w:vAlign w:val="center"/>
          </w:tcPr>
          <w:p w14:paraId="76F7EAE4" w14:textId="77777777"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Supervisee motivation</w:t>
            </w:r>
          </w:p>
        </w:tc>
        <w:tc>
          <w:tcPr>
            <w:tcW w:w="1247" w:type="dxa"/>
            <w:gridSpan w:val="3"/>
            <w:tcBorders>
              <w:top w:val="single" w:sz="4" w:space="0" w:color="auto"/>
              <w:left w:val="nil"/>
              <w:bottom w:val="single" w:sz="4" w:space="0" w:color="auto"/>
              <w:right w:val="nil"/>
            </w:tcBorders>
            <w:vAlign w:val="center"/>
          </w:tcPr>
          <w:p w14:paraId="1FFB264A" w14:textId="2DEC0D71"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Supervisee autonomy vs dependen</w:t>
            </w:r>
            <w:r w:rsidR="00510ECA" w:rsidRPr="00EA0DC7">
              <w:rPr>
                <w:rFonts w:eastAsia="Times New Roman" w:cs="Arial"/>
                <w:b/>
                <w:bCs/>
                <w:sz w:val="18"/>
                <w:szCs w:val="18"/>
              </w:rPr>
              <w:t>-</w:t>
            </w:r>
            <w:r w:rsidRPr="00EA0DC7">
              <w:rPr>
                <w:rFonts w:eastAsia="Times New Roman" w:cs="Arial"/>
                <w:b/>
                <w:bCs/>
                <w:sz w:val="18"/>
                <w:szCs w:val="18"/>
              </w:rPr>
              <w:t>cy</w:t>
            </w:r>
          </w:p>
        </w:tc>
        <w:tc>
          <w:tcPr>
            <w:tcW w:w="1305" w:type="dxa"/>
            <w:tcBorders>
              <w:top w:val="single" w:sz="4" w:space="0" w:color="auto"/>
              <w:left w:val="nil"/>
              <w:bottom w:val="single" w:sz="4" w:space="0" w:color="auto"/>
              <w:right w:val="nil"/>
            </w:tcBorders>
            <w:vAlign w:val="center"/>
          </w:tcPr>
          <w:p w14:paraId="00F8A94C" w14:textId="77777777" w:rsidR="001E551A" w:rsidRPr="00EA0DC7" w:rsidRDefault="001E551A" w:rsidP="00CC3FB0">
            <w:pPr>
              <w:spacing w:before="240" w:line="240" w:lineRule="auto"/>
              <w:jc w:val="center"/>
              <w:rPr>
                <w:rFonts w:eastAsia="Times New Roman" w:cs="Arial"/>
                <w:b/>
                <w:bCs/>
                <w:sz w:val="18"/>
                <w:szCs w:val="18"/>
              </w:rPr>
            </w:pPr>
            <w:r w:rsidRPr="00EA0DC7">
              <w:rPr>
                <w:rFonts w:eastAsia="Times New Roman" w:cs="Arial"/>
                <w:b/>
                <w:bCs/>
                <w:sz w:val="18"/>
                <w:szCs w:val="18"/>
              </w:rPr>
              <w:t>Supervisee awareness of self and/or others</w:t>
            </w:r>
          </w:p>
        </w:tc>
        <w:tc>
          <w:tcPr>
            <w:tcW w:w="1276" w:type="dxa"/>
            <w:gridSpan w:val="3"/>
            <w:tcBorders>
              <w:top w:val="single" w:sz="4" w:space="0" w:color="auto"/>
              <w:left w:val="nil"/>
              <w:bottom w:val="single" w:sz="4" w:space="0" w:color="auto"/>
              <w:right w:val="nil"/>
            </w:tcBorders>
            <w:vAlign w:val="center"/>
          </w:tcPr>
          <w:p w14:paraId="5E8375DD" w14:textId="588EEC3F"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Developm</w:t>
            </w:r>
            <w:r w:rsidR="00510ECA" w:rsidRPr="00EA0DC7">
              <w:rPr>
                <w:rFonts w:eastAsia="Times New Roman" w:cs="Arial"/>
                <w:b/>
                <w:bCs/>
                <w:sz w:val="18"/>
                <w:szCs w:val="18"/>
              </w:rPr>
              <w:t>-</w:t>
            </w:r>
            <w:r w:rsidRPr="00EA0DC7">
              <w:rPr>
                <w:rFonts w:eastAsia="Times New Roman" w:cs="Arial"/>
                <w:b/>
                <w:bCs/>
                <w:sz w:val="18"/>
                <w:szCs w:val="18"/>
              </w:rPr>
              <w:t>ent of supervisee</w:t>
            </w:r>
          </w:p>
        </w:tc>
        <w:tc>
          <w:tcPr>
            <w:tcW w:w="1304" w:type="dxa"/>
            <w:tcBorders>
              <w:top w:val="single" w:sz="4" w:space="0" w:color="auto"/>
              <w:left w:val="nil"/>
              <w:bottom w:val="single" w:sz="4" w:space="0" w:color="auto"/>
              <w:right w:val="nil"/>
            </w:tcBorders>
            <w:vAlign w:val="center"/>
          </w:tcPr>
          <w:p w14:paraId="744D9465" w14:textId="77777777"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Supervisee individual learning styles</w:t>
            </w:r>
          </w:p>
        </w:tc>
        <w:tc>
          <w:tcPr>
            <w:tcW w:w="1304" w:type="dxa"/>
            <w:gridSpan w:val="2"/>
            <w:tcBorders>
              <w:top w:val="single" w:sz="4" w:space="0" w:color="auto"/>
              <w:left w:val="nil"/>
              <w:bottom w:val="single" w:sz="4" w:space="0" w:color="auto"/>
              <w:right w:val="nil"/>
            </w:tcBorders>
            <w:vAlign w:val="center"/>
          </w:tcPr>
          <w:p w14:paraId="5F42EEAF" w14:textId="77777777" w:rsidR="001E551A" w:rsidRPr="00EA0DC7" w:rsidRDefault="001E551A" w:rsidP="005016CB">
            <w:pPr>
              <w:spacing w:line="240" w:lineRule="auto"/>
              <w:jc w:val="center"/>
              <w:rPr>
                <w:rFonts w:eastAsia="Times New Roman" w:cs="Arial"/>
                <w:b/>
                <w:bCs/>
                <w:sz w:val="18"/>
                <w:szCs w:val="18"/>
              </w:rPr>
            </w:pPr>
            <w:r w:rsidRPr="00EA0DC7">
              <w:rPr>
                <w:rFonts w:eastAsia="Times New Roman" w:cs="Arial"/>
                <w:b/>
                <w:bCs/>
                <w:sz w:val="18"/>
                <w:szCs w:val="18"/>
              </w:rPr>
              <w:t>Supervisee can take on variety of roles</w:t>
            </w:r>
          </w:p>
        </w:tc>
      </w:tr>
      <w:tr w:rsidR="00194B4D" w:rsidRPr="00EA0DC7" w14:paraId="058FA876" w14:textId="77777777" w:rsidTr="003A3D66">
        <w:trPr>
          <w:trHeight w:val="283"/>
          <w:tblHeader/>
        </w:trPr>
        <w:tc>
          <w:tcPr>
            <w:tcW w:w="1698" w:type="dxa"/>
            <w:tcBorders>
              <w:top w:val="nil"/>
              <w:left w:val="nil"/>
              <w:right w:val="nil"/>
            </w:tcBorders>
            <w:shd w:val="clear" w:color="auto" w:fill="auto"/>
            <w:hideMark/>
          </w:tcPr>
          <w:p w14:paraId="6FE0D14B" w14:textId="77777777" w:rsidR="00B23505" w:rsidRPr="00EA0DC7" w:rsidRDefault="00B23505" w:rsidP="00770CB3">
            <w:pPr>
              <w:spacing w:before="240" w:line="240" w:lineRule="auto"/>
              <w:jc w:val="left"/>
              <w:rPr>
                <w:rFonts w:eastAsia="Times New Roman" w:cs="Arial"/>
                <w:sz w:val="18"/>
                <w:szCs w:val="18"/>
              </w:rPr>
            </w:pPr>
            <w:r w:rsidRPr="00EA0DC7">
              <w:rPr>
                <w:rFonts w:eastAsia="Times New Roman" w:cs="Arial"/>
                <w:sz w:val="18"/>
                <w:szCs w:val="18"/>
              </w:rPr>
              <w:t>Holloway (1995)</w:t>
            </w:r>
          </w:p>
        </w:tc>
        <w:tc>
          <w:tcPr>
            <w:tcW w:w="1134" w:type="dxa"/>
            <w:tcBorders>
              <w:top w:val="nil"/>
              <w:left w:val="nil"/>
              <w:right w:val="nil"/>
            </w:tcBorders>
            <w:shd w:val="clear" w:color="auto" w:fill="auto"/>
            <w:noWrap/>
            <w:hideMark/>
          </w:tcPr>
          <w:p w14:paraId="1ECA1C11" w14:textId="77777777" w:rsidR="00B23505" w:rsidRPr="00EA0DC7" w:rsidRDefault="00B23505"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right w:val="nil"/>
            </w:tcBorders>
            <w:shd w:val="clear" w:color="auto" w:fill="auto"/>
            <w:noWrap/>
            <w:hideMark/>
          </w:tcPr>
          <w:p w14:paraId="4AA3685B" w14:textId="77777777" w:rsidR="00B23505" w:rsidRPr="00EA0DC7" w:rsidRDefault="00B23505"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right w:val="nil"/>
            </w:tcBorders>
            <w:shd w:val="clear" w:color="auto" w:fill="auto"/>
            <w:noWrap/>
            <w:hideMark/>
          </w:tcPr>
          <w:p w14:paraId="79E73D07" w14:textId="77777777" w:rsidR="00B23505" w:rsidRPr="00EA0DC7" w:rsidRDefault="00B23505"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gridSpan w:val="2"/>
            <w:tcBorders>
              <w:top w:val="nil"/>
              <w:left w:val="nil"/>
              <w:right w:val="nil"/>
            </w:tcBorders>
          </w:tcPr>
          <w:p w14:paraId="371D2ACE" w14:textId="77777777" w:rsidR="00B23505" w:rsidRPr="00EA0DC7" w:rsidRDefault="00B23505" w:rsidP="00770CB3">
            <w:pPr>
              <w:spacing w:before="240" w:line="240" w:lineRule="auto"/>
              <w:jc w:val="center"/>
              <w:rPr>
                <w:rFonts w:eastAsia="Times New Roman" w:cs="Arial"/>
                <w:sz w:val="18"/>
                <w:szCs w:val="18"/>
              </w:rPr>
            </w:pPr>
          </w:p>
        </w:tc>
        <w:tc>
          <w:tcPr>
            <w:tcW w:w="1330" w:type="dxa"/>
            <w:tcBorders>
              <w:top w:val="nil"/>
              <w:left w:val="nil"/>
              <w:right w:val="nil"/>
            </w:tcBorders>
          </w:tcPr>
          <w:p w14:paraId="75000503" w14:textId="77777777" w:rsidR="00B23505" w:rsidRPr="00EA0DC7" w:rsidRDefault="00B23505" w:rsidP="00770CB3">
            <w:pPr>
              <w:spacing w:before="240" w:line="240" w:lineRule="auto"/>
              <w:jc w:val="center"/>
              <w:rPr>
                <w:rFonts w:eastAsia="Times New Roman" w:cs="Arial"/>
                <w:sz w:val="18"/>
                <w:szCs w:val="18"/>
              </w:rPr>
            </w:pPr>
          </w:p>
        </w:tc>
        <w:tc>
          <w:tcPr>
            <w:tcW w:w="1247" w:type="dxa"/>
            <w:gridSpan w:val="3"/>
            <w:tcBorders>
              <w:top w:val="nil"/>
              <w:left w:val="nil"/>
              <w:right w:val="nil"/>
            </w:tcBorders>
          </w:tcPr>
          <w:p w14:paraId="1CCD3EAD" w14:textId="77777777" w:rsidR="00B23505" w:rsidRPr="00EA0DC7" w:rsidRDefault="00B23505" w:rsidP="00770CB3">
            <w:pPr>
              <w:spacing w:before="240" w:line="240" w:lineRule="auto"/>
              <w:jc w:val="center"/>
              <w:rPr>
                <w:rFonts w:eastAsia="Times New Roman" w:cs="Arial"/>
                <w:sz w:val="18"/>
                <w:szCs w:val="18"/>
              </w:rPr>
            </w:pPr>
          </w:p>
        </w:tc>
        <w:tc>
          <w:tcPr>
            <w:tcW w:w="1305" w:type="dxa"/>
            <w:tcBorders>
              <w:top w:val="nil"/>
              <w:left w:val="nil"/>
              <w:right w:val="nil"/>
            </w:tcBorders>
          </w:tcPr>
          <w:p w14:paraId="08EA2C9F" w14:textId="77777777" w:rsidR="00B23505" w:rsidRPr="00EA0DC7" w:rsidRDefault="00B23505"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gridSpan w:val="3"/>
            <w:tcBorders>
              <w:top w:val="nil"/>
              <w:left w:val="nil"/>
              <w:right w:val="nil"/>
            </w:tcBorders>
          </w:tcPr>
          <w:p w14:paraId="1ABE84F7" w14:textId="77777777" w:rsidR="00B23505" w:rsidRPr="00EA0DC7" w:rsidRDefault="00B23505" w:rsidP="00770CB3">
            <w:pPr>
              <w:spacing w:before="240" w:line="240" w:lineRule="auto"/>
              <w:jc w:val="center"/>
              <w:rPr>
                <w:rFonts w:eastAsia="Times New Roman" w:cs="Arial"/>
                <w:sz w:val="18"/>
                <w:szCs w:val="18"/>
              </w:rPr>
            </w:pPr>
          </w:p>
        </w:tc>
        <w:tc>
          <w:tcPr>
            <w:tcW w:w="1304" w:type="dxa"/>
            <w:tcBorders>
              <w:top w:val="nil"/>
              <w:left w:val="nil"/>
              <w:right w:val="nil"/>
            </w:tcBorders>
          </w:tcPr>
          <w:p w14:paraId="19FFA9DC" w14:textId="77777777" w:rsidR="00B23505" w:rsidRPr="00EA0DC7" w:rsidRDefault="00B23505" w:rsidP="00770CB3">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right w:val="nil"/>
            </w:tcBorders>
          </w:tcPr>
          <w:p w14:paraId="00242442" w14:textId="77777777" w:rsidR="00B23505" w:rsidRPr="00EA0DC7" w:rsidRDefault="00B23505" w:rsidP="00770CB3">
            <w:pPr>
              <w:spacing w:before="240" w:line="240" w:lineRule="auto"/>
              <w:jc w:val="center"/>
              <w:rPr>
                <w:rFonts w:eastAsia="Times New Roman" w:cs="Arial"/>
                <w:sz w:val="18"/>
                <w:szCs w:val="18"/>
              </w:rPr>
            </w:pPr>
          </w:p>
        </w:tc>
      </w:tr>
      <w:tr w:rsidR="00194B4D" w:rsidRPr="00EA0DC7" w14:paraId="69C9B51A" w14:textId="77777777" w:rsidTr="003A3D66">
        <w:trPr>
          <w:trHeight w:val="401"/>
          <w:tblHeader/>
        </w:trPr>
        <w:tc>
          <w:tcPr>
            <w:tcW w:w="1698" w:type="dxa"/>
            <w:tcBorders>
              <w:left w:val="nil"/>
              <w:right w:val="nil"/>
            </w:tcBorders>
            <w:shd w:val="clear" w:color="auto" w:fill="auto"/>
            <w:hideMark/>
          </w:tcPr>
          <w:p w14:paraId="7372FA17"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Hipp &amp; Munson (1995)</w:t>
            </w:r>
          </w:p>
        </w:tc>
        <w:tc>
          <w:tcPr>
            <w:tcW w:w="1134" w:type="dxa"/>
            <w:tcBorders>
              <w:left w:val="nil"/>
              <w:right w:val="nil"/>
            </w:tcBorders>
            <w:shd w:val="clear" w:color="auto" w:fill="auto"/>
            <w:noWrap/>
            <w:hideMark/>
          </w:tcPr>
          <w:p w14:paraId="1CF12C49"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hideMark/>
          </w:tcPr>
          <w:p w14:paraId="6B3C9D98"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right w:val="nil"/>
            </w:tcBorders>
            <w:shd w:val="clear" w:color="auto" w:fill="auto"/>
            <w:noWrap/>
            <w:hideMark/>
          </w:tcPr>
          <w:p w14:paraId="0F76CF73" w14:textId="77777777" w:rsidR="00B23505" w:rsidRPr="00EA0DC7" w:rsidRDefault="00B23505" w:rsidP="00B23505">
            <w:pPr>
              <w:spacing w:line="240" w:lineRule="auto"/>
              <w:jc w:val="center"/>
              <w:rPr>
                <w:rFonts w:eastAsia="Times New Roman" w:cs="Arial"/>
                <w:sz w:val="18"/>
                <w:szCs w:val="18"/>
              </w:rPr>
            </w:pPr>
          </w:p>
        </w:tc>
        <w:tc>
          <w:tcPr>
            <w:tcW w:w="992" w:type="dxa"/>
            <w:gridSpan w:val="2"/>
            <w:tcBorders>
              <w:left w:val="nil"/>
              <w:right w:val="nil"/>
            </w:tcBorders>
          </w:tcPr>
          <w:p w14:paraId="5C0132BC" w14:textId="77777777" w:rsidR="00B23505" w:rsidRPr="00EA0DC7" w:rsidRDefault="00B23505" w:rsidP="00B23505">
            <w:pPr>
              <w:spacing w:line="240" w:lineRule="auto"/>
              <w:jc w:val="center"/>
              <w:rPr>
                <w:rFonts w:eastAsia="Times New Roman" w:cs="Arial"/>
                <w:sz w:val="18"/>
                <w:szCs w:val="18"/>
              </w:rPr>
            </w:pPr>
          </w:p>
        </w:tc>
        <w:tc>
          <w:tcPr>
            <w:tcW w:w="1330" w:type="dxa"/>
            <w:tcBorders>
              <w:left w:val="nil"/>
              <w:right w:val="nil"/>
            </w:tcBorders>
          </w:tcPr>
          <w:p w14:paraId="35044CD6" w14:textId="77777777" w:rsidR="00B23505" w:rsidRPr="00EA0DC7" w:rsidRDefault="00B23505" w:rsidP="00B23505">
            <w:pPr>
              <w:spacing w:line="240" w:lineRule="auto"/>
              <w:jc w:val="center"/>
              <w:rPr>
                <w:rFonts w:eastAsia="Times New Roman" w:cs="Arial"/>
                <w:sz w:val="18"/>
                <w:szCs w:val="18"/>
              </w:rPr>
            </w:pPr>
          </w:p>
        </w:tc>
        <w:tc>
          <w:tcPr>
            <w:tcW w:w="1247" w:type="dxa"/>
            <w:gridSpan w:val="3"/>
            <w:tcBorders>
              <w:left w:val="nil"/>
              <w:right w:val="nil"/>
            </w:tcBorders>
          </w:tcPr>
          <w:p w14:paraId="01046EDC" w14:textId="77777777" w:rsidR="00B23505" w:rsidRPr="00EA0DC7" w:rsidRDefault="00B23505" w:rsidP="00B23505">
            <w:pPr>
              <w:spacing w:line="240" w:lineRule="auto"/>
              <w:jc w:val="center"/>
              <w:rPr>
                <w:rFonts w:eastAsia="Times New Roman" w:cs="Arial"/>
                <w:sz w:val="18"/>
                <w:szCs w:val="18"/>
              </w:rPr>
            </w:pPr>
          </w:p>
        </w:tc>
        <w:tc>
          <w:tcPr>
            <w:tcW w:w="1305" w:type="dxa"/>
            <w:tcBorders>
              <w:left w:val="nil"/>
              <w:right w:val="nil"/>
            </w:tcBorders>
          </w:tcPr>
          <w:p w14:paraId="221D9B7B" w14:textId="77777777" w:rsidR="00B23505" w:rsidRPr="00EA0DC7" w:rsidRDefault="00B23505" w:rsidP="00B23505">
            <w:pPr>
              <w:spacing w:line="240" w:lineRule="auto"/>
              <w:jc w:val="center"/>
              <w:rPr>
                <w:rFonts w:eastAsia="Times New Roman" w:cs="Arial"/>
                <w:sz w:val="18"/>
                <w:szCs w:val="18"/>
              </w:rPr>
            </w:pPr>
          </w:p>
        </w:tc>
        <w:tc>
          <w:tcPr>
            <w:tcW w:w="1276" w:type="dxa"/>
            <w:gridSpan w:val="3"/>
            <w:tcBorders>
              <w:left w:val="nil"/>
              <w:right w:val="nil"/>
            </w:tcBorders>
          </w:tcPr>
          <w:p w14:paraId="64E281F1"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609FF219"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tcPr>
          <w:p w14:paraId="73178EAF" w14:textId="77777777" w:rsidR="00B23505" w:rsidRPr="00EA0DC7" w:rsidRDefault="00B23505" w:rsidP="00B23505">
            <w:pPr>
              <w:spacing w:line="240" w:lineRule="auto"/>
              <w:jc w:val="center"/>
              <w:rPr>
                <w:rFonts w:eastAsia="Times New Roman" w:cs="Arial"/>
                <w:sz w:val="18"/>
                <w:szCs w:val="18"/>
              </w:rPr>
            </w:pPr>
          </w:p>
        </w:tc>
      </w:tr>
      <w:tr w:rsidR="00194B4D" w:rsidRPr="00EA0DC7" w14:paraId="0285F879" w14:textId="77777777" w:rsidTr="003A3D66">
        <w:trPr>
          <w:trHeight w:val="283"/>
          <w:tblHeader/>
        </w:trPr>
        <w:tc>
          <w:tcPr>
            <w:tcW w:w="1698" w:type="dxa"/>
            <w:tcBorders>
              <w:left w:val="nil"/>
              <w:right w:val="nil"/>
            </w:tcBorders>
            <w:shd w:val="clear" w:color="auto" w:fill="auto"/>
            <w:hideMark/>
          </w:tcPr>
          <w:p w14:paraId="7A358514"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Carroll (1996)</w:t>
            </w:r>
          </w:p>
        </w:tc>
        <w:tc>
          <w:tcPr>
            <w:tcW w:w="1134" w:type="dxa"/>
            <w:tcBorders>
              <w:left w:val="nil"/>
              <w:right w:val="nil"/>
            </w:tcBorders>
            <w:shd w:val="clear" w:color="auto" w:fill="auto"/>
            <w:noWrap/>
            <w:hideMark/>
          </w:tcPr>
          <w:p w14:paraId="723F39E9" w14:textId="77777777" w:rsidR="00B23505" w:rsidRPr="00EA0DC7" w:rsidRDefault="00B23505" w:rsidP="00B23505">
            <w:pPr>
              <w:spacing w:line="240" w:lineRule="auto"/>
              <w:jc w:val="center"/>
              <w:rPr>
                <w:rFonts w:eastAsia="Times New Roman" w:cs="Arial"/>
                <w:sz w:val="18"/>
                <w:szCs w:val="18"/>
              </w:rPr>
            </w:pPr>
          </w:p>
        </w:tc>
        <w:tc>
          <w:tcPr>
            <w:tcW w:w="994" w:type="dxa"/>
            <w:tcBorders>
              <w:left w:val="nil"/>
              <w:right w:val="nil"/>
            </w:tcBorders>
            <w:shd w:val="clear" w:color="auto" w:fill="auto"/>
            <w:noWrap/>
            <w:hideMark/>
          </w:tcPr>
          <w:p w14:paraId="7E9DA457"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shd w:val="clear" w:color="auto" w:fill="auto"/>
            <w:noWrap/>
            <w:hideMark/>
          </w:tcPr>
          <w:p w14:paraId="00B691D3" w14:textId="77777777" w:rsidR="00B23505" w:rsidRPr="00EA0DC7" w:rsidRDefault="00B23505" w:rsidP="00B23505">
            <w:pPr>
              <w:spacing w:line="240" w:lineRule="auto"/>
              <w:jc w:val="center"/>
              <w:rPr>
                <w:rFonts w:eastAsia="Times New Roman" w:cs="Arial"/>
                <w:sz w:val="18"/>
                <w:szCs w:val="18"/>
              </w:rPr>
            </w:pPr>
          </w:p>
        </w:tc>
        <w:tc>
          <w:tcPr>
            <w:tcW w:w="992" w:type="dxa"/>
            <w:gridSpan w:val="2"/>
            <w:tcBorders>
              <w:left w:val="nil"/>
              <w:right w:val="nil"/>
            </w:tcBorders>
          </w:tcPr>
          <w:p w14:paraId="7704F4A3" w14:textId="77777777" w:rsidR="00B23505" w:rsidRPr="00EA0DC7" w:rsidRDefault="00B23505" w:rsidP="00B23505">
            <w:pPr>
              <w:spacing w:line="240" w:lineRule="auto"/>
              <w:jc w:val="center"/>
              <w:rPr>
                <w:rFonts w:eastAsia="Times New Roman" w:cs="Arial"/>
                <w:sz w:val="18"/>
                <w:szCs w:val="18"/>
              </w:rPr>
            </w:pPr>
          </w:p>
        </w:tc>
        <w:tc>
          <w:tcPr>
            <w:tcW w:w="1330" w:type="dxa"/>
            <w:tcBorders>
              <w:left w:val="nil"/>
              <w:right w:val="nil"/>
            </w:tcBorders>
          </w:tcPr>
          <w:p w14:paraId="1429F8C5" w14:textId="77777777" w:rsidR="00B23505" w:rsidRPr="00EA0DC7" w:rsidRDefault="00B23505" w:rsidP="00B23505">
            <w:pPr>
              <w:spacing w:line="240" w:lineRule="auto"/>
              <w:jc w:val="center"/>
              <w:rPr>
                <w:rFonts w:eastAsia="Times New Roman" w:cs="Arial"/>
                <w:sz w:val="18"/>
                <w:szCs w:val="18"/>
              </w:rPr>
            </w:pPr>
          </w:p>
        </w:tc>
        <w:tc>
          <w:tcPr>
            <w:tcW w:w="1247" w:type="dxa"/>
            <w:gridSpan w:val="3"/>
            <w:tcBorders>
              <w:left w:val="nil"/>
              <w:right w:val="nil"/>
            </w:tcBorders>
          </w:tcPr>
          <w:p w14:paraId="29395DA2" w14:textId="77777777" w:rsidR="00B23505" w:rsidRPr="00EA0DC7" w:rsidRDefault="00B23505" w:rsidP="00B23505">
            <w:pPr>
              <w:spacing w:line="240" w:lineRule="auto"/>
              <w:jc w:val="center"/>
              <w:rPr>
                <w:rFonts w:eastAsia="Times New Roman" w:cs="Arial"/>
                <w:sz w:val="18"/>
                <w:szCs w:val="18"/>
              </w:rPr>
            </w:pPr>
          </w:p>
        </w:tc>
        <w:tc>
          <w:tcPr>
            <w:tcW w:w="1305" w:type="dxa"/>
            <w:tcBorders>
              <w:left w:val="nil"/>
              <w:right w:val="nil"/>
            </w:tcBorders>
          </w:tcPr>
          <w:p w14:paraId="18C9CEF2" w14:textId="77777777" w:rsidR="00B23505" w:rsidRPr="00EA0DC7" w:rsidRDefault="00B23505" w:rsidP="00B23505">
            <w:pPr>
              <w:spacing w:line="240" w:lineRule="auto"/>
              <w:jc w:val="center"/>
              <w:rPr>
                <w:rFonts w:eastAsia="Times New Roman" w:cs="Arial"/>
                <w:sz w:val="18"/>
                <w:szCs w:val="18"/>
              </w:rPr>
            </w:pPr>
          </w:p>
        </w:tc>
        <w:tc>
          <w:tcPr>
            <w:tcW w:w="1276" w:type="dxa"/>
            <w:gridSpan w:val="3"/>
            <w:tcBorders>
              <w:left w:val="nil"/>
              <w:right w:val="nil"/>
            </w:tcBorders>
          </w:tcPr>
          <w:p w14:paraId="1114CB25"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65C20AE1"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tcPr>
          <w:p w14:paraId="60283BAB" w14:textId="77777777" w:rsidR="00B23505" w:rsidRPr="00EA0DC7" w:rsidRDefault="00B23505" w:rsidP="00B23505">
            <w:pPr>
              <w:spacing w:line="240" w:lineRule="auto"/>
              <w:jc w:val="center"/>
              <w:rPr>
                <w:rFonts w:eastAsia="Times New Roman" w:cs="Arial"/>
                <w:sz w:val="18"/>
                <w:szCs w:val="18"/>
              </w:rPr>
            </w:pPr>
          </w:p>
        </w:tc>
      </w:tr>
      <w:tr w:rsidR="00194B4D" w:rsidRPr="00EA0DC7" w14:paraId="44AB27F6" w14:textId="77777777" w:rsidTr="003A3D66">
        <w:trPr>
          <w:trHeight w:val="283"/>
          <w:tblHeader/>
        </w:trPr>
        <w:tc>
          <w:tcPr>
            <w:tcW w:w="1698" w:type="dxa"/>
            <w:tcBorders>
              <w:top w:val="nil"/>
              <w:left w:val="nil"/>
              <w:right w:val="nil"/>
            </w:tcBorders>
            <w:shd w:val="clear" w:color="auto" w:fill="auto"/>
            <w:hideMark/>
          </w:tcPr>
          <w:p w14:paraId="6899FC44"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Carroll (1996)</w:t>
            </w:r>
          </w:p>
        </w:tc>
        <w:tc>
          <w:tcPr>
            <w:tcW w:w="1134" w:type="dxa"/>
            <w:tcBorders>
              <w:top w:val="nil"/>
              <w:left w:val="nil"/>
              <w:right w:val="nil"/>
            </w:tcBorders>
            <w:shd w:val="clear" w:color="auto" w:fill="auto"/>
            <w:noWrap/>
            <w:hideMark/>
          </w:tcPr>
          <w:p w14:paraId="766FB364"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top w:val="nil"/>
              <w:left w:val="nil"/>
              <w:right w:val="nil"/>
            </w:tcBorders>
            <w:shd w:val="clear" w:color="auto" w:fill="auto"/>
            <w:noWrap/>
            <w:hideMark/>
          </w:tcPr>
          <w:p w14:paraId="3641E962"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top w:val="nil"/>
              <w:left w:val="nil"/>
              <w:right w:val="nil"/>
            </w:tcBorders>
            <w:shd w:val="clear" w:color="auto" w:fill="auto"/>
            <w:noWrap/>
            <w:hideMark/>
          </w:tcPr>
          <w:p w14:paraId="19A3175E" w14:textId="77777777" w:rsidR="00B23505" w:rsidRPr="00EA0DC7" w:rsidRDefault="00B23505" w:rsidP="00B23505">
            <w:pPr>
              <w:spacing w:line="240" w:lineRule="auto"/>
              <w:jc w:val="center"/>
              <w:rPr>
                <w:rFonts w:eastAsia="Times New Roman" w:cs="Arial"/>
                <w:sz w:val="18"/>
                <w:szCs w:val="18"/>
              </w:rPr>
            </w:pPr>
          </w:p>
        </w:tc>
        <w:tc>
          <w:tcPr>
            <w:tcW w:w="992" w:type="dxa"/>
            <w:gridSpan w:val="2"/>
            <w:tcBorders>
              <w:top w:val="nil"/>
              <w:left w:val="nil"/>
              <w:right w:val="nil"/>
            </w:tcBorders>
          </w:tcPr>
          <w:p w14:paraId="20C41E8F" w14:textId="77777777" w:rsidR="00B23505" w:rsidRPr="00EA0DC7" w:rsidRDefault="00B23505" w:rsidP="00B23505">
            <w:pPr>
              <w:spacing w:line="240" w:lineRule="auto"/>
              <w:jc w:val="center"/>
              <w:rPr>
                <w:rFonts w:eastAsia="Times New Roman" w:cs="Arial"/>
                <w:sz w:val="18"/>
                <w:szCs w:val="18"/>
              </w:rPr>
            </w:pPr>
          </w:p>
        </w:tc>
        <w:tc>
          <w:tcPr>
            <w:tcW w:w="1330" w:type="dxa"/>
            <w:tcBorders>
              <w:top w:val="nil"/>
              <w:left w:val="nil"/>
              <w:right w:val="nil"/>
            </w:tcBorders>
          </w:tcPr>
          <w:p w14:paraId="1ED50A46" w14:textId="77777777" w:rsidR="00B23505" w:rsidRPr="00EA0DC7" w:rsidRDefault="00B23505" w:rsidP="00B23505">
            <w:pPr>
              <w:spacing w:line="240" w:lineRule="auto"/>
              <w:jc w:val="center"/>
              <w:rPr>
                <w:rFonts w:eastAsia="Times New Roman" w:cs="Arial"/>
                <w:sz w:val="18"/>
                <w:szCs w:val="18"/>
              </w:rPr>
            </w:pPr>
          </w:p>
        </w:tc>
        <w:tc>
          <w:tcPr>
            <w:tcW w:w="1247" w:type="dxa"/>
            <w:gridSpan w:val="3"/>
            <w:tcBorders>
              <w:top w:val="nil"/>
              <w:left w:val="nil"/>
              <w:right w:val="nil"/>
            </w:tcBorders>
          </w:tcPr>
          <w:p w14:paraId="6DF7ED5A" w14:textId="77777777" w:rsidR="00B23505" w:rsidRPr="00EA0DC7" w:rsidRDefault="00B23505" w:rsidP="00B23505">
            <w:pPr>
              <w:spacing w:line="240" w:lineRule="auto"/>
              <w:jc w:val="center"/>
              <w:rPr>
                <w:rFonts w:eastAsia="Times New Roman" w:cs="Arial"/>
                <w:sz w:val="18"/>
                <w:szCs w:val="18"/>
              </w:rPr>
            </w:pPr>
          </w:p>
        </w:tc>
        <w:tc>
          <w:tcPr>
            <w:tcW w:w="1305" w:type="dxa"/>
            <w:tcBorders>
              <w:top w:val="nil"/>
              <w:left w:val="nil"/>
              <w:right w:val="nil"/>
            </w:tcBorders>
          </w:tcPr>
          <w:p w14:paraId="5B59924D" w14:textId="77777777" w:rsidR="00B23505" w:rsidRPr="00EA0DC7" w:rsidRDefault="00B23505" w:rsidP="00B23505">
            <w:pPr>
              <w:spacing w:line="240" w:lineRule="auto"/>
              <w:jc w:val="center"/>
              <w:rPr>
                <w:rFonts w:eastAsia="Times New Roman" w:cs="Arial"/>
                <w:sz w:val="18"/>
                <w:szCs w:val="18"/>
              </w:rPr>
            </w:pPr>
          </w:p>
        </w:tc>
        <w:tc>
          <w:tcPr>
            <w:tcW w:w="1276" w:type="dxa"/>
            <w:gridSpan w:val="3"/>
            <w:tcBorders>
              <w:top w:val="nil"/>
              <w:left w:val="nil"/>
              <w:right w:val="nil"/>
            </w:tcBorders>
          </w:tcPr>
          <w:p w14:paraId="164E7083"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5A3F1194"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top w:val="nil"/>
              <w:left w:val="nil"/>
              <w:right w:val="nil"/>
            </w:tcBorders>
          </w:tcPr>
          <w:p w14:paraId="40923940" w14:textId="77777777" w:rsidR="00B23505" w:rsidRPr="00EA0DC7" w:rsidRDefault="00B23505" w:rsidP="00B23505">
            <w:pPr>
              <w:spacing w:line="240" w:lineRule="auto"/>
              <w:jc w:val="center"/>
              <w:rPr>
                <w:rFonts w:eastAsia="Times New Roman" w:cs="Arial"/>
                <w:sz w:val="18"/>
                <w:szCs w:val="18"/>
              </w:rPr>
            </w:pPr>
          </w:p>
        </w:tc>
      </w:tr>
      <w:tr w:rsidR="00194B4D" w:rsidRPr="00EA0DC7" w14:paraId="77498426" w14:textId="77777777" w:rsidTr="003A3D66">
        <w:trPr>
          <w:trHeight w:val="283"/>
          <w:tblHeader/>
        </w:trPr>
        <w:tc>
          <w:tcPr>
            <w:tcW w:w="1698" w:type="dxa"/>
            <w:tcBorders>
              <w:left w:val="nil"/>
              <w:right w:val="nil"/>
            </w:tcBorders>
            <w:shd w:val="clear" w:color="auto" w:fill="auto"/>
            <w:hideMark/>
          </w:tcPr>
          <w:p w14:paraId="7528EECB"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Haber (1996)</w:t>
            </w:r>
          </w:p>
        </w:tc>
        <w:tc>
          <w:tcPr>
            <w:tcW w:w="1134" w:type="dxa"/>
            <w:tcBorders>
              <w:left w:val="nil"/>
              <w:right w:val="nil"/>
            </w:tcBorders>
            <w:shd w:val="clear" w:color="auto" w:fill="auto"/>
            <w:noWrap/>
            <w:hideMark/>
          </w:tcPr>
          <w:p w14:paraId="3E5DC733"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hideMark/>
          </w:tcPr>
          <w:p w14:paraId="2EAFC745"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right w:val="nil"/>
            </w:tcBorders>
            <w:shd w:val="clear" w:color="auto" w:fill="auto"/>
            <w:noWrap/>
            <w:hideMark/>
          </w:tcPr>
          <w:p w14:paraId="287C7071"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gridSpan w:val="2"/>
            <w:tcBorders>
              <w:left w:val="nil"/>
              <w:right w:val="nil"/>
            </w:tcBorders>
          </w:tcPr>
          <w:p w14:paraId="48F278BD" w14:textId="77777777" w:rsidR="00B23505" w:rsidRPr="00EA0DC7" w:rsidRDefault="00B23505" w:rsidP="00B23505">
            <w:pPr>
              <w:spacing w:line="240" w:lineRule="auto"/>
              <w:jc w:val="center"/>
              <w:rPr>
                <w:rFonts w:eastAsia="Times New Roman" w:cs="Arial"/>
                <w:sz w:val="18"/>
                <w:szCs w:val="18"/>
              </w:rPr>
            </w:pPr>
          </w:p>
        </w:tc>
        <w:tc>
          <w:tcPr>
            <w:tcW w:w="1330" w:type="dxa"/>
            <w:tcBorders>
              <w:left w:val="nil"/>
              <w:right w:val="nil"/>
            </w:tcBorders>
          </w:tcPr>
          <w:p w14:paraId="190ED4C3" w14:textId="77777777" w:rsidR="00B23505" w:rsidRPr="00EA0DC7" w:rsidRDefault="00B23505" w:rsidP="00B23505">
            <w:pPr>
              <w:spacing w:line="240" w:lineRule="auto"/>
              <w:jc w:val="center"/>
              <w:rPr>
                <w:rFonts w:eastAsia="Times New Roman" w:cs="Arial"/>
                <w:sz w:val="18"/>
                <w:szCs w:val="18"/>
              </w:rPr>
            </w:pPr>
          </w:p>
        </w:tc>
        <w:tc>
          <w:tcPr>
            <w:tcW w:w="1247" w:type="dxa"/>
            <w:gridSpan w:val="3"/>
            <w:tcBorders>
              <w:left w:val="nil"/>
              <w:right w:val="nil"/>
            </w:tcBorders>
          </w:tcPr>
          <w:p w14:paraId="6904F81B"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5" w:type="dxa"/>
            <w:tcBorders>
              <w:left w:val="nil"/>
              <w:right w:val="nil"/>
            </w:tcBorders>
          </w:tcPr>
          <w:p w14:paraId="7EAF17A5" w14:textId="77777777" w:rsidR="00B23505" w:rsidRPr="00EA0DC7" w:rsidRDefault="00B23505" w:rsidP="00B23505">
            <w:pPr>
              <w:spacing w:line="240" w:lineRule="auto"/>
              <w:jc w:val="center"/>
              <w:rPr>
                <w:rFonts w:eastAsia="Times New Roman" w:cs="Arial"/>
                <w:sz w:val="18"/>
                <w:szCs w:val="18"/>
              </w:rPr>
            </w:pPr>
          </w:p>
        </w:tc>
        <w:tc>
          <w:tcPr>
            <w:tcW w:w="1276" w:type="dxa"/>
            <w:gridSpan w:val="3"/>
            <w:tcBorders>
              <w:left w:val="nil"/>
              <w:right w:val="nil"/>
            </w:tcBorders>
          </w:tcPr>
          <w:p w14:paraId="1E2B0E1A"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74C8CA58" w14:textId="77777777" w:rsidR="00B23505" w:rsidRPr="00EA0DC7" w:rsidRDefault="00B23505" w:rsidP="00B23505">
            <w:pPr>
              <w:spacing w:line="240" w:lineRule="auto"/>
              <w:jc w:val="center"/>
              <w:rPr>
                <w:rFonts w:eastAsia="Times New Roman" w:cs="Arial"/>
                <w:sz w:val="18"/>
                <w:szCs w:val="18"/>
              </w:rPr>
            </w:pPr>
          </w:p>
        </w:tc>
        <w:tc>
          <w:tcPr>
            <w:tcW w:w="1304" w:type="dxa"/>
            <w:gridSpan w:val="2"/>
            <w:tcBorders>
              <w:left w:val="nil"/>
              <w:right w:val="nil"/>
            </w:tcBorders>
          </w:tcPr>
          <w:p w14:paraId="56077612" w14:textId="77777777" w:rsidR="00B23505" w:rsidRPr="00EA0DC7" w:rsidRDefault="00B23505" w:rsidP="00B23505">
            <w:pPr>
              <w:spacing w:line="240" w:lineRule="auto"/>
              <w:jc w:val="center"/>
              <w:rPr>
                <w:rFonts w:eastAsia="Times New Roman" w:cs="Arial"/>
                <w:sz w:val="18"/>
                <w:szCs w:val="18"/>
              </w:rPr>
            </w:pPr>
          </w:p>
        </w:tc>
      </w:tr>
      <w:tr w:rsidR="006D2299" w:rsidRPr="00EA0DC7" w14:paraId="6B879224" w14:textId="77777777" w:rsidTr="003A3D66">
        <w:trPr>
          <w:trHeight w:val="283"/>
          <w:tblHeader/>
        </w:trPr>
        <w:tc>
          <w:tcPr>
            <w:tcW w:w="1698" w:type="dxa"/>
            <w:tcBorders>
              <w:left w:val="nil"/>
              <w:right w:val="nil"/>
            </w:tcBorders>
            <w:shd w:val="clear" w:color="auto" w:fill="auto"/>
          </w:tcPr>
          <w:p w14:paraId="4BBFD829" w14:textId="36BEB235"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Liese &amp; Beck (1997)</w:t>
            </w:r>
          </w:p>
        </w:tc>
        <w:tc>
          <w:tcPr>
            <w:tcW w:w="1134" w:type="dxa"/>
            <w:tcBorders>
              <w:left w:val="nil"/>
              <w:right w:val="nil"/>
            </w:tcBorders>
            <w:shd w:val="clear" w:color="auto" w:fill="auto"/>
            <w:noWrap/>
          </w:tcPr>
          <w:p w14:paraId="19D47922" w14:textId="77777777" w:rsidR="006D2299" w:rsidRPr="00EA0DC7" w:rsidRDefault="006D2299" w:rsidP="006D2299">
            <w:pPr>
              <w:spacing w:line="240" w:lineRule="auto"/>
              <w:jc w:val="center"/>
              <w:rPr>
                <w:rFonts w:eastAsia="Times New Roman" w:cs="Arial"/>
                <w:sz w:val="18"/>
                <w:szCs w:val="18"/>
              </w:rPr>
            </w:pPr>
          </w:p>
        </w:tc>
        <w:tc>
          <w:tcPr>
            <w:tcW w:w="994" w:type="dxa"/>
            <w:tcBorders>
              <w:left w:val="nil"/>
              <w:right w:val="nil"/>
            </w:tcBorders>
            <w:shd w:val="clear" w:color="auto" w:fill="auto"/>
            <w:noWrap/>
          </w:tcPr>
          <w:p w14:paraId="0737D7D6"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shd w:val="clear" w:color="auto" w:fill="auto"/>
            <w:noWrap/>
          </w:tcPr>
          <w:p w14:paraId="045FCEFD" w14:textId="77777777" w:rsidR="006D2299" w:rsidRPr="00EA0DC7" w:rsidRDefault="006D2299" w:rsidP="006D2299">
            <w:pPr>
              <w:spacing w:line="240" w:lineRule="auto"/>
              <w:jc w:val="center"/>
              <w:rPr>
                <w:rFonts w:eastAsia="Times New Roman" w:cs="Arial"/>
                <w:sz w:val="18"/>
                <w:szCs w:val="18"/>
              </w:rPr>
            </w:pPr>
          </w:p>
        </w:tc>
        <w:tc>
          <w:tcPr>
            <w:tcW w:w="992" w:type="dxa"/>
            <w:gridSpan w:val="2"/>
            <w:tcBorders>
              <w:left w:val="nil"/>
              <w:right w:val="nil"/>
            </w:tcBorders>
          </w:tcPr>
          <w:p w14:paraId="6A9473C2" w14:textId="77777777" w:rsidR="006D2299" w:rsidRPr="00EA0DC7" w:rsidRDefault="006D2299" w:rsidP="006D2299">
            <w:pPr>
              <w:spacing w:line="240" w:lineRule="auto"/>
              <w:jc w:val="center"/>
              <w:rPr>
                <w:rFonts w:eastAsia="Times New Roman" w:cs="Arial"/>
                <w:sz w:val="18"/>
                <w:szCs w:val="18"/>
              </w:rPr>
            </w:pPr>
          </w:p>
        </w:tc>
        <w:tc>
          <w:tcPr>
            <w:tcW w:w="1330" w:type="dxa"/>
            <w:tcBorders>
              <w:left w:val="nil"/>
              <w:right w:val="nil"/>
            </w:tcBorders>
          </w:tcPr>
          <w:p w14:paraId="5C29CDFD" w14:textId="77777777" w:rsidR="006D2299" w:rsidRPr="00EA0DC7" w:rsidRDefault="006D2299" w:rsidP="006D2299">
            <w:pPr>
              <w:spacing w:line="240" w:lineRule="auto"/>
              <w:jc w:val="center"/>
              <w:rPr>
                <w:rFonts w:eastAsia="Times New Roman" w:cs="Arial"/>
                <w:sz w:val="18"/>
                <w:szCs w:val="18"/>
              </w:rPr>
            </w:pPr>
          </w:p>
        </w:tc>
        <w:tc>
          <w:tcPr>
            <w:tcW w:w="1247" w:type="dxa"/>
            <w:gridSpan w:val="3"/>
            <w:tcBorders>
              <w:left w:val="nil"/>
              <w:right w:val="nil"/>
            </w:tcBorders>
          </w:tcPr>
          <w:p w14:paraId="4AD04E0F" w14:textId="77777777" w:rsidR="006D2299" w:rsidRPr="00EA0DC7" w:rsidRDefault="006D2299" w:rsidP="006D2299">
            <w:pPr>
              <w:spacing w:line="240" w:lineRule="auto"/>
              <w:jc w:val="center"/>
              <w:rPr>
                <w:rFonts w:eastAsia="Times New Roman" w:cs="Arial"/>
                <w:sz w:val="18"/>
                <w:szCs w:val="18"/>
              </w:rPr>
            </w:pPr>
          </w:p>
        </w:tc>
        <w:tc>
          <w:tcPr>
            <w:tcW w:w="1305" w:type="dxa"/>
            <w:tcBorders>
              <w:left w:val="nil"/>
              <w:right w:val="nil"/>
            </w:tcBorders>
          </w:tcPr>
          <w:p w14:paraId="344F658C" w14:textId="77777777" w:rsidR="006D2299" w:rsidRPr="00EA0DC7" w:rsidRDefault="006D2299" w:rsidP="006D2299">
            <w:pPr>
              <w:spacing w:line="240" w:lineRule="auto"/>
              <w:jc w:val="center"/>
              <w:rPr>
                <w:rFonts w:eastAsia="Times New Roman" w:cs="Arial"/>
                <w:sz w:val="18"/>
                <w:szCs w:val="18"/>
              </w:rPr>
            </w:pPr>
          </w:p>
        </w:tc>
        <w:tc>
          <w:tcPr>
            <w:tcW w:w="1276" w:type="dxa"/>
            <w:gridSpan w:val="3"/>
            <w:tcBorders>
              <w:left w:val="nil"/>
              <w:right w:val="nil"/>
            </w:tcBorders>
          </w:tcPr>
          <w:p w14:paraId="64F78C5D"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07D0CA31"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tcPr>
          <w:p w14:paraId="6FE97DAF" w14:textId="77777777" w:rsidR="006D2299" w:rsidRPr="00EA0DC7" w:rsidRDefault="006D2299" w:rsidP="006D2299">
            <w:pPr>
              <w:spacing w:line="240" w:lineRule="auto"/>
              <w:jc w:val="center"/>
              <w:rPr>
                <w:rFonts w:eastAsia="Times New Roman" w:cs="Arial"/>
                <w:sz w:val="18"/>
                <w:szCs w:val="18"/>
              </w:rPr>
            </w:pPr>
          </w:p>
        </w:tc>
      </w:tr>
      <w:tr w:rsidR="006D2299" w:rsidRPr="00EA0DC7" w14:paraId="3207EE10" w14:textId="77777777" w:rsidTr="003A3D66">
        <w:trPr>
          <w:trHeight w:val="283"/>
          <w:tblHeader/>
        </w:trPr>
        <w:tc>
          <w:tcPr>
            <w:tcW w:w="1698" w:type="dxa"/>
            <w:tcBorders>
              <w:left w:val="nil"/>
              <w:right w:val="nil"/>
            </w:tcBorders>
            <w:shd w:val="clear" w:color="auto" w:fill="auto"/>
          </w:tcPr>
          <w:p w14:paraId="62FAAE72" w14:textId="206EE4D4"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Ward &amp; House (1998)</w:t>
            </w:r>
          </w:p>
        </w:tc>
        <w:tc>
          <w:tcPr>
            <w:tcW w:w="1134" w:type="dxa"/>
            <w:tcBorders>
              <w:left w:val="nil"/>
              <w:right w:val="nil"/>
            </w:tcBorders>
            <w:shd w:val="clear" w:color="auto" w:fill="auto"/>
            <w:noWrap/>
          </w:tcPr>
          <w:p w14:paraId="4603385C" w14:textId="594D6298"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tcPr>
          <w:p w14:paraId="0495FF50"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shd w:val="clear" w:color="auto" w:fill="auto"/>
            <w:noWrap/>
          </w:tcPr>
          <w:p w14:paraId="09704408" w14:textId="77777777" w:rsidR="006D2299" w:rsidRPr="00EA0DC7" w:rsidRDefault="006D2299" w:rsidP="006D2299">
            <w:pPr>
              <w:spacing w:line="240" w:lineRule="auto"/>
              <w:jc w:val="center"/>
              <w:rPr>
                <w:rFonts w:eastAsia="Times New Roman" w:cs="Arial"/>
                <w:sz w:val="18"/>
                <w:szCs w:val="18"/>
              </w:rPr>
            </w:pPr>
          </w:p>
        </w:tc>
        <w:tc>
          <w:tcPr>
            <w:tcW w:w="992" w:type="dxa"/>
            <w:gridSpan w:val="2"/>
            <w:tcBorders>
              <w:left w:val="nil"/>
              <w:right w:val="nil"/>
            </w:tcBorders>
          </w:tcPr>
          <w:p w14:paraId="32EEA194" w14:textId="08CC494C"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30" w:type="dxa"/>
            <w:tcBorders>
              <w:left w:val="nil"/>
              <w:right w:val="nil"/>
            </w:tcBorders>
          </w:tcPr>
          <w:p w14:paraId="07B966DD" w14:textId="77777777" w:rsidR="006D2299" w:rsidRPr="00EA0DC7" w:rsidRDefault="006D2299" w:rsidP="006D2299">
            <w:pPr>
              <w:spacing w:line="240" w:lineRule="auto"/>
              <w:jc w:val="center"/>
              <w:rPr>
                <w:rFonts w:eastAsia="Times New Roman" w:cs="Arial"/>
                <w:sz w:val="18"/>
                <w:szCs w:val="18"/>
              </w:rPr>
            </w:pPr>
          </w:p>
        </w:tc>
        <w:tc>
          <w:tcPr>
            <w:tcW w:w="1247" w:type="dxa"/>
            <w:gridSpan w:val="3"/>
            <w:tcBorders>
              <w:left w:val="nil"/>
              <w:right w:val="nil"/>
            </w:tcBorders>
          </w:tcPr>
          <w:p w14:paraId="6EABD352" w14:textId="2024A78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5" w:type="dxa"/>
            <w:tcBorders>
              <w:left w:val="nil"/>
              <w:right w:val="nil"/>
            </w:tcBorders>
          </w:tcPr>
          <w:p w14:paraId="50D6E2FB" w14:textId="77777777" w:rsidR="006D2299" w:rsidRPr="00EA0DC7" w:rsidRDefault="006D2299" w:rsidP="006D2299">
            <w:pPr>
              <w:spacing w:line="240" w:lineRule="auto"/>
              <w:jc w:val="center"/>
              <w:rPr>
                <w:rFonts w:eastAsia="Times New Roman" w:cs="Arial"/>
                <w:sz w:val="18"/>
                <w:szCs w:val="18"/>
              </w:rPr>
            </w:pPr>
          </w:p>
        </w:tc>
        <w:tc>
          <w:tcPr>
            <w:tcW w:w="1276" w:type="dxa"/>
            <w:gridSpan w:val="3"/>
            <w:tcBorders>
              <w:left w:val="nil"/>
              <w:right w:val="nil"/>
            </w:tcBorders>
          </w:tcPr>
          <w:p w14:paraId="5ECE8A21" w14:textId="393C95E1"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3495F0C0"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tcPr>
          <w:p w14:paraId="7741CAA4" w14:textId="77777777" w:rsidR="006D2299" w:rsidRPr="00EA0DC7" w:rsidRDefault="006D2299" w:rsidP="006D2299">
            <w:pPr>
              <w:spacing w:line="240" w:lineRule="auto"/>
              <w:jc w:val="center"/>
              <w:rPr>
                <w:rFonts w:eastAsia="Times New Roman" w:cs="Arial"/>
                <w:sz w:val="18"/>
                <w:szCs w:val="18"/>
              </w:rPr>
            </w:pPr>
          </w:p>
        </w:tc>
      </w:tr>
      <w:tr w:rsidR="006D2299" w:rsidRPr="00EA0DC7" w14:paraId="0B74713C" w14:textId="77777777" w:rsidTr="003A3D66">
        <w:trPr>
          <w:trHeight w:val="283"/>
          <w:tblHeader/>
        </w:trPr>
        <w:tc>
          <w:tcPr>
            <w:tcW w:w="1698" w:type="dxa"/>
            <w:tcBorders>
              <w:left w:val="nil"/>
              <w:right w:val="nil"/>
            </w:tcBorders>
            <w:shd w:val="clear" w:color="auto" w:fill="auto"/>
            <w:hideMark/>
          </w:tcPr>
          <w:p w14:paraId="05D2D255" w14:textId="77777777" w:rsidR="006D2299" w:rsidRPr="00EA0DC7" w:rsidRDefault="006D2299" w:rsidP="00071D9D">
            <w:pPr>
              <w:spacing w:line="240" w:lineRule="auto"/>
              <w:jc w:val="left"/>
              <w:rPr>
                <w:rFonts w:eastAsia="Times New Roman" w:cs="Arial"/>
                <w:sz w:val="18"/>
                <w:szCs w:val="18"/>
              </w:rPr>
            </w:pPr>
            <w:r w:rsidRPr="00EA0DC7">
              <w:rPr>
                <w:rFonts w:eastAsia="Times New Roman" w:cs="Arial"/>
                <w:sz w:val="18"/>
                <w:szCs w:val="18"/>
              </w:rPr>
              <w:t>Bob (1999)</w:t>
            </w:r>
          </w:p>
        </w:tc>
        <w:tc>
          <w:tcPr>
            <w:tcW w:w="1134" w:type="dxa"/>
            <w:tcBorders>
              <w:left w:val="nil"/>
              <w:right w:val="nil"/>
            </w:tcBorders>
            <w:shd w:val="clear" w:color="auto" w:fill="auto"/>
            <w:noWrap/>
            <w:hideMark/>
          </w:tcPr>
          <w:p w14:paraId="03DBBA0F" w14:textId="77777777" w:rsidR="006D2299" w:rsidRPr="00EA0DC7" w:rsidRDefault="006D2299"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hideMark/>
          </w:tcPr>
          <w:p w14:paraId="1F7D8740" w14:textId="77777777" w:rsidR="006D2299" w:rsidRPr="00EA0DC7" w:rsidRDefault="006D2299" w:rsidP="00071D9D">
            <w:pPr>
              <w:spacing w:line="240" w:lineRule="auto"/>
              <w:jc w:val="center"/>
              <w:rPr>
                <w:rFonts w:eastAsia="Times New Roman" w:cs="Arial"/>
                <w:sz w:val="18"/>
                <w:szCs w:val="18"/>
              </w:rPr>
            </w:pPr>
          </w:p>
        </w:tc>
        <w:tc>
          <w:tcPr>
            <w:tcW w:w="1277" w:type="dxa"/>
            <w:tcBorders>
              <w:left w:val="nil"/>
              <w:right w:val="nil"/>
            </w:tcBorders>
            <w:shd w:val="clear" w:color="auto" w:fill="auto"/>
            <w:noWrap/>
            <w:hideMark/>
          </w:tcPr>
          <w:p w14:paraId="2DBA65C3" w14:textId="77777777" w:rsidR="006D2299" w:rsidRPr="00EA0DC7" w:rsidRDefault="006D2299" w:rsidP="00071D9D">
            <w:pPr>
              <w:spacing w:line="240" w:lineRule="auto"/>
              <w:jc w:val="center"/>
              <w:rPr>
                <w:rFonts w:eastAsia="Times New Roman" w:cs="Arial"/>
                <w:sz w:val="18"/>
                <w:szCs w:val="18"/>
              </w:rPr>
            </w:pPr>
          </w:p>
        </w:tc>
        <w:tc>
          <w:tcPr>
            <w:tcW w:w="992" w:type="dxa"/>
            <w:gridSpan w:val="2"/>
            <w:tcBorders>
              <w:left w:val="nil"/>
              <w:right w:val="nil"/>
            </w:tcBorders>
          </w:tcPr>
          <w:p w14:paraId="62DEB691" w14:textId="77777777" w:rsidR="006D2299" w:rsidRPr="00EA0DC7" w:rsidRDefault="006D2299" w:rsidP="00071D9D">
            <w:pPr>
              <w:spacing w:line="240" w:lineRule="auto"/>
              <w:jc w:val="center"/>
              <w:rPr>
                <w:rFonts w:eastAsia="Times New Roman" w:cs="Arial"/>
                <w:sz w:val="18"/>
                <w:szCs w:val="18"/>
              </w:rPr>
            </w:pPr>
          </w:p>
        </w:tc>
        <w:tc>
          <w:tcPr>
            <w:tcW w:w="1417" w:type="dxa"/>
            <w:gridSpan w:val="3"/>
            <w:tcBorders>
              <w:left w:val="nil"/>
              <w:right w:val="nil"/>
            </w:tcBorders>
          </w:tcPr>
          <w:p w14:paraId="150EB285" w14:textId="77777777" w:rsidR="006D2299" w:rsidRPr="00EA0DC7" w:rsidRDefault="006D2299" w:rsidP="00071D9D">
            <w:pPr>
              <w:spacing w:line="240" w:lineRule="auto"/>
              <w:jc w:val="center"/>
              <w:rPr>
                <w:rFonts w:eastAsia="Times New Roman" w:cs="Arial"/>
                <w:sz w:val="18"/>
                <w:szCs w:val="18"/>
              </w:rPr>
            </w:pPr>
          </w:p>
        </w:tc>
        <w:tc>
          <w:tcPr>
            <w:tcW w:w="1134" w:type="dxa"/>
            <w:tcBorders>
              <w:left w:val="nil"/>
              <w:right w:val="nil"/>
            </w:tcBorders>
          </w:tcPr>
          <w:p w14:paraId="6FE3439F" w14:textId="77777777" w:rsidR="006D2299" w:rsidRPr="00EA0DC7" w:rsidRDefault="006D2299" w:rsidP="00071D9D">
            <w:pPr>
              <w:spacing w:line="240" w:lineRule="auto"/>
              <w:jc w:val="center"/>
              <w:rPr>
                <w:rFonts w:eastAsia="Times New Roman" w:cs="Arial"/>
                <w:sz w:val="18"/>
                <w:szCs w:val="18"/>
              </w:rPr>
            </w:pPr>
          </w:p>
        </w:tc>
        <w:tc>
          <w:tcPr>
            <w:tcW w:w="1417" w:type="dxa"/>
            <w:gridSpan w:val="3"/>
            <w:tcBorders>
              <w:left w:val="nil"/>
              <w:right w:val="nil"/>
            </w:tcBorders>
          </w:tcPr>
          <w:p w14:paraId="7CA62A83" w14:textId="77777777" w:rsidR="006D2299" w:rsidRPr="00EA0DC7" w:rsidRDefault="006D2299"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135" w:type="dxa"/>
            <w:tcBorders>
              <w:left w:val="nil"/>
              <w:right w:val="nil"/>
            </w:tcBorders>
          </w:tcPr>
          <w:p w14:paraId="0DB9D842" w14:textId="77777777" w:rsidR="006D2299" w:rsidRPr="00EA0DC7" w:rsidRDefault="006D2299" w:rsidP="00071D9D">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417" w:type="dxa"/>
            <w:gridSpan w:val="3"/>
            <w:tcBorders>
              <w:left w:val="nil"/>
              <w:right w:val="nil"/>
            </w:tcBorders>
          </w:tcPr>
          <w:p w14:paraId="2DAA0869" w14:textId="77777777" w:rsidR="006D2299" w:rsidRPr="00EA0DC7" w:rsidRDefault="006D2299" w:rsidP="00071D9D">
            <w:pPr>
              <w:spacing w:line="240" w:lineRule="auto"/>
              <w:jc w:val="center"/>
              <w:rPr>
                <w:rFonts w:eastAsia="Times New Roman" w:cs="Arial"/>
                <w:sz w:val="18"/>
                <w:szCs w:val="18"/>
              </w:rPr>
            </w:pPr>
          </w:p>
        </w:tc>
        <w:tc>
          <w:tcPr>
            <w:tcW w:w="1276" w:type="dxa"/>
            <w:tcBorders>
              <w:left w:val="nil"/>
              <w:right w:val="nil"/>
            </w:tcBorders>
          </w:tcPr>
          <w:p w14:paraId="6F1172F7" w14:textId="77777777" w:rsidR="006D2299" w:rsidRPr="00EA0DC7" w:rsidRDefault="006D2299" w:rsidP="00071D9D">
            <w:pPr>
              <w:spacing w:line="240" w:lineRule="auto"/>
              <w:jc w:val="center"/>
              <w:rPr>
                <w:rFonts w:eastAsia="Times New Roman" w:cs="Arial"/>
                <w:sz w:val="18"/>
                <w:szCs w:val="18"/>
              </w:rPr>
            </w:pPr>
          </w:p>
        </w:tc>
      </w:tr>
      <w:tr w:rsidR="006D2299" w:rsidRPr="00EA0DC7" w14:paraId="643887E5" w14:textId="77777777" w:rsidTr="003A3D66">
        <w:trPr>
          <w:trHeight w:val="283"/>
          <w:tblHeader/>
        </w:trPr>
        <w:tc>
          <w:tcPr>
            <w:tcW w:w="1698" w:type="dxa"/>
            <w:tcBorders>
              <w:left w:val="nil"/>
              <w:right w:val="nil"/>
            </w:tcBorders>
            <w:shd w:val="clear" w:color="auto" w:fill="auto"/>
          </w:tcPr>
          <w:p w14:paraId="0ABAFDE1" w14:textId="7907413C"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Nelson &amp; Johnson (1999)</w:t>
            </w:r>
          </w:p>
        </w:tc>
        <w:tc>
          <w:tcPr>
            <w:tcW w:w="1134" w:type="dxa"/>
            <w:tcBorders>
              <w:left w:val="nil"/>
              <w:right w:val="nil"/>
            </w:tcBorders>
            <w:shd w:val="clear" w:color="auto" w:fill="auto"/>
            <w:noWrap/>
          </w:tcPr>
          <w:p w14:paraId="42AA64B3" w14:textId="265E936F"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right w:val="nil"/>
            </w:tcBorders>
            <w:shd w:val="clear" w:color="auto" w:fill="auto"/>
            <w:noWrap/>
          </w:tcPr>
          <w:p w14:paraId="1DE5F734"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shd w:val="clear" w:color="auto" w:fill="auto"/>
            <w:noWrap/>
          </w:tcPr>
          <w:p w14:paraId="1A494702" w14:textId="77777777" w:rsidR="006D2299" w:rsidRPr="00EA0DC7" w:rsidRDefault="006D2299" w:rsidP="006D2299">
            <w:pPr>
              <w:spacing w:line="240" w:lineRule="auto"/>
              <w:jc w:val="center"/>
              <w:rPr>
                <w:rFonts w:eastAsia="Times New Roman" w:cs="Arial"/>
                <w:sz w:val="18"/>
                <w:szCs w:val="18"/>
              </w:rPr>
            </w:pPr>
          </w:p>
        </w:tc>
        <w:tc>
          <w:tcPr>
            <w:tcW w:w="992" w:type="dxa"/>
            <w:gridSpan w:val="2"/>
            <w:tcBorders>
              <w:left w:val="nil"/>
              <w:right w:val="nil"/>
            </w:tcBorders>
          </w:tcPr>
          <w:p w14:paraId="0835C549" w14:textId="154ACDE3"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30" w:type="dxa"/>
            <w:tcBorders>
              <w:left w:val="nil"/>
              <w:right w:val="nil"/>
            </w:tcBorders>
          </w:tcPr>
          <w:p w14:paraId="11DE45C8" w14:textId="77777777" w:rsidR="006D2299" w:rsidRPr="00EA0DC7" w:rsidRDefault="006D2299" w:rsidP="006D2299">
            <w:pPr>
              <w:spacing w:line="240" w:lineRule="auto"/>
              <w:jc w:val="center"/>
              <w:rPr>
                <w:rFonts w:eastAsia="Times New Roman" w:cs="Arial"/>
                <w:sz w:val="18"/>
                <w:szCs w:val="18"/>
              </w:rPr>
            </w:pPr>
          </w:p>
        </w:tc>
        <w:tc>
          <w:tcPr>
            <w:tcW w:w="1247" w:type="dxa"/>
            <w:gridSpan w:val="3"/>
            <w:tcBorders>
              <w:left w:val="nil"/>
              <w:right w:val="nil"/>
            </w:tcBorders>
          </w:tcPr>
          <w:p w14:paraId="1727CF58" w14:textId="77777777" w:rsidR="006D2299" w:rsidRPr="00EA0DC7" w:rsidRDefault="006D2299" w:rsidP="006D2299">
            <w:pPr>
              <w:spacing w:line="240" w:lineRule="auto"/>
              <w:jc w:val="center"/>
              <w:rPr>
                <w:rFonts w:eastAsia="Times New Roman" w:cs="Arial"/>
                <w:sz w:val="18"/>
                <w:szCs w:val="18"/>
              </w:rPr>
            </w:pPr>
          </w:p>
        </w:tc>
        <w:tc>
          <w:tcPr>
            <w:tcW w:w="1305" w:type="dxa"/>
            <w:tcBorders>
              <w:left w:val="nil"/>
              <w:right w:val="nil"/>
            </w:tcBorders>
          </w:tcPr>
          <w:p w14:paraId="6D4A1398" w14:textId="77777777" w:rsidR="006D2299" w:rsidRPr="00EA0DC7" w:rsidRDefault="006D2299" w:rsidP="006D2299">
            <w:pPr>
              <w:spacing w:line="240" w:lineRule="auto"/>
              <w:jc w:val="center"/>
              <w:rPr>
                <w:rFonts w:eastAsia="Times New Roman" w:cs="Arial"/>
                <w:sz w:val="18"/>
                <w:szCs w:val="18"/>
              </w:rPr>
            </w:pPr>
          </w:p>
        </w:tc>
        <w:tc>
          <w:tcPr>
            <w:tcW w:w="1276" w:type="dxa"/>
            <w:gridSpan w:val="3"/>
            <w:tcBorders>
              <w:left w:val="nil"/>
              <w:right w:val="nil"/>
            </w:tcBorders>
          </w:tcPr>
          <w:p w14:paraId="4DDEAA00"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722C9E89"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tcPr>
          <w:p w14:paraId="34CAD41F" w14:textId="77777777" w:rsidR="006D2299" w:rsidRPr="00EA0DC7" w:rsidRDefault="006D2299" w:rsidP="006D2299">
            <w:pPr>
              <w:spacing w:line="240" w:lineRule="auto"/>
              <w:jc w:val="center"/>
              <w:rPr>
                <w:rFonts w:eastAsia="Times New Roman" w:cs="Arial"/>
                <w:sz w:val="18"/>
                <w:szCs w:val="18"/>
              </w:rPr>
            </w:pPr>
          </w:p>
        </w:tc>
      </w:tr>
      <w:tr w:rsidR="006D2299" w:rsidRPr="00EA0DC7" w14:paraId="33F42F8D" w14:textId="77777777" w:rsidTr="003A3D66">
        <w:trPr>
          <w:trHeight w:val="283"/>
          <w:tblHeader/>
        </w:trPr>
        <w:tc>
          <w:tcPr>
            <w:tcW w:w="1698" w:type="dxa"/>
            <w:tcBorders>
              <w:left w:val="nil"/>
              <w:right w:val="nil"/>
            </w:tcBorders>
            <w:shd w:val="clear" w:color="auto" w:fill="auto"/>
          </w:tcPr>
          <w:p w14:paraId="58A38295" w14:textId="66DFE856"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Edwards &amp; Chen (1999)</w:t>
            </w:r>
          </w:p>
        </w:tc>
        <w:tc>
          <w:tcPr>
            <w:tcW w:w="1134" w:type="dxa"/>
            <w:tcBorders>
              <w:left w:val="nil"/>
              <w:right w:val="nil"/>
            </w:tcBorders>
            <w:shd w:val="clear" w:color="auto" w:fill="auto"/>
            <w:noWrap/>
          </w:tcPr>
          <w:p w14:paraId="13D5765B" w14:textId="77777777" w:rsidR="006D2299" w:rsidRPr="00EA0DC7" w:rsidRDefault="006D2299" w:rsidP="006D2299">
            <w:pPr>
              <w:spacing w:line="240" w:lineRule="auto"/>
              <w:jc w:val="center"/>
              <w:rPr>
                <w:rFonts w:eastAsia="Times New Roman" w:cs="Arial"/>
                <w:sz w:val="18"/>
                <w:szCs w:val="18"/>
              </w:rPr>
            </w:pPr>
          </w:p>
        </w:tc>
        <w:tc>
          <w:tcPr>
            <w:tcW w:w="994" w:type="dxa"/>
            <w:tcBorders>
              <w:left w:val="nil"/>
              <w:right w:val="nil"/>
            </w:tcBorders>
            <w:shd w:val="clear" w:color="auto" w:fill="auto"/>
            <w:noWrap/>
          </w:tcPr>
          <w:p w14:paraId="7F2A4DEE"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shd w:val="clear" w:color="auto" w:fill="auto"/>
            <w:noWrap/>
          </w:tcPr>
          <w:p w14:paraId="14FCB19A" w14:textId="77777777" w:rsidR="006D2299" w:rsidRPr="00EA0DC7" w:rsidRDefault="006D2299" w:rsidP="006D2299">
            <w:pPr>
              <w:spacing w:line="240" w:lineRule="auto"/>
              <w:jc w:val="center"/>
              <w:rPr>
                <w:rFonts w:eastAsia="Times New Roman" w:cs="Arial"/>
                <w:sz w:val="18"/>
                <w:szCs w:val="18"/>
              </w:rPr>
            </w:pPr>
          </w:p>
        </w:tc>
        <w:tc>
          <w:tcPr>
            <w:tcW w:w="992" w:type="dxa"/>
            <w:gridSpan w:val="2"/>
            <w:tcBorders>
              <w:left w:val="nil"/>
              <w:right w:val="nil"/>
            </w:tcBorders>
          </w:tcPr>
          <w:p w14:paraId="3D362A73" w14:textId="77777777" w:rsidR="006D2299" w:rsidRPr="00EA0DC7" w:rsidRDefault="006D2299" w:rsidP="006D2299">
            <w:pPr>
              <w:spacing w:line="240" w:lineRule="auto"/>
              <w:jc w:val="center"/>
              <w:rPr>
                <w:rFonts w:eastAsia="Times New Roman" w:cs="Arial"/>
                <w:sz w:val="18"/>
                <w:szCs w:val="18"/>
              </w:rPr>
            </w:pPr>
          </w:p>
        </w:tc>
        <w:tc>
          <w:tcPr>
            <w:tcW w:w="1330" w:type="dxa"/>
            <w:tcBorders>
              <w:left w:val="nil"/>
              <w:right w:val="nil"/>
            </w:tcBorders>
          </w:tcPr>
          <w:p w14:paraId="62075EE2" w14:textId="77777777" w:rsidR="006D2299" w:rsidRPr="00EA0DC7" w:rsidRDefault="006D2299" w:rsidP="006D2299">
            <w:pPr>
              <w:spacing w:line="240" w:lineRule="auto"/>
              <w:jc w:val="center"/>
              <w:rPr>
                <w:rFonts w:eastAsia="Times New Roman" w:cs="Arial"/>
                <w:sz w:val="18"/>
                <w:szCs w:val="18"/>
              </w:rPr>
            </w:pPr>
          </w:p>
        </w:tc>
        <w:tc>
          <w:tcPr>
            <w:tcW w:w="1247" w:type="dxa"/>
            <w:gridSpan w:val="3"/>
            <w:tcBorders>
              <w:left w:val="nil"/>
              <w:right w:val="nil"/>
            </w:tcBorders>
          </w:tcPr>
          <w:p w14:paraId="4FCFED86" w14:textId="77777777" w:rsidR="006D2299" w:rsidRPr="00EA0DC7" w:rsidRDefault="006D2299" w:rsidP="006D2299">
            <w:pPr>
              <w:spacing w:line="240" w:lineRule="auto"/>
              <w:jc w:val="center"/>
              <w:rPr>
                <w:rFonts w:eastAsia="Times New Roman" w:cs="Arial"/>
                <w:sz w:val="18"/>
                <w:szCs w:val="18"/>
              </w:rPr>
            </w:pPr>
          </w:p>
        </w:tc>
        <w:tc>
          <w:tcPr>
            <w:tcW w:w="1305" w:type="dxa"/>
            <w:tcBorders>
              <w:left w:val="nil"/>
              <w:right w:val="nil"/>
            </w:tcBorders>
          </w:tcPr>
          <w:p w14:paraId="76D81D52" w14:textId="77777777" w:rsidR="006D2299" w:rsidRPr="00EA0DC7" w:rsidRDefault="006D2299" w:rsidP="006D2299">
            <w:pPr>
              <w:spacing w:line="240" w:lineRule="auto"/>
              <w:jc w:val="center"/>
              <w:rPr>
                <w:rFonts w:eastAsia="Times New Roman" w:cs="Arial"/>
                <w:sz w:val="18"/>
                <w:szCs w:val="18"/>
              </w:rPr>
            </w:pPr>
          </w:p>
        </w:tc>
        <w:tc>
          <w:tcPr>
            <w:tcW w:w="1276" w:type="dxa"/>
            <w:gridSpan w:val="3"/>
            <w:tcBorders>
              <w:left w:val="nil"/>
              <w:right w:val="nil"/>
            </w:tcBorders>
          </w:tcPr>
          <w:p w14:paraId="5BE9C55A"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3245038F" w14:textId="77777777" w:rsidR="006D2299" w:rsidRPr="00EA0DC7" w:rsidRDefault="006D2299" w:rsidP="006D2299">
            <w:pPr>
              <w:spacing w:line="240" w:lineRule="auto"/>
              <w:jc w:val="center"/>
              <w:rPr>
                <w:rFonts w:eastAsia="Times New Roman" w:cs="Arial"/>
                <w:sz w:val="18"/>
                <w:szCs w:val="18"/>
              </w:rPr>
            </w:pPr>
          </w:p>
        </w:tc>
        <w:tc>
          <w:tcPr>
            <w:tcW w:w="1304" w:type="dxa"/>
            <w:gridSpan w:val="2"/>
            <w:tcBorders>
              <w:left w:val="nil"/>
              <w:right w:val="nil"/>
            </w:tcBorders>
          </w:tcPr>
          <w:p w14:paraId="1CA65413" w14:textId="77777777" w:rsidR="006D2299" w:rsidRPr="00EA0DC7" w:rsidRDefault="006D2299" w:rsidP="006D2299">
            <w:pPr>
              <w:spacing w:line="240" w:lineRule="auto"/>
              <w:jc w:val="center"/>
              <w:rPr>
                <w:rFonts w:eastAsia="Times New Roman" w:cs="Arial"/>
                <w:sz w:val="18"/>
                <w:szCs w:val="18"/>
              </w:rPr>
            </w:pPr>
          </w:p>
        </w:tc>
      </w:tr>
      <w:tr w:rsidR="006D2299" w:rsidRPr="00EA0DC7" w14:paraId="27AB4D1C" w14:textId="77777777" w:rsidTr="003A3D66">
        <w:trPr>
          <w:trHeight w:val="283"/>
          <w:tblHeader/>
        </w:trPr>
        <w:tc>
          <w:tcPr>
            <w:tcW w:w="1698" w:type="dxa"/>
            <w:tcBorders>
              <w:left w:val="nil"/>
              <w:right w:val="nil"/>
            </w:tcBorders>
            <w:shd w:val="clear" w:color="auto" w:fill="auto"/>
            <w:hideMark/>
          </w:tcPr>
          <w:p w14:paraId="53E43D29" w14:textId="77777777" w:rsidR="006D2299" w:rsidRPr="00EA0DC7" w:rsidRDefault="006D2299" w:rsidP="00071D9D">
            <w:pPr>
              <w:spacing w:line="240" w:lineRule="auto"/>
              <w:jc w:val="left"/>
              <w:rPr>
                <w:rFonts w:eastAsia="Times New Roman" w:cs="Arial"/>
                <w:sz w:val="18"/>
                <w:szCs w:val="18"/>
              </w:rPr>
            </w:pPr>
            <w:r w:rsidRPr="00EA0DC7">
              <w:rPr>
                <w:rFonts w:eastAsia="Times New Roman" w:cs="Arial"/>
                <w:sz w:val="18"/>
                <w:szCs w:val="18"/>
              </w:rPr>
              <w:t>Granello (2000)</w:t>
            </w:r>
          </w:p>
        </w:tc>
        <w:tc>
          <w:tcPr>
            <w:tcW w:w="1134" w:type="dxa"/>
            <w:tcBorders>
              <w:left w:val="nil"/>
              <w:right w:val="nil"/>
            </w:tcBorders>
            <w:shd w:val="clear" w:color="auto" w:fill="auto"/>
            <w:noWrap/>
            <w:hideMark/>
          </w:tcPr>
          <w:p w14:paraId="760B39F0" w14:textId="77777777" w:rsidR="006D2299" w:rsidRPr="00EA0DC7" w:rsidRDefault="006D2299" w:rsidP="00071D9D">
            <w:pPr>
              <w:spacing w:line="240" w:lineRule="auto"/>
              <w:jc w:val="center"/>
              <w:rPr>
                <w:rFonts w:eastAsia="Times New Roman" w:cs="Arial"/>
                <w:sz w:val="18"/>
                <w:szCs w:val="18"/>
              </w:rPr>
            </w:pPr>
          </w:p>
        </w:tc>
        <w:tc>
          <w:tcPr>
            <w:tcW w:w="994" w:type="dxa"/>
            <w:tcBorders>
              <w:left w:val="nil"/>
              <w:right w:val="nil"/>
            </w:tcBorders>
            <w:shd w:val="clear" w:color="auto" w:fill="auto"/>
            <w:noWrap/>
            <w:hideMark/>
          </w:tcPr>
          <w:p w14:paraId="27BAA98B" w14:textId="77777777" w:rsidR="006D2299" w:rsidRPr="00EA0DC7" w:rsidRDefault="006D2299" w:rsidP="00071D9D">
            <w:pPr>
              <w:spacing w:line="240" w:lineRule="auto"/>
              <w:jc w:val="center"/>
              <w:rPr>
                <w:rFonts w:eastAsia="Times New Roman" w:cs="Arial"/>
                <w:sz w:val="18"/>
                <w:szCs w:val="18"/>
              </w:rPr>
            </w:pPr>
          </w:p>
        </w:tc>
        <w:tc>
          <w:tcPr>
            <w:tcW w:w="1277" w:type="dxa"/>
            <w:tcBorders>
              <w:left w:val="nil"/>
              <w:right w:val="nil"/>
            </w:tcBorders>
            <w:shd w:val="clear" w:color="auto" w:fill="auto"/>
            <w:noWrap/>
            <w:hideMark/>
          </w:tcPr>
          <w:p w14:paraId="3F070EFD" w14:textId="77777777" w:rsidR="006D2299" w:rsidRPr="00EA0DC7" w:rsidRDefault="006D2299" w:rsidP="00071D9D">
            <w:pPr>
              <w:spacing w:line="240" w:lineRule="auto"/>
              <w:jc w:val="center"/>
              <w:rPr>
                <w:rFonts w:eastAsia="Times New Roman" w:cs="Arial"/>
                <w:sz w:val="18"/>
                <w:szCs w:val="18"/>
              </w:rPr>
            </w:pPr>
          </w:p>
        </w:tc>
        <w:tc>
          <w:tcPr>
            <w:tcW w:w="992" w:type="dxa"/>
            <w:gridSpan w:val="2"/>
            <w:tcBorders>
              <w:left w:val="nil"/>
              <w:right w:val="nil"/>
            </w:tcBorders>
          </w:tcPr>
          <w:p w14:paraId="0CD6E36B" w14:textId="77777777" w:rsidR="006D2299" w:rsidRPr="00EA0DC7" w:rsidRDefault="006D2299" w:rsidP="00071D9D">
            <w:pPr>
              <w:spacing w:line="240" w:lineRule="auto"/>
              <w:jc w:val="center"/>
              <w:rPr>
                <w:rFonts w:eastAsia="Times New Roman" w:cs="Arial"/>
                <w:sz w:val="18"/>
                <w:szCs w:val="18"/>
              </w:rPr>
            </w:pPr>
          </w:p>
        </w:tc>
        <w:tc>
          <w:tcPr>
            <w:tcW w:w="1417" w:type="dxa"/>
            <w:gridSpan w:val="3"/>
            <w:tcBorders>
              <w:left w:val="nil"/>
              <w:right w:val="nil"/>
            </w:tcBorders>
          </w:tcPr>
          <w:p w14:paraId="2ADF3BBE" w14:textId="77777777" w:rsidR="006D2299" w:rsidRPr="00EA0DC7" w:rsidRDefault="006D2299" w:rsidP="00071D9D">
            <w:pPr>
              <w:spacing w:line="240" w:lineRule="auto"/>
              <w:jc w:val="center"/>
              <w:rPr>
                <w:rFonts w:eastAsia="Times New Roman" w:cs="Arial"/>
                <w:sz w:val="18"/>
                <w:szCs w:val="18"/>
              </w:rPr>
            </w:pPr>
          </w:p>
        </w:tc>
        <w:tc>
          <w:tcPr>
            <w:tcW w:w="1134" w:type="dxa"/>
            <w:tcBorders>
              <w:left w:val="nil"/>
              <w:right w:val="nil"/>
            </w:tcBorders>
          </w:tcPr>
          <w:p w14:paraId="5103A085" w14:textId="77777777" w:rsidR="006D2299" w:rsidRPr="00EA0DC7" w:rsidRDefault="006D2299" w:rsidP="00071D9D">
            <w:pPr>
              <w:spacing w:line="240" w:lineRule="auto"/>
              <w:jc w:val="center"/>
              <w:rPr>
                <w:rFonts w:eastAsia="Times New Roman" w:cs="Arial"/>
                <w:sz w:val="18"/>
                <w:szCs w:val="18"/>
              </w:rPr>
            </w:pPr>
          </w:p>
        </w:tc>
        <w:tc>
          <w:tcPr>
            <w:tcW w:w="1417" w:type="dxa"/>
            <w:gridSpan w:val="3"/>
            <w:tcBorders>
              <w:left w:val="nil"/>
              <w:right w:val="nil"/>
            </w:tcBorders>
          </w:tcPr>
          <w:p w14:paraId="1331E683" w14:textId="77777777" w:rsidR="006D2299" w:rsidRPr="00EA0DC7" w:rsidRDefault="006D2299" w:rsidP="00071D9D">
            <w:pPr>
              <w:spacing w:line="240" w:lineRule="auto"/>
              <w:jc w:val="center"/>
              <w:rPr>
                <w:rFonts w:eastAsia="Times New Roman" w:cs="Arial"/>
                <w:sz w:val="18"/>
                <w:szCs w:val="18"/>
              </w:rPr>
            </w:pPr>
          </w:p>
        </w:tc>
        <w:tc>
          <w:tcPr>
            <w:tcW w:w="1135" w:type="dxa"/>
            <w:tcBorders>
              <w:left w:val="nil"/>
              <w:right w:val="nil"/>
            </w:tcBorders>
          </w:tcPr>
          <w:p w14:paraId="7C64DB0B" w14:textId="77777777" w:rsidR="006D2299" w:rsidRPr="00EA0DC7" w:rsidRDefault="006D2299" w:rsidP="00071D9D">
            <w:pPr>
              <w:spacing w:line="240" w:lineRule="auto"/>
              <w:jc w:val="center"/>
              <w:rPr>
                <w:rFonts w:eastAsia="Times New Roman" w:cs="Arial"/>
                <w:sz w:val="18"/>
                <w:szCs w:val="18"/>
              </w:rPr>
            </w:pPr>
          </w:p>
        </w:tc>
        <w:tc>
          <w:tcPr>
            <w:tcW w:w="1417" w:type="dxa"/>
            <w:gridSpan w:val="3"/>
            <w:tcBorders>
              <w:left w:val="nil"/>
              <w:right w:val="nil"/>
            </w:tcBorders>
          </w:tcPr>
          <w:p w14:paraId="443442B0" w14:textId="77777777" w:rsidR="006D2299" w:rsidRPr="00EA0DC7" w:rsidRDefault="006D2299" w:rsidP="00071D9D">
            <w:pPr>
              <w:spacing w:line="240" w:lineRule="auto"/>
              <w:jc w:val="center"/>
              <w:rPr>
                <w:rFonts w:eastAsia="Times New Roman" w:cs="Arial"/>
                <w:sz w:val="18"/>
                <w:szCs w:val="18"/>
              </w:rPr>
            </w:pPr>
          </w:p>
        </w:tc>
        <w:tc>
          <w:tcPr>
            <w:tcW w:w="1276" w:type="dxa"/>
            <w:tcBorders>
              <w:left w:val="nil"/>
              <w:right w:val="nil"/>
            </w:tcBorders>
          </w:tcPr>
          <w:p w14:paraId="23EF1FFF" w14:textId="77777777" w:rsidR="006D2299" w:rsidRPr="00EA0DC7" w:rsidRDefault="006D2299" w:rsidP="00071D9D">
            <w:pPr>
              <w:spacing w:line="240" w:lineRule="auto"/>
              <w:jc w:val="center"/>
              <w:rPr>
                <w:rFonts w:eastAsia="Times New Roman" w:cs="Arial"/>
                <w:sz w:val="18"/>
                <w:szCs w:val="18"/>
              </w:rPr>
            </w:pPr>
          </w:p>
        </w:tc>
      </w:tr>
      <w:tr w:rsidR="006D2299" w:rsidRPr="00EA0DC7" w14:paraId="2CEB8D50" w14:textId="77777777" w:rsidTr="003A3D66">
        <w:trPr>
          <w:trHeight w:val="283"/>
          <w:tblHeader/>
        </w:trPr>
        <w:tc>
          <w:tcPr>
            <w:tcW w:w="1698" w:type="dxa"/>
            <w:tcBorders>
              <w:left w:val="nil"/>
              <w:bottom w:val="single" w:sz="4" w:space="0" w:color="auto"/>
              <w:right w:val="nil"/>
            </w:tcBorders>
            <w:shd w:val="clear" w:color="auto" w:fill="auto"/>
          </w:tcPr>
          <w:p w14:paraId="0DA7AC43" w14:textId="6CE53B5B"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Gilbert &amp; Evans (2000)</w:t>
            </w:r>
          </w:p>
        </w:tc>
        <w:tc>
          <w:tcPr>
            <w:tcW w:w="1134" w:type="dxa"/>
            <w:tcBorders>
              <w:left w:val="nil"/>
              <w:bottom w:val="single" w:sz="4" w:space="0" w:color="auto"/>
              <w:right w:val="nil"/>
            </w:tcBorders>
            <w:shd w:val="clear" w:color="auto" w:fill="auto"/>
            <w:noWrap/>
          </w:tcPr>
          <w:p w14:paraId="748847E6" w14:textId="3123157C"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4" w:type="dxa"/>
            <w:tcBorders>
              <w:left w:val="nil"/>
              <w:bottom w:val="single" w:sz="4" w:space="0" w:color="auto"/>
              <w:right w:val="nil"/>
            </w:tcBorders>
            <w:shd w:val="clear" w:color="auto" w:fill="auto"/>
            <w:noWrap/>
          </w:tcPr>
          <w:p w14:paraId="2B3B4049" w14:textId="29FC009A"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bottom w:val="single" w:sz="4" w:space="0" w:color="auto"/>
              <w:right w:val="nil"/>
            </w:tcBorders>
            <w:shd w:val="clear" w:color="auto" w:fill="auto"/>
            <w:noWrap/>
          </w:tcPr>
          <w:p w14:paraId="1B1E0292" w14:textId="43AFE385"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gridSpan w:val="2"/>
            <w:tcBorders>
              <w:left w:val="nil"/>
              <w:bottom w:val="single" w:sz="4" w:space="0" w:color="auto"/>
              <w:right w:val="nil"/>
            </w:tcBorders>
          </w:tcPr>
          <w:p w14:paraId="69554A8B" w14:textId="4DB83B69"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30" w:type="dxa"/>
            <w:tcBorders>
              <w:left w:val="nil"/>
              <w:bottom w:val="single" w:sz="4" w:space="0" w:color="auto"/>
              <w:right w:val="nil"/>
            </w:tcBorders>
          </w:tcPr>
          <w:p w14:paraId="0819967C" w14:textId="77777777" w:rsidR="006D2299" w:rsidRPr="00EA0DC7" w:rsidRDefault="006D2299" w:rsidP="006D2299">
            <w:pPr>
              <w:spacing w:line="240" w:lineRule="auto"/>
              <w:jc w:val="center"/>
              <w:rPr>
                <w:rFonts w:eastAsia="Times New Roman" w:cs="Arial"/>
                <w:sz w:val="18"/>
                <w:szCs w:val="18"/>
              </w:rPr>
            </w:pPr>
          </w:p>
        </w:tc>
        <w:tc>
          <w:tcPr>
            <w:tcW w:w="1247" w:type="dxa"/>
            <w:gridSpan w:val="3"/>
            <w:tcBorders>
              <w:left w:val="nil"/>
              <w:bottom w:val="single" w:sz="4" w:space="0" w:color="auto"/>
              <w:right w:val="nil"/>
            </w:tcBorders>
          </w:tcPr>
          <w:p w14:paraId="58AEBA4F" w14:textId="77777777" w:rsidR="006D2299" w:rsidRPr="00EA0DC7" w:rsidRDefault="006D2299" w:rsidP="006D2299">
            <w:pPr>
              <w:spacing w:line="240" w:lineRule="auto"/>
              <w:jc w:val="center"/>
              <w:rPr>
                <w:rFonts w:eastAsia="Times New Roman" w:cs="Arial"/>
                <w:sz w:val="18"/>
                <w:szCs w:val="18"/>
              </w:rPr>
            </w:pPr>
          </w:p>
        </w:tc>
        <w:tc>
          <w:tcPr>
            <w:tcW w:w="1305" w:type="dxa"/>
            <w:tcBorders>
              <w:left w:val="nil"/>
              <w:bottom w:val="single" w:sz="4" w:space="0" w:color="auto"/>
              <w:right w:val="nil"/>
            </w:tcBorders>
          </w:tcPr>
          <w:p w14:paraId="422E496F" w14:textId="2FCBF9AC"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gridSpan w:val="3"/>
            <w:tcBorders>
              <w:left w:val="nil"/>
              <w:bottom w:val="single" w:sz="4" w:space="0" w:color="auto"/>
              <w:right w:val="nil"/>
            </w:tcBorders>
          </w:tcPr>
          <w:p w14:paraId="04C3EDE9" w14:textId="3F35FCBF"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bottom w:val="single" w:sz="4" w:space="0" w:color="auto"/>
              <w:right w:val="nil"/>
            </w:tcBorders>
          </w:tcPr>
          <w:p w14:paraId="6B8ABB2A" w14:textId="152E0D3F"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gridSpan w:val="2"/>
            <w:tcBorders>
              <w:left w:val="nil"/>
              <w:bottom w:val="single" w:sz="4" w:space="0" w:color="auto"/>
              <w:right w:val="nil"/>
            </w:tcBorders>
          </w:tcPr>
          <w:p w14:paraId="443B2AF3" w14:textId="77777777" w:rsidR="006D2299" w:rsidRPr="00EA0DC7" w:rsidRDefault="006D2299" w:rsidP="006D2299">
            <w:pPr>
              <w:spacing w:line="240" w:lineRule="auto"/>
              <w:jc w:val="center"/>
              <w:rPr>
                <w:rFonts w:eastAsia="Times New Roman" w:cs="Arial"/>
                <w:sz w:val="18"/>
                <w:szCs w:val="18"/>
              </w:rPr>
            </w:pPr>
          </w:p>
        </w:tc>
      </w:tr>
    </w:tbl>
    <w:p w14:paraId="4F90F301" w14:textId="77777777" w:rsidR="001E551A" w:rsidRPr="00EA0DC7" w:rsidRDefault="001E551A" w:rsidP="00B23505">
      <w:pPr>
        <w:spacing w:line="240" w:lineRule="auto"/>
        <w:jc w:val="left"/>
        <w:rPr>
          <w:rFonts w:eastAsia="Times New Roman" w:cs="Arial"/>
          <w:sz w:val="20"/>
          <w:szCs w:val="20"/>
        </w:rPr>
        <w:sectPr w:rsidR="001E551A" w:rsidRPr="00EA0DC7" w:rsidSect="001E551A">
          <w:type w:val="nextColumn"/>
          <w:pgSz w:w="16838" w:h="11906" w:orient="landscape"/>
          <w:pgMar w:top="2268" w:right="1440" w:bottom="1440" w:left="1440" w:header="709" w:footer="709" w:gutter="0"/>
          <w:cols w:space="708"/>
          <w:docGrid w:linePitch="360"/>
        </w:sectPr>
      </w:pPr>
    </w:p>
    <w:tbl>
      <w:tblPr>
        <w:tblW w:w="13862" w:type="dxa"/>
        <w:tblLayout w:type="fixed"/>
        <w:tblLook w:val="04A0" w:firstRow="1" w:lastRow="0" w:firstColumn="1" w:lastColumn="0" w:noHBand="0" w:noVBand="1"/>
      </w:tblPr>
      <w:tblGrid>
        <w:gridCol w:w="1701"/>
        <w:gridCol w:w="1134"/>
        <w:gridCol w:w="992"/>
        <w:gridCol w:w="1304"/>
        <w:gridCol w:w="992"/>
        <w:gridCol w:w="1304"/>
        <w:gridCol w:w="1247"/>
        <w:gridCol w:w="1304"/>
        <w:gridCol w:w="1276"/>
        <w:gridCol w:w="1304"/>
        <w:gridCol w:w="1304"/>
      </w:tblGrid>
      <w:tr w:rsidR="00CC3FB0" w:rsidRPr="00EA0DC7" w14:paraId="19EE2C48" w14:textId="77777777" w:rsidTr="003A3D66">
        <w:trPr>
          <w:trHeight w:val="1408"/>
          <w:tblHeader/>
        </w:trPr>
        <w:tc>
          <w:tcPr>
            <w:tcW w:w="1701" w:type="dxa"/>
            <w:tcBorders>
              <w:top w:val="single" w:sz="4" w:space="0" w:color="auto"/>
              <w:left w:val="nil"/>
              <w:bottom w:val="single" w:sz="4" w:space="0" w:color="auto"/>
              <w:right w:val="nil"/>
            </w:tcBorders>
            <w:shd w:val="clear" w:color="auto" w:fill="auto"/>
            <w:noWrap/>
            <w:vAlign w:val="center"/>
            <w:hideMark/>
          </w:tcPr>
          <w:p w14:paraId="17A01314" w14:textId="77777777" w:rsidR="00CC3FB0" w:rsidRPr="00EA0DC7" w:rsidRDefault="00CC3FB0" w:rsidP="005016CB">
            <w:pPr>
              <w:spacing w:before="240" w:after="0" w:line="240" w:lineRule="auto"/>
              <w:jc w:val="center"/>
              <w:rPr>
                <w:rFonts w:eastAsia="Times New Roman" w:cs="Arial"/>
                <w:b/>
                <w:bCs/>
                <w:sz w:val="18"/>
                <w:szCs w:val="18"/>
              </w:rPr>
            </w:pPr>
            <w:r w:rsidRPr="00EA0DC7">
              <w:rPr>
                <w:rFonts w:eastAsia="Times New Roman" w:cs="Arial"/>
                <w:b/>
                <w:bCs/>
                <w:sz w:val="18"/>
                <w:szCs w:val="18"/>
              </w:rPr>
              <w:lastRenderedPageBreak/>
              <w:t>Model/</w:t>
            </w:r>
          </w:p>
          <w:p w14:paraId="7308AD38" w14:textId="77777777" w:rsidR="00CC3FB0" w:rsidRPr="00EA0DC7" w:rsidRDefault="00CC3FB0" w:rsidP="005016CB">
            <w:pPr>
              <w:spacing w:after="0" w:line="240" w:lineRule="auto"/>
              <w:jc w:val="center"/>
              <w:rPr>
                <w:rFonts w:eastAsia="Times New Roman" w:cs="Arial"/>
                <w:b/>
                <w:bCs/>
                <w:sz w:val="18"/>
                <w:szCs w:val="18"/>
              </w:rPr>
            </w:pPr>
            <w:r w:rsidRPr="00EA0DC7">
              <w:rPr>
                <w:rFonts w:eastAsia="Times New Roman" w:cs="Arial"/>
                <w:b/>
                <w:bCs/>
                <w:sz w:val="18"/>
                <w:szCs w:val="18"/>
              </w:rPr>
              <w:t>approach</w:t>
            </w:r>
          </w:p>
        </w:tc>
        <w:tc>
          <w:tcPr>
            <w:tcW w:w="1134" w:type="dxa"/>
            <w:tcBorders>
              <w:top w:val="single" w:sz="4" w:space="0" w:color="auto"/>
              <w:left w:val="nil"/>
              <w:bottom w:val="single" w:sz="4" w:space="0" w:color="auto"/>
              <w:right w:val="nil"/>
            </w:tcBorders>
            <w:shd w:val="clear" w:color="auto" w:fill="auto"/>
            <w:vAlign w:val="center"/>
            <w:hideMark/>
          </w:tcPr>
          <w:p w14:paraId="2EEA3E12" w14:textId="5E439774" w:rsidR="00CC3FB0" w:rsidRPr="00EA0DC7" w:rsidRDefault="001455BC" w:rsidP="005016CB">
            <w:pPr>
              <w:spacing w:line="240" w:lineRule="auto"/>
              <w:jc w:val="center"/>
              <w:rPr>
                <w:rFonts w:eastAsia="Times New Roman" w:cs="Arial"/>
                <w:b/>
                <w:bCs/>
                <w:sz w:val="18"/>
                <w:szCs w:val="18"/>
              </w:rPr>
            </w:pPr>
            <w:r w:rsidRPr="00EA0DC7">
              <w:rPr>
                <w:rFonts w:eastAsia="Times New Roman" w:cs="Arial"/>
                <w:b/>
                <w:bCs/>
                <w:sz w:val="18"/>
                <w:szCs w:val="18"/>
              </w:rPr>
              <w:t>Supervis</w:t>
            </w:r>
            <w:r w:rsidR="00510ECA" w:rsidRPr="00EA0DC7">
              <w:rPr>
                <w:rFonts w:eastAsia="Times New Roman" w:cs="Arial"/>
                <w:b/>
                <w:bCs/>
                <w:sz w:val="18"/>
                <w:szCs w:val="18"/>
              </w:rPr>
              <w:t>-</w:t>
            </w:r>
            <w:r w:rsidRPr="00EA0DC7">
              <w:rPr>
                <w:rFonts w:eastAsia="Times New Roman" w:cs="Arial"/>
                <w:b/>
                <w:bCs/>
                <w:sz w:val="18"/>
                <w:szCs w:val="18"/>
              </w:rPr>
              <w:t xml:space="preserve">ee's personal </w:t>
            </w:r>
            <w:r w:rsidR="00510ECA" w:rsidRPr="00EA0DC7">
              <w:rPr>
                <w:rFonts w:eastAsia="Times New Roman" w:cs="Arial"/>
                <w:b/>
                <w:bCs/>
                <w:sz w:val="18"/>
                <w:szCs w:val="18"/>
              </w:rPr>
              <w:t>character-</w:t>
            </w:r>
            <w:r w:rsidRPr="00EA0DC7">
              <w:rPr>
                <w:rFonts w:eastAsia="Times New Roman" w:cs="Arial"/>
                <w:b/>
                <w:bCs/>
                <w:sz w:val="18"/>
                <w:szCs w:val="18"/>
              </w:rPr>
              <w:t>r</w:t>
            </w:r>
            <w:r w:rsidR="00CC3FB0" w:rsidRPr="00EA0DC7">
              <w:rPr>
                <w:rFonts w:eastAsia="Times New Roman" w:cs="Arial"/>
                <w:b/>
                <w:bCs/>
                <w:sz w:val="18"/>
                <w:szCs w:val="18"/>
              </w:rPr>
              <w:t>istics</w:t>
            </w:r>
          </w:p>
        </w:tc>
        <w:tc>
          <w:tcPr>
            <w:tcW w:w="992" w:type="dxa"/>
            <w:tcBorders>
              <w:top w:val="single" w:sz="4" w:space="0" w:color="auto"/>
              <w:left w:val="nil"/>
              <w:bottom w:val="single" w:sz="4" w:space="0" w:color="auto"/>
              <w:right w:val="nil"/>
            </w:tcBorders>
            <w:shd w:val="clear" w:color="auto" w:fill="auto"/>
            <w:vAlign w:val="center"/>
            <w:hideMark/>
          </w:tcPr>
          <w:p w14:paraId="6B5C14C6" w14:textId="5FD5E97C"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gender</w:t>
            </w:r>
          </w:p>
        </w:tc>
        <w:tc>
          <w:tcPr>
            <w:tcW w:w="1304" w:type="dxa"/>
            <w:tcBorders>
              <w:top w:val="single" w:sz="4" w:space="0" w:color="auto"/>
              <w:left w:val="nil"/>
              <w:bottom w:val="single" w:sz="4" w:space="0" w:color="auto"/>
              <w:right w:val="nil"/>
            </w:tcBorders>
            <w:shd w:val="clear" w:color="auto" w:fill="auto"/>
            <w:vAlign w:val="center"/>
            <w:hideMark/>
          </w:tcPr>
          <w:p w14:paraId="4695E0C6" w14:textId="77777777"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Supervisee ethnicity/ culture</w:t>
            </w:r>
          </w:p>
        </w:tc>
        <w:tc>
          <w:tcPr>
            <w:tcW w:w="992" w:type="dxa"/>
            <w:tcBorders>
              <w:top w:val="single" w:sz="4" w:space="0" w:color="auto"/>
              <w:left w:val="nil"/>
              <w:bottom w:val="single" w:sz="4" w:space="0" w:color="auto"/>
              <w:right w:val="nil"/>
            </w:tcBorders>
            <w:vAlign w:val="center"/>
          </w:tcPr>
          <w:p w14:paraId="7EDCD4AE" w14:textId="00C4CF1B"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w:t>
            </w:r>
            <w:r w:rsidR="00510ECA" w:rsidRPr="00EA0DC7">
              <w:rPr>
                <w:rFonts w:eastAsia="Times New Roman" w:cs="Arial"/>
                <w:b/>
                <w:bCs/>
                <w:sz w:val="18"/>
                <w:szCs w:val="18"/>
              </w:rPr>
              <w:t>-</w:t>
            </w:r>
            <w:r w:rsidRPr="00EA0DC7">
              <w:rPr>
                <w:rFonts w:eastAsia="Times New Roman" w:cs="Arial"/>
                <w:b/>
                <w:bCs/>
                <w:sz w:val="18"/>
                <w:szCs w:val="18"/>
              </w:rPr>
              <w:t>see anxiety</w:t>
            </w:r>
          </w:p>
        </w:tc>
        <w:tc>
          <w:tcPr>
            <w:tcW w:w="1304" w:type="dxa"/>
            <w:tcBorders>
              <w:top w:val="single" w:sz="4" w:space="0" w:color="auto"/>
              <w:left w:val="nil"/>
              <w:bottom w:val="single" w:sz="4" w:space="0" w:color="auto"/>
              <w:right w:val="nil"/>
            </w:tcBorders>
            <w:vAlign w:val="center"/>
          </w:tcPr>
          <w:p w14:paraId="78D825B9" w14:textId="77777777"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Supervisee motivation</w:t>
            </w:r>
          </w:p>
        </w:tc>
        <w:tc>
          <w:tcPr>
            <w:tcW w:w="1247" w:type="dxa"/>
            <w:tcBorders>
              <w:top w:val="single" w:sz="4" w:space="0" w:color="auto"/>
              <w:left w:val="nil"/>
              <w:bottom w:val="single" w:sz="4" w:space="0" w:color="auto"/>
              <w:right w:val="nil"/>
            </w:tcBorders>
            <w:vAlign w:val="center"/>
          </w:tcPr>
          <w:p w14:paraId="172C16A2" w14:textId="1DEB234C"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Supervisee autonomy vs dependen</w:t>
            </w:r>
            <w:r w:rsidR="00510ECA" w:rsidRPr="00EA0DC7">
              <w:rPr>
                <w:rFonts w:eastAsia="Times New Roman" w:cs="Arial"/>
                <w:b/>
                <w:bCs/>
                <w:sz w:val="18"/>
                <w:szCs w:val="18"/>
              </w:rPr>
              <w:t>-</w:t>
            </w:r>
            <w:r w:rsidRPr="00EA0DC7">
              <w:rPr>
                <w:rFonts w:eastAsia="Times New Roman" w:cs="Arial"/>
                <w:b/>
                <w:bCs/>
                <w:sz w:val="18"/>
                <w:szCs w:val="18"/>
              </w:rPr>
              <w:t>cy</w:t>
            </w:r>
          </w:p>
        </w:tc>
        <w:tc>
          <w:tcPr>
            <w:tcW w:w="1304" w:type="dxa"/>
            <w:tcBorders>
              <w:top w:val="single" w:sz="4" w:space="0" w:color="auto"/>
              <w:left w:val="nil"/>
              <w:bottom w:val="single" w:sz="4" w:space="0" w:color="auto"/>
              <w:right w:val="nil"/>
            </w:tcBorders>
            <w:vAlign w:val="center"/>
          </w:tcPr>
          <w:p w14:paraId="116CF209" w14:textId="77777777" w:rsidR="00CC3FB0" w:rsidRPr="00EA0DC7" w:rsidRDefault="00CC3FB0" w:rsidP="005016CB">
            <w:pPr>
              <w:spacing w:before="240" w:line="240" w:lineRule="auto"/>
              <w:jc w:val="center"/>
              <w:rPr>
                <w:rFonts w:eastAsia="Times New Roman" w:cs="Arial"/>
                <w:b/>
                <w:bCs/>
                <w:sz w:val="18"/>
                <w:szCs w:val="18"/>
              </w:rPr>
            </w:pPr>
            <w:r w:rsidRPr="00EA0DC7">
              <w:rPr>
                <w:rFonts w:eastAsia="Times New Roman" w:cs="Arial"/>
                <w:b/>
                <w:bCs/>
                <w:sz w:val="18"/>
                <w:szCs w:val="18"/>
              </w:rPr>
              <w:t>Supervisee awareness of self and/or others</w:t>
            </w:r>
          </w:p>
        </w:tc>
        <w:tc>
          <w:tcPr>
            <w:tcW w:w="1276" w:type="dxa"/>
            <w:tcBorders>
              <w:top w:val="single" w:sz="4" w:space="0" w:color="auto"/>
              <w:left w:val="nil"/>
              <w:bottom w:val="single" w:sz="4" w:space="0" w:color="auto"/>
              <w:right w:val="nil"/>
            </w:tcBorders>
            <w:vAlign w:val="center"/>
          </w:tcPr>
          <w:p w14:paraId="1B8E0B0E" w14:textId="4024E87F"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Developm</w:t>
            </w:r>
            <w:r w:rsidR="00510ECA" w:rsidRPr="00EA0DC7">
              <w:rPr>
                <w:rFonts w:eastAsia="Times New Roman" w:cs="Arial"/>
                <w:b/>
                <w:bCs/>
                <w:sz w:val="18"/>
                <w:szCs w:val="18"/>
              </w:rPr>
              <w:t>-</w:t>
            </w:r>
            <w:r w:rsidRPr="00EA0DC7">
              <w:rPr>
                <w:rFonts w:eastAsia="Times New Roman" w:cs="Arial"/>
                <w:b/>
                <w:bCs/>
                <w:sz w:val="18"/>
                <w:szCs w:val="18"/>
              </w:rPr>
              <w:t>ent of supervisee</w:t>
            </w:r>
          </w:p>
        </w:tc>
        <w:tc>
          <w:tcPr>
            <w:tcW w:w="1304" w:type="dxa"/>
            <w:tcBorders>
              <w:top w:val="single" w:sz="4" w:space="0" w:color="auto"/>
              <w:left w:val="nil"/>
              <w:bottom w:val="single" w:sz="4" w:space="0" w:color="auto"/>
              <w:right w:val="nil"/>
            </w:tcBorders>
            <w:vAlign w:val="center"/>
          </w:tcPr>
          <w:p w14:paraId="334ACC03" w14:textId="77777777"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Supervisee individual learning styles</w:t>
            </w:r>
          </w:p>
        </w:tc>
        <w:tc>
          <w:tcPr>
            <w:tcW w:w="1304" w:type="dxa"/>
            <w:tcBorders>
              <w:top w:val="single" w:sz="4" w:space="0" w:color="auto"/>
              <w:left w:val="nil"/>
              <w:bottom w:val="single" w:sz="4" w:space="0" w:color="auto"/>
              <w:right w:val="nil"/>
            </w:tcBorders>
            <w:vAlign w:val="center"/>
          </w:tcPr>
          <w:p w14:paraId="57816435" w14:textId="77777777" w:rsidR="00CC3FB0" w:rsidRPr="00EA0DC7" w:rsidRDefault="00CC3FB0" w:rsidP="005016CB">
            <w:pPr>
              <w:spacing w:line="240" w:lineRule="auto"/>
              <w:jc w:val="center"/>
              <w:rPr>
                <w:rFonts w:eastAsia="Times New Roman" w:cs="Arial"/>
                <w:b/>
                <w:bCs/>
                <w:sz w:val="18"/>
                <w:szCs w:val="18"/>
              </w:rPr>
            </w:pPr>
            <w:r w:rsidRPr="00EA0DC7">
              <w:rPr>
                <w:rFonts w:eastAsia="Times New Roman" w:cs="Arial"/>
                <w:b/>
                <w:bCs/>
                <w:sz w:val="18"/>
                <w:szCs w:val="18"/>
              </w:rPr>
              <w:t>Supervisee can take on variety of roles</w:t>
            </w:r>
          </w:p>
        </w:tc>
      </w:tr>
      <w:tr w:rsidR="001455BC" w:rsidRPr="00EA0DC7" w14:paraId="5E0D2E83" w14:textId="77777777" w:rsidTr="003A3D66">
        <w:trPr>
          <w:trHeight w:val="283"/>
          <w:tblHeader/>
        </w:trPr>
        <w:tc>
          <w:tcPr>
            <w:tcW w:w="1701" w:type="dxa"/>
            <w:tcBorders>
              <w:top w:val="single" w:sz="4" w:space="0" w:color="auto"/>
              <w:left w:val="nil"/>
              <w:right w:val="nil"/>
            </w:tcBorders>
            <w:shd w:val="clear" w:color="auto" w:fill="auto"/>
            <w:hideMark/>
          </w:tcPr>
          <w:p w14:paraId="208FE958" w14:textId="77777777" w:rsidR="00B23505" w:rsidRPr="00EA0DC7" w:rsidRDefault="00B23505" w:rsidP="003A3D66">
            <w:pPr>
              <w:spacing w:before="240" w:line="240" w:lineRule="auto"/>
              <w:jc w:val="left"/>
              <w:rPr>
                <w:rFonts w:eastAsia="Times New Roman" w:cs="Arial"/>
                <w:sz w:val="18"/>
                <w:szCs w:val="18"/>
              </w:rPr>
            </w:pPr>
            <w:r w:rsidRPr="00EA0DC7">
              <w:rPr>
                <w:rFonts w:eastAsia="Times New Roman" w:cs="Arial"/>
                <w:sz w:val="18"/>
                <w:szCs w:val="18"/>
              </w:rPr>
              <w:t>Scaife (2001)</w:t>
            </w:r>
          </w:p>
        </w:tc>
        <w:tc>
          <w:tcPr>
            <w:tcW w:w="1134" w:type="dxa"/>
            <w:tcBorders>
              <w:top w:val="single" w:sz="4" w:space="0" w:color="auto"/>
              <w:left w:val="nil"/>
              <w:right w:val="nil"/>
            </w:tcBorders>
            <w:shd w:val="clear" w:color="auto" w:fill="auto"/>
            <w:noWrap/>
            <w:hideMark/>
          </w:tcPr>
          <w:p w14:paraId="4BF7872C" w14:textId="77777777" w:rsidR="00B23505" w:rsidRPr="00EA0DC7" w:rsidRDefault="00B23505" w:rsidP="003A3D66">
            <w:pPr>
              <w:spacing w:before="240"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single" w:sz="4" w:space="0" w:color="auto"/>
              <w:left w:val="nil"/>
              <w:right w:val="nil"/>
            </w:tcBorders>
            <w:shd w:val="clear" w:color="auto" w:fill="auto"/>
            <w:noWrap/>
            <w:hideMark/>
          </w:tcPr>
          <w:p w14:paraId="72097148" w14:textId="77777777" w:rsidR="00B23505" w:rsidRPr="00EA0DC7" w:rsidRDefault="00B23505" w:rsidP="003A3D66">
            <w:pPr>
              <w:spacing w:before="240" w:line="240" w:lineRule="auto"/>
              <w:jc w:val="center"/>
              <w:rPr>
                <w:rFonts w:eastAsia="Times New Roman" w:cs="Arial"/>
                <w:sz w:val="18"/>
                <w:szCs w:val="18"/>
              </w:rPr>
            </w:pPr>
          </w:p>
        </w:tc>
        <w:tc>
          <w:tcPr>
            <w:tcW w:w="1304" w:type="dxa"/>
            <w:tcBorders>
              <w:top w:val="single" w:sz="4" w:space="0" w:color="auto"/>
              <w:left w:val="nil"/>
              <w:right w:val="nil"/>
            </w:tcBorders>
            <w:shd w:val="clear" w:color="auto" w:fill="auto"/>
            <w:noWrap/>
            <w:hideMark/>
          </w:tcPr>
          <w:p w14:paraId="6F4BD03D" w14:textId="77777777" w:rsidR="00B23505" w:rsidRPr="00EA0DC7" w:rsidRDefault="00B23505" w:rsidP="003A3D66">
            <w:pPr>
              <w:spacing w:before="240" w:line="240" w:lineRule="auto"/>
              <w:jc w:val="center"/>
              <w:rPr>
                <w:rFonts w:eastAsia="Times New Roman" w:cs="Arial"/>
                <w:sz w:val="18"/>
                <w:szCs w:val="18"/>
              </w:rPr>
            </w:pPr>
          </w:p>
        </w:tc>
        <w:tc>
          <w:tcPr>
            <w:tcW w:w="992" w:type="dxa"/>
            <w:tcBorders>
              <w:top w:val="single" w:sz="4" w:space="0" w:color="auto"/>
              <w:left w:val="nil"/>
              <w:right w:val="nil"/>
            </w:tcBorders>
          </w:tcPr>
          <w:p w14:paraId="4A80A261" w14:textId="77777777" w:rsidR="00B23505" w:rsidRPr="00EA0DC7" w:rsidRDefault="00B23505" w:rsidP="003A3D66">
            <w:pPr>
              <w:spacing w:before="240" w:line="240" w:lineRule="auto"/>
              <w:jc w:val="center"/>
              <w:rPr>
                <w:rFonts w:eastAsia="Times New Roman" w:cs="Arial"/>
                <w:sz w:val="18"/>
                <w:szCs w:val="18"/>
              </w:rPr>
            </w:pPr>
          </w:p>
        </w:tc>
        <w:tc>
          <w:tcPr>
            <w:tcW w:w="1304" w:type="dxa"/>
            <w:tcBorders>
              <w:top w:val="single" w:sz="4" w:space="0" w:color="auto"/>
              <w:left w:val="nil"/>
              <w:right w:val="nil"/>
            </w:tcBorders>
          </w:tcPr>
          <w:p w14:paraId="43E24492" w14:textId="77777777" w:rsidR="00B23505" w:rsidRPr="00EA0DC7" w:rsidRDefault="00B23505" w:rsidP="003A3D66">
            <w:pPr>
              <w:spacing w:before="240" w:line="240" w:lineRule="auto"/>
              <w:jc w:val="center"/>
              <w:rPr>
                <w:rFonts w:eastAsia="Times New Roman" w:cs="Arial"/>
                <w:sz w:val="18"/>
                <w:szCs w:val="18"/>
              </w:rPr>
            </w:pPr>
          </w:p>
        </w:tc>
        <w:tc>
          <w:tcPr>
            <w:tcW w:w="1247" w:type="dxa"/>
            <w:tcBorders>
              <w:top w:val="single" w:sz="4" w:space="0" w:color="auto"/>
              <w:left w:val="nil"/>
              <w:right w:val="nil"/>
            </w:tcBorders>
          </w:tcPr>
          <w:p w14:paraId="5A6D6D01" w14:textId="77777777" w:rsidR="00B23505" w:rsidRPr="00EA0DC7" w:rsidRDefault="00B23505" w:rsidP="003A3D66">
            <w:pPr>
              <w:spacing w:before="240" w:line="240" w:lineRule="auto"/>
              <w:jc w:val="center"/>
              <w:rPr>
                <w:rFonts w:eastAsia="Times New Roman" w:cs="Arial"/>
                <w:sz w:val="18"/>
                <w:szCs w:val="18"/>
              </w:rPr>
            </w:pPr>
          </w:p>
        </w:tc>
        <w:tc>
          <w:tcPr>
            <w:tcW w:w="1304" w:type="dxa"/>
            <w:tcBorders>
              <w:top w:val="single" w:sz="4" w:space="0" w:color="auto"/>
              <w:left w:val="nil"/>
              <w:right w:val="nil"/>
            </w:tcBorders>
          </w:tcPr>
          <w:p w14:paraId="32FBA2A5" w14:textId="77777777" w:rsidR="00B23505" w:rsidRPr="00EA0DC7" w:rsidRDefault="00B23505" w:rsidP="003A3D66">
            <w:pPr>
              <w:spacing w:before="240" w:line="240" w:lineRule="auto"/>
              <w:jc w:val="center"/>
              <w:rPr>
                <w:rFonts w:eastAsia="Times New Roman" w:cs="Arial"/>
                <w:sz w:val="18"/>
                <w:szCs w:val="18"/>
              </w:rPr>
            </w:pPr>
          </w:p>
        </w:tc>
        <w:tc>
          <w:tcPr>
            <w:tcW w:w="1276" w:type="dxa"/>
            <w:tcBorders>
              <w:top w:val="single" w:sz="4" w:space="0" w:color="auto"/>
              <w:left w:val="nil"/>
              <w:right w:val="nil"/>
            </w:tcBorders>
          </w:tcPr>
          <w:p w14:paraId="7A9B6144" w14:textId="77777777" w:rsidR="00B23505" w:rsidRPr="00EA0DC7" w:rsidRDefault="00B23505" w:rsidP="003A3D66">
            <w:pPr>
              <w:spacing w:before="240" w:line="240" w:lineRule="auto"/>
              <w:jc w:val="center"/>
              <w:rPr>
                <w:rFonts w:eastAsia="Times New Roman" w:cs="Arial"/>
                <w:sz w:val="18"/>
                <w:szCs w:val="18"/>
              </w:rPr>
            </w:pPr>
          </w:p>
        </w:tc>
        <w:tc>
          <w:tcPr>
            <w:tcW w:w="1304" w:type="dxa"/>
            <w:tcBorders>
              <w:top w:val="single" w:sz="4" w:space="0" w:color="auto"/>
              <w:left w:val="nil"/>
              <w:right w:val="nil"/>
            </w:tcBorders>
          </w:tcPr>
          <w:p w14:paraId="35EF58ED" w14:textId="77777777" w:rsidR="00B23505" w:rsidRPr="00EA0DC7" w:rsidRDefault="00B23505" w:rsidP="003A3D66">
            <w:pPr>
              <w:spacing w:before="240" w:line="240" w:lineRule="auto"/>
              <w:jc w:val="center"/>
              <w:rPr>
                <w:rFonts w:eastAsia="Times New Roman" w:cs="Arial"/>
                <w:sz w:val="18"/>
                <w:szCs w:val="18"/>
              </w:rPr>
            </w:pPr>
          </w:p>
        </w:tc>
        <w:tc>
          <w:tcPr>
            <w:tcW w:w="1304" w:type="dxa"/>
            <w:tcBorders>
              <w:top w:val="single" w:sz="4" w:space="0" w:color="auto"/>
              <w:left w:val="nil"/>
              <w:right w:val="nil"/>
            </w:tcBorders>
          </w:tcPr>
          <w:p w14:paraId="3A33533D" w14:textId="77777777" w:rsidR="00B23505" w:rsidRPr="00EA0DC7" w:rsidRDefault="00B23505" w:rsidP="003A3D66">
            <w:pPr>
              <w:spacing w:before="240" w:line="240" w:lineRule="auto"/>
              <w:jc w:val="center"/>
              <w:rPr>
                <w:rFonts w:eastAsia="Times New Roman" w:cs="Arial"/>
                <w:sz w:val="18"/>
                <w:szCs w:val="18"/>
              </w:rPr>
            </w:pPr>
          </w:p>
        </w:tc>
      </w:tr>
      <w:tr w:rsidR="001455BC" w:rsidRPr="00EA0DC7" w14:paraId="619294F6" w14:textId="77777777" w:rsidTr="003A3D66">
        <w:trPr>
          <w:trHeight w:val="80"/>
          <w:tblHeader/>
        </w:trPr>
        <w:tc>
          <w:tcPr>
            <w:tcW w:w="1701" w:type="dxa"/>
            <w:tcBorders>
              <w:left w:val="nil"/>
              <w:right w:val="nil"/>
            </w:tcBorders>
            <w:shd w:val="clear" w:color="auto" w:fill="auto"/>
            <w:hideMark/>
          </w:tcPr>
          <w:p w14:paraId="34FF7964"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Frawley-O'Dea &amp; Sarnat (2001)</w:t>
            </w:r>
          </w:p>
        </w:tc>
        <w:tc>
          <w:tcPr>
            <w:tcW w:w="1134" w:type="dxa"/>
            <w:tcBorders>
              <w:left w:val="nil"/>
              <w:right w:val="nil"/>
            </w:tcBorders>
            <w:shd w:val="clear" w:color="auto" w:fill="auto"/>
            <w:noWrap/>
            <w:hideMark/>
          </w:tcPr>
          <w:p w14:paraId="47E0C4F3"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hideMark/>
          </w:tcPr>
          <w:p w14:paraId="14F06D08"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shd w:val="clear" w:color="auto" w:fill="auto"/>
            <w:noWrap/>
            <w:hideMark/>
          </w:tcPr>
          <w:p w14:paraId="66937BB5" w14:textId="77777777" w:rsidR="00B23505" w:rsidRPr="00EA0DC7" w:rsidRDefault="00B23505" w:rsidP="00B23505">
            <w:pPr>
              <w:spacing w:line="240" w:lineRule="auto"/>
              <w:jc w:val="center"/>
              <w:rPr>
                <w:rFonts w:eastAsia="Times New Roman" w:cs="Arial"/>
                <w:sz w:val="18"/>
                <w:szCs w:val="18"/>
              </w:rPr>
            </w:pPr>
          </w:p>
        </w:tc>
        <w:tc>
          <w:tcPr>
            <w:tcW w:w="992" w:type="dxa"/>
            <w:tcBorders>
              <w:left w:val="nil"/>
              <w:right w:val="nil"/>
            </w:tcBorders>
          </w:tcPr>
          <w:p w14:paraId="42FDCA9C"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1D52A62E" w14:textId="77777777" w:rsidR="00B23505" w:rsidRPr="00EA0DC7" w:rsidRDefault="00B23505" w:rsidP="00B23505">
            <w:pPr>
              <w:spacing w:line="240" w:lineRule="auto"/>
              <w:jc w:val="center"/>
              <w:rPr>
                <w:rFonts w:eastAsia="Times New Roman" w:cs="Arial"/>
                <w:sz w:val="18"/>
                <w:szCs w:val="18"/>
              </w:rPr>
            </w:pPr>
          </w:p>
        </w:tc>
        <w:tc>
          <w:tcPr>
            <w:tcW w:w="1247" w:type="dxa"/>
            <w:tcBorders>
              <w:left w:val="nil"/>
              <w:right w:val="nil"/>
            </w:tcBorders>
          </w:tcPr>
          <w:p w14:paraId="06BDEE95"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3F7682A0" w14:textId="77777777" w:rsidR="00B23505" w:rsidRPr="00EA0DC7" w:rsidRDefault="00B23505" w:rsidP="00B23505">
            <w:pPr>
              <w:spacing w:line="240" w:lineRule="auto"/>
              <w:jc w:val="center"/>
              <w:rPr>
                <w:rFonts w:eastAsia="Times New Roman" w:cs="Arial"/>
                <w:sz w:val="18"/>
                <w:szCs w:val="18"/>
              </w:rPr>
            </w:pPr>
          </w:p>
        </w:tc>
        <w:tc>
          <w:tcPr>
            <w:tcW w:w="1276" w:type="dxa"/>
            <w:tcBorders>
              <w:left w:val="nil"/>
              <w:right w:val="nil"/>
            </w:tcBorders>
          </w:tcPr>
          <w:p w14:paraId="407E0C51"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3EAB513F" w14:textId="77777777" w:rsidR="00B23505" w:rsidRPr="00EA0DC7" w:rsidRDefault="00B23505" w:rsidP="00B23505">
            <w:pPr>
              <w:spacing w:line="240" w:lineRule="auto"/>
              <w:jc w:val="center"/>
              <w:rPr>
                <w:rFonts w:eastAsia="Times New Roman" w:cs="Arial"/>
                <w:sz w:val="18"/>
                <w:szCs w:val="18"/>
              </w:rPr>
            </w:pPr>
          </w:p>
        </w:tc>
        <w:tc>
          <w:tcPr>
            <w:tcW w:w="1304" w:type="dxa"/>
            <w:tcBorders>
              <w:left w:val="nil"/>
              <w:right w:val="nil"/>
            </w:tcBorders>
          </w:tcPr>
          <w:p w14:paraId="4D58C536" w14:textId="77777777" w:rsidR="00B23505" w:rsidRPr="00EA0DC7" w:rsidRDefault="00B23505" w:rsidP="00B23505">
            <w:pPr>
              <w:spacing w:line="240" w:lineRule="auto"/>
              <w:jc w:val="center"/>
              <w:rPr>
                <w:rFonts w:eastAsia="Times New Roman" w:cs="Arial"/>
                <w:sz w:val="18"/>
                <w:szCs w:val="18"/>
              </w:rPr>
            </w:pPr>
          </w:p>
        </w:tc>
      </w:tr>
      <w:tr w:rsidR="001455BC" w:rsidRPr="00EA0DC7" w14:paraId="12478219" w14:textId="77777777" w:rsidTr="003A3D66">
        <w:trPr>
          <w:trHeight w:val="283"/>
          <w:tblHeader/>
        </w:trPr>
        <w:tc>
          <w:tcPr>
            <w:tcW w:w="1701" w:type="dxa"/>
            <w:tcBorders>
              <w:top w:val="nil"/>
              <w:left w:val="nil"/>
              <w:bottom w:val="nil"/>
              <w:right w:val="nil"/>
            </w:tcBorders>
            <w:shd w:val="clear" w:color="auto" w:fill="auto"/>
            <w:hideMark/>
          </w:tcPr>
          <w:p w14:paraId="4F69943B" w14:textId="77777777" w:rsidR="00B23505" w:rsidRPr="00EA0DC7" w:rsidRDefault="00B23505" w:rsidP="00B23505">
            <w:pPr>
              <w:spacing w:line="240" w:lineRule="auto"/>
              <w:jc w:val="left"/>
              <w:rPr>
                <w:rFonts w:eastAsia="Times New Roman" w:cs="Arial"/>
                <w:sz w:val="18"/>
                <w:szCs w:val="18"/>
              </w:rPr>
            </w:pPr>
            <w:r w:rsidRPr="00EA0DC7">
              <w:rPr>
                <w:rFonts w:eastAsia="Times New Roman" w:cs="Arial"/>
                <w:sz w:val="18"/>
                <w:szCs w:val="18"/>
              </w:rPr>
              <w:t>Lee &amp; Everett (2004)</w:t>
            </w:r>
          </w:p>
        </w:tc>
        <w:tc>
          <w:tcPr>
            <w:tcW w:w="1134" w:type="dxa"/>
            <w:tcBorders>
              <w:top w:val="nil"/>
              <w:left w:val="nil"/>
              <w:bottom w:val="nil"/>
              <w:right w:val="nil"/>
            </w:tcBorders>
            <w:shd w:val="clear" w:color="auto" w:fill="auto"/>
            <w:noWrap/>
            <w:hideMark/>
          </w:tcPr>
          <w:p w14:paraId="206886BC"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nil"/>
              <w:right w:val="nil"/>
            </w:tcBorders>
            <w:shd w:val="clear" w:color="auto" w:fill="auto"/>
            <w:noWrap/>
            <w:hideMark/>
          </w:tcPr>
          <w:p w14:paraId="650591F7"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shd w:val="clear" w:color="auto" w:fill="auto"/>
            <w:noWrap/>
            <w:hideMark/>
          </w:tcPr>
          <w:p w14:paraId="21BDAF5D"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nil"/>
              <w:right w:val="nil"/>
            </w:tcBorders>
          </w:tcPr>
          <w:p w14:paraId="04FD3537"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00EF3BD4" w14:textId="77777777" w:rsidR="00B23505" w:rsidRPr="00EA0DC7" w:rsidRDefault="00B23505" w:rsidP="00B23505">
            <w:pPr>
              <w:spacing w:line="240" w:lineRule="auto"/>
              <w:jc w:val="center"/>
              <w:rPr>
                <w:rFonts w:eastAsia="Times New Roman" w:cs="Arial"/>
                <w:sz w:val="18"/>
                <w:szCs w:val="18"/>
              </w:rPr>
            </w:pPr>
          </w:p>
        </w:tc>
        <w:tc>
          <w:tcPr>
            <w:tcW w:w="1247" w:type="dxa"/>
            <w:tcBorders>
              <w:top w:val="nil"/>
              <w:left w:val="nil"/>
              <w:bottom w:val="nil"/>
              <w:right w:val="nil"/>
            </w:tcBorders>
          </w:tcPr>
          <w:p w14:paraId="74D6D402"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70904012"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bottom w:val="nil"/>
              <w:right w:val="nil"/>
            </w:tcBorders>
          </w:tcPr>
          <w:p w14:paraId="68F6D4C5" w14:textId="77777777" w:rsidR="00B23505" w:rsidRPr="00EA0DC7" w:rsidRDefault="00B23505" w:rsidP="00B23505">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nil"/>
              <w:right w:val="nil"/>
            </w:tcBorders>
          </w:tcPr>
          <w:p w14:paraId="604D6880" w14:textId="77777777" w:rsidR="00B23505" w:rsidRPr="00EA0DC7" w:rsidRDefault="00B23505" w:rsidP="00B23505">
            <w:pPr>
              <w:spacing w:line="240" w:lineRule="auto"/>
              <w:jc w:val="center"/>
              <w:rPr>
                <w:rFonts w:eastAsia="Times New Roman" w:cs="Arial"/>
                <w:sz w:val="18"/>
                <w:szCs w:val="18"/>
              </w:rPr>
            </w:pPr>
          </w:p>
        </w:tc>
        <w:tc>
          <w:tcPr>
            <w:tcW w:w="1304" w:type="dxa"/>
            <w:tcBorders>
              <w:top w:val="nil"/>
              <w:left w:val="nil"/>
              <w:bottom w:val="nil"/>
              <w:right w:val="nil"/>
            </w:tcBorders>
          </w:tcPr>
          <w:p w14:paraId="14AED5A9" w14:textId="77777777" w:rsidR="00B23505" w:rsidRPr="00EA0DC7" w:rsidRDefault="00B23505" w:rsidP="00B23505">
            <w:pPr>
              <w:spacing w:line="240" w:lineRule="auto"/>
              <w:jc w:val="center"/>
              <w:rPr>
                <w:rFonts w:eastAsia="Times New Roman" w:cs="Arial"/>
                <w:sz w:val="18"/>
                <w:szCs w:val="18"/>
              </w:rPr>
            </w:pPr>
          </w:p>
        </w:tc>
      </w:tr>
      <w:tr w:rsidR="006D2299" w:rsidRPr="00EA0DC7" w14:paraId="7DCF2F9F" w14:textId="77777777" w:rsidTr="00510ECA">
        <w:trPr>
          <w:trHeight w:val="283"/>
          <w:tblHeader/>
        </w:trPr>
        <w:tc>
          <w:tcPr>
            <w:tcW w:w="1701" w:type="dxa"/>
            <w:tcBorders>
              <w:top w:val="nil"/>
              <w:left w:val="nil"/>
              <w:right w:val="nil"/>
            </w:tcBorders>
            <w:shd w:val="clear" w:color="auto" w:fill="auto"/>
          </w:tcPr>
          <w:p w14:paraId="625BCCA5" w14:textId="242A3B03"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Ladany et al. (2005)</w:t>
            </w:r>
          </w:p>
        </w:tc>
        <w:tc>
          <w:tcPr>
            <w:tcW w:w="1134" w:type="dxa"/>
            <w:tcBorders>
              <w:top w:val="nil"/>
              <w:left w:val="nil"/>
              <w:right w:val="nil"/>
            </w:tcBorders>
            <w:shd w:val="clear" w:color="auto" w:fill="auto"/>
            <w:noWrap/>
          </w:tcPr>
          <w:p w14:paraId="76C6ADFB" w14:textId="0326B437"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shd w:val="clear" w:color="auto" w:fill="auto"/>
            <w:noWrap/>
          </w:tcPr>
          <w:p w14:paraId="3F0D606F" w14:textId="7EDC5873"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shd w:val="clear" w:color="auto" w:fill="auto"/>
            <w:noWrap/>
          </w:tcPr>
          <w:p w14:paraId="7F394BAD" w14:textId="663A3601"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tcPr>
          <w:p w14:paraId="54192561" w14:textId="6236A971"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63BBEC0D" w14:textId="77777777" w:rsidR="006D2299" w:rsidRPr="00EA0DC7" w:rsidRDefault="006D2299" w:rsidP="006D2299">
            <w:pPr>
              <w:spacing w:line="240" w:lineRule="auto"/>
              <w:jc w:val="center"/>
              <w:rPr>
                <w:rFonts w:eastAsia="Times New Roman" w:cs="Arial"/>
                <w:sz w:val="18"/>
                <w:szCs w:val="18"/>
              </w:rPr>
            </w:pPr>
          </w:p>
        </w:tc>
        <w:tc>
          <w:tcPr>
            <w:tcW w:w="1247" w:type="dxa"/>
            <w:tcBorders>
              <w:top w:val="nil"/>
              <w:left w:val="nil"/>
              <w:right w:val="nil"/>
            </w:tcBorders>
          </w:tcPr>
          <w:p w14:paraId="3B5BAB8E"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46D13197" w14:textId="660F2F29"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top w:val="nil"/>
              <w:left w:val="nil"/>
              <w:right w:val="nil"/>
            </w:tcBorders>
          </w:tcPr>
          <w:p w14:paraId="626840E0" w14:textId="6F91334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right w:val="nil"/>
            </w:tcBorders>
          </w:tcPr>
          <w:p w14:paraId="548DB51B"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5B699D94" w14:textId="77777777" w:rsidR="006D2299" w:rsidRPr="00EA0DC7" w:rsidRDefault="006D2299" w:rsidP="006D2299">
            <w:pPr>
              <w:spacing w:line="240" w:lineRule="auto"/>
              <w:jc w:val="center"/>
              <w:rPr>
                <w:rFonts w:eastAsia="Times New Roman" w:cs="Arial"/>
                <w:sz w:val="18"/>
                <w:szCs w:val="18"/>
              </w:rPr>
            </w:pPr>
          </w:p>
        </w:tc>
      </w:tr>
      <w:tr w:rsidR="006D2299" w:rsidRPr="00EA0DC7" w14:paraId="7E7AE46E" w14:textId="77777777" w:rsidTr="00510ECA">
        <w:trPr>
          <w:trHeight w:val="283"/>
          <w:tblHeader/>
        </w:trPr>
        <w:tc>
          <w:tcPr>
            <w:tcW w:w="1701" w:type="dxa"/>
            <w:tcBorders>
              <w:top w:val="nil"/>
              <w:left w:val="nil"/>
              <w:right w:val="nil"/>
            </w:tcBorders>
            <w:shd w:val="clear" w:color="auto" w:fill="auto"/>
          </w:tcPr>
          <w:p w14:paraId="7C20CE5A" w14:textId="4B9A5B54"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Armstrong &amp; Freeston (2006)</w:t>
            </w:r>
          </w:p>
        </w:tc>
        <w:tc>
          <w:tcPr>
            <w:tcW w:w="1134" w:type="dxa"/>
            <w:tcBorders>
              <w:top w:val="nil"/>
              <w:left w:val="nil"/>
              <w:right w:val="nil"/>
            </w:tcBorders>
            <w:shd w:val="clear" w:color="auto" w:fill="auto"/>
            <w:noWrap/>
          </w:tcPr>
          <w:p w14:paraId="11994869" w14:textId="7BAE79A8"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right w:val="nil"/>
            </w:tcBorders>
            <w:shd w:val="clear" w:color="auto" w:fill="auto"/>
            <w:noWrap/>
          </w:tcPr>
          <w:p w14:paraId="407BA568"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shd w:val="clear" w:color="auto" w:fill="auto"/>
            <w:noWrap/>
          </w:tcPr>
          <w:p w14:paraId="628568A3" w14:textId="77777777" w:rsidR="006D2299" w:rsidRPr="00EA0DC7" w:rsidRDefault="006D2299" w:rsidP="006D2299">
            <w:pPr>
              <w:spacing w:line="240" w:lineRule="auto"/>
              <w:jc w:val="center"/>
              <w:rPr>
                <w:rFonts w:eastAsia="Times New Roman" w:cs="Arial"/>
                <w:sz w:val="18"/>
                <w:szCs w:val="18"/>
              </w:rPr>
            </w:pPr>
          </w:p>
        </w:tc>
        <w:tc>
          <w:tcPr>
            <w:tcW w:w="992" w:type="dxa"/>
            <w:tcBorders>
              <w:top w:val="nil"/>
              <w:left w:val="nil"/>
              <w:right w:val="nil"/>
            </w:tcBorders>
          </w:tcPr>
          <w:p w14:paraId="330C1799"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71F20F03" w14:textId="77777777" w:rsidR="006D2299" w:rsidRPr="00EA0DC7" w:rsidRDefault="006D2299" w:rsidP="006D2299">
            <w:pPr>
              <w:spacing w:line="240" w:lineRule="auto"/>
              <w:jc w:val="center"/>
              <w:rPr>
                <w:rFonts w:eastAsia="Times New Roman" w:cs="Arial"/>
                <w:sz w:val="18"/>
                <w:szCs w:val="18"/>
              </w:rPr>
            </w:pPr>
          </w:p>
        </w:tc>
        <w:tc>
          <w:tcPr>
            <w:tcW w:w="1247" w:type="dxa"/>
            <w:tcBorders>
              <w:top w:val="nil"/>
              <w:left w:val="nil"/>
              <w:right w:val="nil"/>
            </w:tcBorders>
          </w:tcPr>
          <w:p w14:paraId="6E36DC66"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49B22E10" w14:textId="77777777" w:rsidR="006D2299" w:rsidRPr="00EA0DC7" w:rsidRDefault="006D2299" w:rsidP="006D2299">
            <w:pPr>
              <w:spacing w:line="240" w:lineRule="auto"/>
              <w:jc w:val="center"/>
              <w:rPr>
                <w:rFonts w:eastAsia="Times New Roman" w:cs="Arial"/>
                <w:sz w:val="18"/>
                <w:szCs w:val="18"/>
              </w:rPr>
            </w:pPr>
          </w:p>
        </w:tc>
        <w:tc>
          <w:tcPr>
            <w:tcW w:w="1276" w:type="dxa"/>
            <w:tcBorders>
              <w:top w:val="nil"/>
              <w:left w:val="nil"/>
              <w:right w:val="nil"/>
            </w:tcBorders>
          </w:tcPr>
          <w:p w14:paraId="539E0323"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6FEB420F"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right w:val="nil"/>
            </w:tcBorders>
          </w:tcPr>
          <w:p w14:paraId="2F522C51" w14:textId="77777777" w:rsidR="006D2299" w:rsidRPr="00EA0DC7" w:rsidRDefault="006D2299" w:rsidP="006D2299">
            <w:pPr>
              <w:spacing w:line="240" w:lineRule="auto"/>
              <w:jc w:val="center"/>
              <w:rPr>
                <w:rFonts w:eastAsia="Times New Roman" w:cs="Arial"/>
                <w:sz w:val="18"/>
                <w:szCs w:val="18"/>
              </w:rPr>
            </w:pPr>
          </w:p>
        </w:tc>
      </w:tr>
      <w:tr w:rsidR="006D2299" w:rsidRPr="00EA0DC7" w14:paraId="6E66B6A2" w14:textId="77777777" w:rsidTr="00510ECA">
        <w:trPr>
          <w:trHeight w:val="283"/>
          <w:tblHeader/>
        </w:trPr>
        <w:tc>
          <w:tcPr>
            <w:tcW w:w="1701" w:type="dxa"/>
            <w:tcBorders>
              <w:left w:val="nil"/>
              <w:right w:val="nil"/>
            </w:tcBorders>
            <w:shd w:val="clear" w:color="auto" w:fill="auto"/>
          </w:tcPr>
          <w:p w14:paraId="7B4CDCA7" w14:textId="75794E93"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Morgan &amp; Sprenkle (2007)</w:t>
            </w:r>
          </w:p>
        </w:tc>
        <w:tc>
          <w:tcPr>
            <w:tcW w:w="1134" w:type="dxa"/>
            <w:tcBorders>
              <w:left w:val="nil"/>
              <w:right w:val="nil"/>
            </w:tcBorders>
            <w:shd w:val="clear" w:color="auto" w:fill="auto"/>
            <w:noWrap/>
          </w:tcPr>
          <w:p w14:paraId="4EB9E4EF" w14:textId="77777777" w:rsidR="006D2299" w:rsidRPr="00EA0DC7" w:rsidRDefault="006D2299" w:rsidP="006D2299">
            <w:pPr>
              <w:spacing w:line="240" w:lineRule="auto"/>
              <w:jc w:val="center"/>
              <w:rPr>
                <w:rFonts w:eastAsia="Times New Roman" w:cs="Arial"/>
                <w:sz w:val="18"/>
                <w:szCs w:val="18"/>
              </w:rPr>
            </w:pPr>
          </w:p>
        </w:tc>
        <w:tc>
          <w:tcPr>
            <w:tcW w:w="992" w:type="dxa"/>
            <w:tcBorders>
              <w:left w:val="nil"/>
              <w:right w:val="nil"/>
            </w:tcBorders>
            <w:shd w:val="clear" w:color="auto" w:fill="auto"/>
            <w:noWrap/>
          </w:tcPr>
          <w:p w14:paraId="4C907ED0"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shd w:val="clear" w:color="auto" w:fill="auto"/>
            <w:noWrap/>
          </w:tcPr>
          <w:p w14:paraId="5E5DD12B" w14:textId="49C842A1"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tcPr>
          <w:p w14:paraId="502E5622"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1CAB2554" w14:textId="77777777" w:rsidR="006D2299" w:rsidRPr="00EA0DC7" w:rsidRDefault="006D2299" w:rsidP="006D2299">
            <w:pPr>
              <w:spacing w:line="240" w:lineRule="auto"/>
              <w:jc w:val="center"/>
              <w:rPr>
                <w:rFonts w:eastAsia="Times New Roman" w:cs="Arial"/>
                <w:sz w:val="18"/>
                <w:szCs w:val="18"/>
              </w:rPr>
            </w:pPr>
          </w:p>
        </w:tc>
        <w:tc>
          <w:tcPr>
            <w:tcW w:w="1247" w:type="dxa"/>
            <w:tcBorders>
              <w:left w:val="nil"/>
              <w:right w:val="nil"/>
            </w:tcBorders>
          </w:tcPr>
          <w:p w14:paraId="6CC3CC39" w14:textId="22B1039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2E7E9634" w14:textId="7BE471C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76" w:type="dxa"/>
            <w:tcBorders>
              <w:left w:val="nil"/>
              <w:right w:val="nil"/>
            </w:tcBorders>
          </w:tcPr>
          <w:p w14:paraId="49550728" w14:textId="05EEC887"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5E006132"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4F9DA8EF" w14:textId="77777777" w:rsidR="006D2299" w:rsidRPr="00EA0DC7" w:rsidRDefault="006D2299" w:rsidP="006D2299">
            <w:pPr>
              <w:spacing w:line="240" w:lineRule="auto"/>
              <w:jc w:val="center"/>
              <w:rPr>
                <w:rFonts w:eastAsia="Times New Roman" w:cs="Arial"/>
                <w:sz w:val="18"/>
                <w:szCs w:val="18"/>
              </w:rPr>
            </w:pPr>
          </w:p>
        </w:tc>
      </w:tr>
      <w:tr w:rsidR="006D2299" w:rsidRPr="00EA0DC7" w14:paraId="25679CDB" w14:textId="77777777" w:rsidTr="00510ECA">
        <w:trPr>
          <w:trHeight w:val="283"/>
          <w:tblHeader/>
        </w:trPr>
        <w:tc>
          <w:tcPr>
            <w:tcW w:w="1701" w:type="dxa"/>
            <w:tcBorders>
              <w:left w:val="nil"/>
              <w:right w:val="nil"/>
            </w:tcBorders>
            <w:shd w:val="clear" w:color="auto" w:fill="auto"/>
          </w:tcPr>
          <w:p w14:paraId="6B9596C1" w14:textId="12F934DC"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Inskipp and Proctor (2009)</w:t>
            </w:r>
          </w:p>
        </w:tc>
        <w:tc>
          <w:tcPr>
            <w:tcW w:w="1134" w:type="dxa"/>
            <w:tcBorders>
              <w:left w:val="nil"/>
              <w:right w:val="nil"/>
            </w:tcBorders>
            <w:shd w:val="clear" w:color="auto" w:fill="auto"/>
            <w:noWrap/>
          </w:tcPr>
          <w:p w14:paraId="64C5488D" w14:textId="7D6D9158"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shd w:val="clear" w:color="auto" w:fill="auto"/>
            <w:noWrap/>
          </w:tcPr>
          <w:p w14:paraId="7F7D2575" w14:textId="6F6DCA5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shd w:val="clear" w:color="auto" w:fill="auto"/>
            <w:noWrap/>
          </w:tcPr>
          <w:p w14:paraId="7F12EA58" w14:textId="61F9331E"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left w:val="nil"/>
              <w:right w:val="nil"/>
            </w:tcBorders>
          </w:tcPr>
          <w:p w14:paraId="13B52117"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26C33138" w14:textId="77777777" w:rsidR="006D2299" w:rsidRPr="00EA0DC7" w:rsidRDefault="006D2299" w:rsidP="006D2299">
            <w:pPr>
              <w:spacing w:line="240" w:lineRule="auto"/>
              <w:jc w:val="center"/>
              <w:rPr>
                <w:rFonts w:eastAsia="Times New Roman" w:cs="Arial"/>
                <w:sz w:val="18"/>
                <w:szCs w:val="18"/>
              </w:rPr>
            </w:pPr>
          </w:p>
        </w:tc>
        <w:tc>
          <w:tcPr>
            <w:tcW w:w="1247" w:type="dxa"/>
            <w:tcBorders>
              <w:left w:val="nil"/>
              <w:right w:val="nil"/>
            </w:tcBorders>
          </w:tcPr>
          <w:p w14:paraId="2943FE39" w14:textId="77777777" w:rsidR="006D2299" w:rsidRPr="00EA0DC7" w:rsidRDefault="006D2299" w:rsidP="006D2299">
            <w:pPr>
              <w:spacing w:line="240" w:lineRule="auto"/>
              <w:jc w:val="center"/>
              <w:rPr>
                <w:rFonts w:eastAsia="Times New Roman" w:cs="Arial"/>
                <w:sz w:val="18"/>
                <w:szCs w:val="18"/>
              </w:rPr>
            </w:pPr>
          </w:p>
        </w:tc>
        <w:tc>
          <w:tcPr>
            <w:tcW w:w="1304" w:type="dxa"/>
            <w:tcBorders>
              <w:left w:val="nil"/>
              <w:right w:val="nil"/>
            </w:tcBorders>
          </w:tcPr>
          <w:p w14:paraId="307C921F" w14:textId="77777777" w:rsidR="006D2299" w:rsidRPr="00EA0DC7" w:rsidRDefault="006D2299" w:rsidP="006D2299">
            <w:pPr>
              <w:spacing w:line="240" w:lineRule="auto"/>
              <w:jc w:val="center"/>
              <w:rPr>
                <w:rFonts w:eastAsia="Times New Roman" w:cs="Arial"/>
                <w:sz w:val="18"/>
                <w:szCs w:val="18"/>
              </w:rPr>
            </w:pPr>
          </w:p>
        </w:tc>
        <w:tc>
          <w:tcPr>
            <w:tcW w:w="1276" w:type="dxa"/>
            <w:tcBorders>
              <w:left w:val="nil"/>
              <w:right w:val="nil"/>
            </w:tcBorders>
          </w:tcPr>
          <w:p w14:paraId="35FE78B1" w14:textId="302ADDF1"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7E68F870" w14:textId="77912A6F"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left w:val="nil"/>
              <w:right w:val="nil"/>
            </w:tcBorders>
          </w:tcPr>
          <w:p w14:paraId="1C0FCE3C" w14:textId="1715D3E5"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r>
      <w:tr w:rsidR="006D2299" w:rsidRPr="00EA0DC7" w14:paraId="3CBADA54" w14:textId="77777777" w:rsidTr="003A3D66">
        <w:trPr>
          <w:trHeight w:val="283"/>
          <w:tblHeader/>
        </w:trPr>
        <w:tc>
          <w:tcPr>
            <w:tcW w:w="1701" w:type="dxa"/>
            <w:tcBorders>
              <w:top w:val="nil"/>
              <w:left w:val="nil"/>
              <w:bottom w:val="single" w:sz="4" w:space="0" w:color="auto"/>
              <w:right w:val="nil"/>
            </w:tcBorders>
            <w:shd w:val="clear" w:color="auto" w:fill="auto"/>
          </w:tcPr>
          <w:p w14:paraId="375FBDA7" w14:textId="67569889" w:rsidR="006D2299" w:rsidRPr="00EA0DC7" w:rsidRDefault="006D2299" w:rsidP="006D2299">
            <w:pPr>
              <w:spacing w:line="240" w:lineRule="auto"/>
              <w:jc w:val="left"/>
              <w:rPr>
                <w:rFonts w:eastAsia="Times New Roman" w:cs="Arial"/>
                <w:sz w:val="18"/>
                <w:szCs w:val="18"/>
              </w:rPr>
            </w:pPr>
            <w:r w:rsidRPr="00EA0DC7">
              <w:rPr>
                <w:rFonts w:eastAsia="Times New Roman" w:cs="Arial"/>
                <w:sz w:val="18"/>
                <w:szCs w:val="18"/>
              </w:rPr>
              <w:t>Page and Wosket (2015)</w:t>
            </w:r>
          </w:p>
        </w:tc>
        <w:tc>
          <w:tcPr>
            <w:tcW w:w="1134" w:type="dxa"/>
            <w:tcBorders>
              <w:top w:val="nil"/>
              <w:left w:val="nil"/>
              <w:bottom w:val="single" w:sz="4" w:space="0" w:color="auto"/>
              <w:right w:val="nil"/>
            </w:tcBorders>
            <w:shd w:val="clear" w:color="auto" w:fill="auto"/>
            <w:noWrap/>
          </w:tcPr>
          <w:p w14:paraId="6EFB75A6" w14:textId="0026BFAD"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single" w:sz="4" w:space="0" w:color="auto"/>
              <w:right w:val="nil"/>
            </w:tcBorders>
            <w:shd w:val="clear" w:color="auto" w:fill="auto"/>
            <w:noWrap/>
          </w:tcPr>
          <w:p w14:paraId="3FDD542C" w14:textId="699405A5"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single" w:sz="4" w:space="0" w:color="auto"/>
              <w:right w:val="nil"/>
            </w:tcBorders>
            <w:shd w:val="clear" w:color="auto" w:fill="auto"/>
            <w:noWrap/>
          </w:tcPr>
          <w:p w14:paraId="28F2E0FF" w14:textId="6EA974D0"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992" w:type="dxa"/>
            <w:tcBorders>
              <w:top w:val="nil"/>
              <w:left w:val="nil"/>
              <w:bottom w:val="single" w:sz="4" w:space="0" w:color="auto"/>
              <w:right w:val="nil"/>
            </w:tcBorders>
          </w:tcPr>
          <w:p w14:paraId="08AE5548"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230A58F1" w14:textId="75F35109"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247" w:type="dxa"/>
            <w:tcBorders>
              <w:top w:val="nil"/>
              <w:left w:val="nil"/>
              <w:bottom w:val="single" w:sz="4" w:space="0" w:color="auto"/>
              <w:right w:val="nil"/>
            </w:tcBorders>
          </w:tcPr>
          <w:p w14:paraId="5F02C85A"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08CD0462" w14:textId="77777777" w:rsidR="006D2299" w:rsidRPr="00EA0DC7" w:rsidRDefault="006D2299" w:rsidP="006D2299">
            <w:pPr>
              <w:spacing w:line="240" w:lineRule="auto"/>
              <w:jc w:val="center"/>
              <w:rPr>
                <w:rFonts w:eastAsia="Times New Roman" w:cs="Arial"/>
                <w:sz w:val="18"/>
                <w:szCs w:val="18"/>
              </w:rPr>
            </w:pPr>
          </w:p>
        </w:tc>
        <w:tc>
          <w:tcPr>
            <w:tcW w:w="1276" w:type="dxa"/>
            <w:tcBorders>
              <w:top w:val="nil"/>
              <w:left w:val="nil"/>
              <w:bottom w:val="single" w:sz="4" w:space="0" w:color="auto"/>
              <w:right w:val="nil"/>
            </w:tcBorders>
          </w:tcPr>
          <w:p w14:paraId="3C2DD55B" w14:textId="1278C1AE" w:rsidR="006D2299" w:rsidRPr="00EA0DC7" w:rsidRDefault="006D2299" w:rsidP="006D2299">
            <w:pPr>
              <w:spacing w:line="240" w:lineRule="auto"/>
              <w:jc w:val="center"/>
              <w:rPr>
                <w:rFonts w:eastAsia="Times New Roman" w:cs="Arial"/>
                <w:sz w:val="18"/>
                <w:szCs w:val="18"/>
              </w:rPr>
            </w:pPr>
            <w:r w:rsidRPr="00EA0DC7">
              <w:rPr>
                <w:rFonts w:eastAsia="Times New Roman" w:cs="Arial"/>
                <w:sz w:val="18"/>
                <w:szCs w:val="18"/>
              </w:rPr>
              <w:sym w:font="Wingdings" w:char="F0FC"/>
            </w:r>
          </w:p>
        </w:tc>
        <w:tc>
          <w:tcPr>
            <w:tcW w:w="1304" w:type="dxa"/>
            <w:tcBorders>
              <w:top w:val="nil"/>
              <w:left w:val="nil"/>
              <w:bottom w:val="single" w:sz="4" w:space="0" w:color="auto"/>
              <w:right w:val="nil"/>
            </w:tcBorders>
          </w:tcPr>
          <w:p w14:paraId="455ECEE9" w14:textId="77777777" w:rsidR="006D2299" w:rsidRPr="00EA0DC7" w:rsidRDefault="006D2299" w:rsidP="006D2299">
            <w:pPr>
              <w:spacing w:line="240" w:lineRule="auto"/>
              <w:jc w:val="center"/>
              <w:rPr>
                <w:rFonts w:eastAsia="Times New Roman" w:cs="Arial"/>
                <w:sz w:val="18"/>
                <w:szCs w:val="18"/>
              </w:rPr>
            </w:pPr>
          </w:p>
        </w:tc>
        <w:tc>
          <w:tcPr>
            <w:tcW w:w="1304" w:type="dxa"/>
            <w:tcBorders>
              <w:top w:val="nil"/>
              <w:left w:val="nil"/>
              <w:bottom w:val="single" w:sz="4" w:space="0" w:color="auto"/>
              <w:right w:val="nil"/>
            </w:tcBorders>
          </w:tcPr>
          <w:p w14:paraId="6134AC17" w14:textId="77777777" w:rsidR="006D2299" w:rsidRPr="00EA0DC7" w:rsidRDefault="006D2299" w:rsidP="006D2299">
            <w:pPr>
              <w:spacing w:line="240" w:lineRule="auto"/>
              <w:jc w:val="center"/>
              <w:rPr>
                <w:rFonts w:eastAsia="Times New Roman" w:cs="Arial"/>
                <w:sz w:val="18"/>
                <w:szCs w:val="18"/>
              </w:rPr>
            </w:pPr>
          </w:p>
        </w:tc>
      </w:tr>
    </w:tbl>
    <w:p w14:paraId="0DD9C448" w14:textId="77777777" w:rsidR="003F0CDB" w:rsidRPr="00EA0DC7" w:rsidRDefault="003F0CDB" w:rsidP="003F0CDB">
      <w:pPr>
        <w:rPr>
          <w:rFonts w:eastAsia="Times New Roman" w:cs="Arial"/>
          <w:szCs w:val="24"/>
        </w:rPr>
        <w:sectPr w:rsidR="003F0CDB" w:rsidRPr="00EA0DC7" w:rsidSect="00071D9D">
          <w:type w:val="nextColumn"/>
          <w:pgSz w:w="16838" w:h="11906" w:orient="landscape"/>
          <w:pgMar w:top="1440" w:right="1440" w:bottom="2268" w:left="1440" w:header="709" w:footer="709" w:gutter="0"/>
          <w:cols w:space="708"/>
          <w:docGrid w:linePitch="360"/>
        </w:sectPr>
      </w:pPr>
    </w:p>
    <w:tbl>
      <w:tblPr>
        <w:tblW w:w="14993" w:type="dxa"/>
        <w:tblLayout w:type="fixed"/>
        <w:tblLook w:val="04A0" w:firstRow="1" w:lastRow="0" w:firstColumn="1" w:lastColumn="0" w:noHBand="0" w:noVBand="1"/>
      </w:tblPr>
      <w:tblGrid>
        <w:gridCol w:w="3539"/>
        <w:gridCol w:w="1419"/>
        <w:gridCol w:w="1984"/>
        <w:gridCol w:w="996"/>
        <w:gridCol w:w="990"/>
        <w:gridCol w:w="1134"/>
        <w:gridCol w:w="573"/>
        <w:gridCol w:w="1128"/>
        <w:gridCol w:w="856"/>
        <w:gridCol w:w="872"/>
        <w:gridCol w:w="29"/>
        <w:gridCol w:w="207"/>
        <w:gridCol w:w="1266"/>
      </w:tblGrid>
      <w:tr w:rsidR="003F0CDB" w:rsidRPr="00EA0DC7" w14:paraId="5C1ED624" w14:textId="77777777" w:rsidTr="009A63E8">
        <w:trPr>
          <w:trHeight w:val="142"/>
          <w:tblHeader/>
        </w:trPr>
        <w:tc>
          <w:tcPr>
            <w:tcW w:w="7938" w:type="dxa"/>
            <w:gridSpan w:val="4"/>
            <w:tcBorders>
              <w:left w:val="nil"/>
              <w:right w:val="nil"/>
            </w:tcBorders>
            <w:shd w:val="clear" w:color="auto" w:fill="auto"/>
            <w:noWrap/>
            <w:vAlign w:val="bottom"/>
          </w:tcPr>
          <w:p w14:paraId="764BADA8" w14:textId="69F88878" w:rsidR="003F0CDB" w:rsidRPr="00EA0DC7" w:rsidRDefault="003F0CDB" w:rsidP="006B3274">
            <w:pPr>
              <w:pStyle w:val="Heading2"/>
              <w:rPr>
                <w:lang w:eastAsia="zh-CN"/>
              </w:rPr>
            </w:pPr>
            <w:bookmarkStart w:id="230" w:name="_Toc23881303"/>
            <w:bookmarkStart w:id="231" w:name="_Toc24548594"/>
            <w:bookmarkStart w:id="232" w:name="_Toc24548697"/>
            <w:bookmarkStart w:id="233" w:name="_Toc47039884"/>
            <w:r w:rsidRPr="00EA0DC7">
              <w:lastRenderedPageBreak/>
              <w:t xml:space="preserve">Appendix </w:t>
            </w:r>
            <w:r w:rsidR="00D247AC" w:rsidRPr="00EA0DC7">
              <w:t>2</w:t>
            </w:r>
            <w:r w:rsidRPr="00EA0DC7">
              <w:t>E</w:t>
            </w:r>
            <w:r w:rsidR="006B3274" w:rsidRPr="00EA0DC7">
              <w:t>. Client aspects focus in supervision models</w:t>
            </w:r>
            <w:bookmarkEnd w:id="230"/>
            <w:bookmarkEnd w:id="231"/>
            <w:bookmarkEnd w:id="232"/>
            <w:bookmarkEnd w:id="233"/>
          </w:p>
        </w:tc>
        <w:tc>
          <w:tcPr>
            <w:tcW w:w="2697" w:type="dxa"/>
            <w:gridSpan w:val="3"/>
            <w:tcBorders>
              <w:left w:val="nil"/>
              <w:right w:val="nil"/>
            </w:tcBorders>
          </w:tcPr>
          <w:p w14:paraId="50520C61" w14:textId="77777777" w:rsidR="003F0CDB" w:rsidRPr="00EA0DC7" w:rsidRDefault="003F0CDB" w:rsidP="00957911">
            <w:pPr>
              <w:rPr>
                <w:rFonts w:eastAsia="Times New Roman" w:cs="Arial"/>
                <w:szCs w:val="24"/>
              </w:rPr>
            </w:pPr>
          </w:p>
        </w:tc>
        <w:tc>
          <w:tcPr>
            <w:tcW w:w="1984" w:type="dxa"/>
            <w:gridSpan w:val="2"/>
            <w:tcBorders>
              <w:left w:val="nil"/>
              <w:right w:val="nil"/>
            </w:tcBorders>
          </w:tcPr>
          <w:p w14:paraId="76B1B2F0" w14:textId="77777777" w:rsidR="003F0CDB" w:rsidRPr="00EA0DC7" w:rsidRDefault="003F0CDB" w:rsidP="00957911">
            <w:pPr>
              <w:rPr>
                <w:rFonts w:eastAsia="Times New Roman" w:cs="Arial"/>
                <w:szCs w:val="24"/>
              </w:rPr>
            </w:pPr>
          </w:p>
        </w:tc>
        <w:tc>
          <w:tcPr>
            <w:tcW w:w="872" w:type="dxa"/>
            <w:tcBorders>
              <w:left w:val="nil"/>
              <w:right w:val="nil"/>
            </w:tcBorders>
          </w:tcPr>
          <w:p w14:paraId="1A2A88E4" w14:textId="77777777" w:rsidR="003F0CDB" w:rsidRPr="00EA0DC7" w:rsidRDefault="003F0CDB" w:rsidP="00957911">
            <w:pPr>
              <w:rPr>
                <w:rFonts w:eastAsia="Times New Roman" w:cs="Arial"/>
                <w:szCs w:val="24"/>
              </w:rPr>
            </w:pPr>
          </w:p>
        </w:tc>
        <w:tc>
          <w:tcPr>
            <w:tcW w:w="1502" w:type="dxa"/>
            <w:gridSpan w:val="3"/>
            <w:tcBorders>
              <w:left w:val="nil"/>
              <w:right w:val="nil"/>
            </w:tcBorders>
          </w:tcPr>
          <w:p w14:paraId="6CD2554A" w14:textId="77777777" w:rsidR="003F0CDB" w:rsidRPr="00EA0DC7" w:rsidRDefault="003F0CDB" w:rsidP="00957911">
            <w:pPr>
              <w:rPr>
                <w:rFonts w:eastAsia="Times New Roman" w:cs="Arial"/>
                <w:szCs w:val="24"/>
              </w:rPr>
            </w:pPr>
          </w:p>
        </w:tc>
      </w:tr>
      <w:tr w:rsidR="003F0CDB" w:rsidRPr="00EA0DC7" w14:paraId="73340C20" w14:textId="77777777" w:rsidTr="009A63E8">
        <w:trPr>
          <w:gridAfter w:val="1"/>
          <w:wAfter w:w="1266" w:type="dxa"/>
          <w:trHeight w:val="80"/>
          <w:tblHeader/>
        </w:trPr>
        <w:tc>
          <w:tcPr>
            <w:tcW w:w="7938" w:type="dxa"/>
            <w:gridSpan w:val="4"/>
            <w:tcBorders>
              <w:left w:val="nil"/>
              <w:bottom w:val="single" w:sz="4" w:space="0" w:color="auto"/>
              <w:right w:val="nil"/>
            </w:tcBorders>
            <w:shd w:val="clear" w:color="auto" w:fill="auto"/>
            <w:noWrap/>
            <w:vAlign w:val="bottom"/>
          </w:tcPr>
          <w:p w14:paraId="260A1067" w14:textId="20F0046C" w:rsidR="003F0CDB" w:rsidRPr="00EA0DC7" w:rsidRDefault="00D247AC" w:rsidP="00957911">
            <w:pPr>
              <w:spacing w:after="120" w:line="240" w:lineRule="auto"/>
              <w:rPr>
                <w:rFonts w:eastAsia="Times New Roman" w:cs="Arial"/>
                <w:bCs/>
                <w:szCs w:val="24"/>
              </w:rPr>
            </w:pPr>
            <w:r w:rsidRPr="00EA0DC7">
              <w:rPr>
                <w:rFonts w:eastAsia="Times New Roman" w:cs="Arial"/>
                <w:szCs w:val="24"/>
              </w:rPr>
              <w:t>Table 2E</w:t>
            </w:r>
            <w:r w:rsidR="003F0CDB" w:rsidRPr="00EA0DC7">
              <w:rPr>
                <w:rFonts w:eastAsia="Times New Roman" w:cs="Arial"/>
                <w:szCs w:val="24"/>
              </w:rPr>
              <w:t>. Model focus on client aspects</w:t>
            </w:r>
          </w:p>
        </w:tc>
        <w:tc>
          <w:tcPr>
            <w:tcW w:w="2697" w:type="dxa"/>
            <w:gridSpan w:val="3"/>
            <w:tcBorders>
              <w:left w:val="nil"/>
              <w:bottom w:val="single" w:sz="4" w:space="0" w:color="auto"/>
              <w:right w:val="nil"/>
            </w:tcBorders>
          </w:tcPr>
          <w:p w14:paraId="6B23F36A" w14:textId="77777777" w:rsidR="003F0CDB" w:rsidRPr="00EA0DC7" w:rsidRDefault="003F0CDB" w:rsidP="00957911">
            <w:pPr>
              <w:spacing w:after="120" w:line="240" w:lineRule="auto"/>
              <w:rPr>
                <w:rFonts w:eastAsia="Times New Roman" w:cs="Arial"/>
                <w:szCs w:val="24"/>
              </w:rPr>
            </w:pPr>
          </w:p>
        </w:tc>
        <w:tc>
          <w:tcPr>
            <w:tcW w:w="1984" w:type="dxa"/>
            <w:gridSpan w:val="2"/>
            <w:tcBorders>
              <w:left w:val="nil"/>
              <w:bottom w:val="single" w:sz="4" w:space="0" w:color="auto"/>
              <w:right w:val="nil"/>
            </w:tcBorders>
          </w:tcPr>
          <w:p w14:paraId="5D3E2BF5" w14:textId="77777777" w:rsidR="003F0CDB" w:rsidRPr="00EA0DC7" w:rsidRDefault="003F0CDB" w:rsidP="00957911">
            <w:pPr>
              <w:spacing w:after="120" w:line="240" w:lineRule="auto"/>
              <w:rPr>
                <w:rFonts w:eastAsia="Times New Roman" w:cs="Arial"/>
                <w:szCs w:val="24"/>
              </w:rPr>
            </w:pPr>
          </w:p>
        </w:tc>
        <w:tc>
          <w:tcPr>
            <w:tcW w:w="872" w:type="dxa"/>
            <w:tcBorders>
              <w:left w:val="nil"/>
              <w:bottom w:val="single" w:sz="4" w:space="0" w:color="auto"/>
              <w:right w:val="nil"/>
            </w:tcBorders>
          </w:tcPr>
          <w:p w14:paraId="352938FC" w14:textId="77777777" w:rsidR="003F0CDB" w:rsidRPr="00EA0DC7" w:rsidRDefault="003F0CDB" w:rsidP="00957911">
            <w:pPr>
              <w:spacing w:after="120" w:line="240" w:lineRule="auto"/>
              <w:rPr>
                <w:rFonts w:eastAsia="Times New Roman" w:cs="Arial"/>
                <w:szCs w:val="24"/>
              </w:rPr>
            </w:pPr>
          </w:p>
        </w:tc>
        <w:tc>
          <w:tcPr>
            <w:tcW w:w="236" w:type="dxa"/>
            <w:gridSpan w:val="2"/>
            <w:tcBorders>
              <w:left w:val="nil"/>
              <w:bottom w:val="single" w:sz="4" w:space="0" w:color="auto"/>
              <w:right w:val="nil"/>
            </w:tcBorders>
          </w:tcPr>
          <w:p w14:paraId="097BF35E" w14:textId="77777777" w:rsidR="003F0CDB" w:rsidRPr="00EA0DC7" w:rsidRDefault="003F0CDB" w:rsidP="00957911">
            <w:pPr>
              <w:spacing w:after="120" w:line="240" w:lineRule="auto"/>
              <w:rPr>
                <w:rFonts w:eastAsia="Times New Roman" w:cs="Arial"/>
                <w:szCs w:val="24"/>
              </w:rPr>
            </w:pPr>
          </w:p>
        </w:tc>
      </w:tr>
      <w:tr w:rsidR="003F0CDB" w:rsidRPr="00EA0DC7" w14:paraId="37D3DD7D" w14:textId="77777777" w:rsidTr="00F4729C">
        <w:trPr>
          <w:gridAfter w:val="2"/>
          <w:wAfter w:w="1473" w:type="dxa"/>
          <w:trHeight w:val="558"/>
          <w:tblHeader/>
        </w:trPr>
        <w:tc>
          <w:tcPr>
            <w:tcW w:w="3539" w:type="dxa"/>
            <w:tcBorders>
              <w:top w:val="single" w:sz="4" w:space="0" w:color="auto"/>
              <w:left w:val="nil"/>
              <w:bottom w:val="single" w:sz="4" w:space="0" w:color="auto"/>
              <w:right w:val="nil"/>
            </w:tcBorders>
            <w:shd w:val="clear" w:color="auto" w:fill="auto"/>
            <w:noWrap/>
            <w:hideMark/>
          </w:tcPr>
          <w:p w14:paraId="2EC2238F" w14:textId="77777777" w:rsidR="003F0CDB" w:rsidRPr="00EA0DC7" w:rsidRDefault="003F0CDB" w:rsidP="00BA74BC">
            <w:pPr>
              <w:spacing w:before="240" w:after="120" w:line="240" w:lineRule="auto"/>
              <w:jc w:val="center"/>
              <w:rPr>
                <w:rFonts w:eastAsia="Times New Roman" w:cs="Arial"/>
                <w:b/>
                <w:bCs/>
                <w:szCs w:val="24"/>
              </w:rPr>
            </w:pPr>
          </w:p>
        </w:tc>
        <w:tc>
          <w:tcPr>
            <w:tcW w:w="1419" w:type="dxa"/>
            <w:tcBorders>
              <w:top w:val="single" w:sz="4" w:space="0" w:color="auto"/>
              <w:left w:val="nil"/>
              <w:bottom w:val="single" w:sz="4" w:space="0" w:color="auto"/>
              <w:right w:val="nil"/>
            </w:tcBorders>
            <w:shd w:val="clear" w:color="auto" w:fill="auto"/>
            <w:vAlign w:val="center"/>
            <w:hideMark/>
          </w:tcPr>
          <w:p w14:paraId="68DAE935" w14:textId="77777777" w:rsidR="003F0CDB" w:rsidRPr="00EA0DC7" w:rsidRDefault="003F0CDB" w:rsidP="00BA74BC">
            <w:pPr>
              <w:spacing w:before="240" w:after="120" w:line="240" w:lineRule="auto"/>
              <w:jc w:val="center"/>
              <w:rPr>
                <w:rFonts w:eastAsia="Times New Roman" w:cs="Arial"/>
                <w:b/>
                <w:bCs/>
                <w:szCs w:val="24"/>
              </w:rPr>
            </w:pPr>
            <w:r w:rsidRPr="00EA0DC7">
              <w:rPr>
                <w:rFonts w:eastAsia="Times New Roman" w:cs="Arial"/>
                <w:b/>
                <w:bCs/>
                <w:szCs w:val="24"/>
              </w:rPr>
              <w:t>Focus on client</w:t>
            </w:r>
          </w:p>
        </w:tc>
        <w:tc>
          <w:tcPr>
            <w:tcW w:w="1984" w:type="dxa"/>
            <w:tcBorders>
              <w:top w:val="single" w:sz="4" w:space="0" w:color="auto"/>
              <w:left w:val="nil"/>
              <w:bottom w:val="single" w:sz="4" w:space="0" w:color="auto"/>
              <w:right w:val="nil"/>
            </w:tcBorders>
            <w:vAlign w:val="center"/>
          </w:tcPr>
          <w:p w14:paraId="3131824D" w14:textId="77777777" w:rsidR="003F0CDB" w:rsidRPr="00EA0DC7" w:rsidRDefault="003F0CDB" w:rsidP="00BA74BC">
            <w:pPr>
              <w:spacing w:before="240" w:after="120" w:line="240" w:lineRule="auto"/>
              <w:jc w:val="center"/>
              <w:rPr>
                <w:rFonts w:eastAsia="Times New Roman" w:cs="Arial"/>
                <w:b/>
                <w:bCs/>
                <w:szCs w:val="24"/>
              </w:rPr>
            </w:pPr>
            <w:r w:rsidRPr="00EA0DC7">
              <w:rPr>
                <w:rFonts w:eastAsia="Times New Roman" w:cs="Arial"/>
                <w:b/>
                <w:szCs w:val="24"/>
              </w:rPr>
              <w:t>Client's personal characteristics</w:t>
            </w:r>
          </w:p>
        </w:tc>
        <w:tc>
          <w:tcPr>
            <w:tcW w:w="1986" w:type="dxa"/>
            <w:gridSpan w:val="2"/>
            <w:tcBorders>
              <w:top w:val="single" w:sz="4" w:space="0" w:color="auto"/>
              <w:left w:val="nil"/>
              <w:bottom w:val="single" w:sz="4" w:space="0" w:color="auto"/>
              <w:right w:val="nil"/>
            </w:tcBorders>
            <w:vAlign w:val="center"/>
          </w:tcPr>
          <w:p w14:paraId="53609AF7" w14:textId="77777777" w:rsidR="003F0CDB" w:rsidRPr="00EA0DC7" w:rsidRDefault="003F0CDB" w:rsidP="00BA74BC">
            <w:pPr>
              <w:spacing w:before="240" w:after="120" w:line="240" w:lineRule="auto"/>
              <w:jc w:val="center"/>
              <w:rPr>
                <w:rFonts w:eastAsia="Times New Roman" w:cs="Arial"/>
                <w:b/>
                <w:bCs/>
                <w:szCs w:val="24"/>
              </w:rPr>
            </w:pPr>
            <w:r w:rsidRPr="00EA0DC7">
              <w:rPr>
                <w:rFonts w:eastAsia="Times New Roman" w:cs="Arial"/>
                <w:b/>
                <w:szCs w:val="24"/>
              </w:rPr>
              <w:t>Client’s culture/ ethnicity</w:t>
            </w:r>
          </w:p>
        </w:tc>
        <w:tc>
          <w:tcPr>
            <w:tcW w:w="1134" w:type="dxa"/>
            <w:tcBorders>
              <w:top w:val="single" w:sz="4" w:space="0" w:color="auto"/>
              <w:left w:val="nil"/>
              <w:bottom w:val="single" w:sz="4" w:space="0" w:color="auto"/>
              <w:right w:val="nil"/>
            </w:tcBorders>
            <w:vAlign w:val="center"/>
          </w:tcPr>
          <w:p w14:paraId="3C25CB26" w14:textId="77777777" w:rsidR="003F0CDB" w:rsidRPr="00EA0DC7" w:rsidRDefault="003F0CDB" w:rsidP="00BA74BC">
            <w:pPr>
              <w:spacing w:before="240" w:after="120" w:line="240" w:lineRule="auto"/>
              <w:jc w:val="center"/>
              <w:rPr>
                <w:rFonts w:eastAsia="Times New Roman" w:cs="Arial"/>
                <w:b/>
                <w:bCs/>
                <w:szCs w:val="24"/>
              </w:rPr>
            </w:pPr>
            <w:r w:rsidRPr="00EA0DC7">
              <w:rPr>
                <w:rFonts w:eastAsia="Times New Roman" w:cs="Arial"/>
                <w:b/>
                <w:szCs w:val="24"/>
              </w:rPr>
              <w:t>Client’s gender</w:t>
            </w:r>
          </w:p>
        </w:tc>
        <w:tc>
          <w:tcPr>
            <w:tcW w:w="1701" w:type="dxa"/>
            <w:gridSpan w:val="2"/>
            <w:tcBorders>
              <w:top w:val="single" w:sz="4" w:space="0" w:color="auto"/>
              <w:left w:val="nil"/>
              <w:bottom w:val="single" w:sz="4" w:space="0" w:color="auto"/>
              <w:right w:val="nil"/>
            </w:tcBorders>
            <w:vAlign w:val="center"/>
          </w:tcPr>
          <w:p w14:paraId="10EF4D58" w14:textId="77777777" w:rsidR="003F0CDB" w:rsidRPr="00EA0DC7" w:rsidRDefault="003F0CDB" w:rsidP="00BA74BC">
            <w:pPr>
              <w:spacing w:before="240" w:after="120" w:line="240" w:lineRule="auto"/>
              <w:jc w:val="center"/>
              <w:rPr>
                <w:rFonts w:eastAsia="Times New Roman" w:cs="Arial"/>
                <w:b/>
                <w:bCs/>
                <w:szCs w:val="24"/>
              </w:rPr>
            </w:pPr>
            <w:r w:rsidRPr="00EA0DC7">
              <w:rPr>
                <w:rFonts w:eastAsia="Times New Roman" w:cs="Arial"/>
                <w:b/>
                <w:szCs w:val="24"/>
              </w:rPr>
              <w:t>Client’s expectations</w:t>
            </w:r>
          </w:p>
        </w:tc>
        <w:tc>
          <w:tcPr>
            <w:tcW w:w="1757" w:type="dxa"/>
            <w:gridSpan w:val="3"/>
            <w:tcBorders>
              <w:top w:val="single" w:sz="4" w:space="0" w:color="auto"/>
              <w:left w:val="nil"/>
              <w:bottom w:val="single" w:sz="4" w:space="0" w:color="auto"/>
              <w:right w:val="nil"/>
            </w:tcBorders>
            <w:vAlign w:val="center"/>
          </w:tcPr>
          <w:p w14:paraId="4776E8F5" w14:textId="77777777" w:rsidR="003F0CDB" w:rsidRPr="00EA0DC7" w:rsidRDefault="003F0CDB" w:rsidP="00BA74BC">
            <w:pPr>
              <w:spacing w:before="240" w:after="120" w:line="240" w:lineRule="auto"/>
              <w:jc w:val="center"/>
              <w:rPr>
                <w:rFonts w:eastAsia="Times New Roman" w:cs="Arial"/>
                <w:b/>
                <w:szCs w:val="24"/>
              </w:rPr>
            </w:pPr>
            <w:r w:rsidRPr="00EA0DC7">
              <w:rPr>
                <w:rFonts w:eastAsia="Times New Roman" w:cs="Arial"/>
                <w:b/>
                <w:bCs/>
                <w:szCs w:val="24"/>
              </w:rPr>
              <w:t>Development of client</w:t>
            </w:r>
          </w:p>
        </w:tc>
      </w:tr>
      <w:tr w:rsidR="003F0CDB" w:rsidRPr="00EA0DC7" w14:paraId="50BE546D" w14:textId="77777777" w:rsidTr="00F4729C">
        <w:trPr>
          <w:gridAfter w:val="2"/>
          <w:wAfter w:w="1473" w:type="dxa"/>
          <w:trHeight w:val="894"/>
          <w:tblHeader/>
        </w:trPr>
        <w:tc>
          <w:tcPr>
            <w:tcW w:w="3539" w:type="dxa"/>
            <w:tcBorders>
              <w:top w:val="single" w:sz="4" w:space="0" w:color="auto"/>
              <w:left w:val="nil"/>
              <w:right w:val="nil"/>
              <w:tl2br w:val="single" w:sz="4" w:space="0" w:color="auto"/>
            </w:tcBorders>
            <w:shd w:val="clear" w:color="auto" w:fill="auto"/>
            <w:hideMark/>
          </w:tcPr>
          <w:p w14:paraId="55E4E01F" w14:textId="77777777" w:rsidR="003F0CDB" w:rsidRPr="00EA0DC7" w:rsidRDefault="003F0CDB" w:rsidP="00BA74BC">
            <w:pPr>
              <w:spacing w:before="240" w:after="0" w:line="240" w:lineRule="auto"/>
              <w:jc w:val="right"/>
              <w:rPr>
                <w:rFonts w:eastAsia="Times New Roman" w:cs="Arial"/>
                <w:b/>
                <w:szCs w:val="24"/>
              </w:rPr>
            </w:pPr>
            <w:r w:rsidRPr="00EA0DC7">
              <w:rPr>
                <w:rFonts w:eastAsia="Times New Roman" w:cs="Arial"/>
                <w:b/>
                <w:szCs w:val="24"/>
              </w:rPr>
              <w:t>No. of models</w:t>
            </w:r>
          </w:p>
          <w:p w14:paraId="4876EBB0" w14:textId="77777777" w:rsidR="003F0CDB" w:rsidRPr="00EA0DC7" w:rsidRDefault="003F0CDB" w:rsidP="00957911">
            <w:pPr>
              <w:spacing w:after="0" w:line="240" w:lineRule="auto"/>
              <w:jc w:val="right"/>
              <w:rPr>
                <w:rFonts w:eastAsia="Times New Roman" w:cs="Arial"/>
                <w:b/>
                <w:szCs w:val="24"/>
              </w:rPr>
            </w:pPr>
            <w:r w:rsidRPr="00EA0DC7">
              <w:rPr>
                <w:rFonts w:eastAsia="Times New Roman" w:cs="Arial"/>
                <w:b/>
                <w:szCs w:val="24"/>
              </w:rPr>
              <w:t>with</w:t>
            </w:r>
          </w:p>
          <w:p w14:paraId="153CA465" w14:textId="77777777" w:rsidR="003F0CDB" w:rsidRPr="00EA0DC7" w:rsidRDefault="003F0CDB" w:rsidP="00957911">
            <w:pPr>
              <w:spacing w:after="0" w:line="240" w:lineRule="auto"/>
              <w:jc w:val="right"/>
              <w:rPr>
                <w:rFonts w:eastAsia="Times New Roman" w:cs="Arial"/>
                <w:b/>
                <w:bCs/>
                <w:szCs w:val="24"/>
              </w:rPr>
            </w:pPr>
            <w:r w:rsidRPr="00EA0DC7">
              <w:rPr>
                <w:rFonts w:eastAsia="Times New Roman" w:cs="Arial"/>
                <w:b/>
                <w:szCs w:val="24"/>
              </w:rPr>
              <w:t>element</w:t>
            </w:r>
            <w:r w:rsidRPr="00EA0DC7">
              <w:rPr>
                <w:rFonts w:eastAsia="Times New Roman" w:cs="Arial"/>
                <w:b/>
                <w:bCs/>
                <w:szCs w:val="24"/>
              </w:rPr>
              <w:t xml:space="preserve"> </w:t>
            </w:r>
          </w:p>
          <w:p w14:paraId="527B67EB" w14:textId="77777777" w:rsidR="003F0CDB" w:rsidRPr="00EA0DC7" w:rsidRDefault="003F0CDB" w:rsidP="00BA74BC">
            <w:pPr>
              <w:spacing w:line="240" w:lineRule="auto"/>
              <w:rPr>
                <w:rFonts w:eastAsia="Times New Roman" w:cs="Arial"/>
                <w:b/>
                <w:bCs/>
                <w:szCs w:val="24"/>
              </w:rPr>
            </w:pPr>
            <w:r w:rsidRPr="00EA0DC7">
              <w:rPr>
                <w:rFonts w:eastAsia="Times New Roman" w:cs="Arial"/>
                <w:b/>
                <w:bCs/>
                <w:szCs w:val="24"/>
              </w:rPr>
              <w:t>Model/ approach</w:t>
            </w:r>
          </w:p>
        </w:tc>
        <w:tc>
          <w:tcPr>
            <w:tcW w:w="1419" w:type="dxa"/>
            <w:tcBorders>
              <w:top w:val="single" w:sz="4" w:space="0" w:color="auto"/>
              <w:left w:val="nil"/>
              <w:right w:val="nil"/>
            </w:tcBorders>
            <w:shd w:val="clear" w:color="auto" w:fill="auto"/>
            <w:vAlign w:val="center"/>
            <w:hideMark/>
          </w:tcPr>
          <w:p w14:paraId="634E892C"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25</w:t>
            </w:r>
          </w:p>
          <w:p w14:paraId="56F13EEA"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(48.08%)</w:t>
            </w:r>
          </w:p>
        </w:tc>
        <w:tc>
          <w:tcPr>
            <w:tcW w:w="1984" w:type="dxa"/>
            <w:tcBorders>
              <w:top w:val="single" w:sz="4" w:space="0" w:color="auto"/>
              <w:left w:val="nil"/>
              <w:right w:val="nil"/>
            </w:tcBorders>
            <w:vAlign w:val="center"/>
          </w:tcPr>
          <w:p w14:paraId="0007805C"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w:t>
            </w:r>
          </w:p>
          <w:p w14:paraId="3AD40BBC"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(7.69%)</w:t>
            </w:r>
          </w:p>
        </w:tc>
        <w:tc>
          <w:tcPr>
            <w:tcW w:w="1986" w:type="dxa"/>
            <w:gridSpan w:val="2"/>
            <w:tcBorders>
              <w:top w:val="single" w:sz="4" w:space="0" w:color="auto"/>
              <w:left w:val="nil"/>
              <w:right w:val="nil"/>
            </w:tcBorders>
            <w:vAlign w:val="center"/>
          </w:tcPr>
          <w:p w14:paraId="73D2FB9E"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w:t>
            </w:r>
          </w:p>
          <w:p w14:paraId="000BDF74"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(7.69%)</w:t>
            </w:r>
          </w:p>
        </w:tc>
        <w:tc>
          <w:tcPr>
            <w:tcW w:w="1134" w:type="dxa"/>
            <w:tcBorders>
              <w:top w:val="single" w:sz="4" w:space="0" w:color="auto"/>
              <w:left w:val="nil"/>
              <w:right w:val="nil"/>
            </w:tcBorders>
            <w:vAlign w:val="center"/>
          </w:tcPr>
          <w:p w14:paraId="62880CC7"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w:t>
            </w:r>
          </w:p>
          <w:p w14:paraId="185F0B82"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(3.85%)</w:t>
            </w:r>
          </w:p>
        </w:tc>
        <w:tc>
          <w:tcPr>
            <w:tcW w:w="1701" w:type="dxa"/>
            <w:gridSpan w:val="2"/>
            <w:tcBorders>
              <w:top w:val="single" w:sz="4" w:space="0" w:color="auto"/>
              <w:left w:val="nil"/>
              <w:right w:val="nil"/>
            </w:tcBorders>
            <w:vAlign w:val="center"/>
          </w:tcPr>
          <w:p w14:paraId="114939D8"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w:t>
            </w:r>
          </w:p>
          <w:p w14:paraId="413CCF1D"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(1.92%)</w:t>
            </w:r>
          </w:p>
        </w:tc>
        <w:tc>
          <w:tcPr>
            <w:tcW w:w="1757" w:type="dxa"/>
            <w:gridSpan w:val="3"/>
            <w:tcBorders>
              <w:top w:val="single" w:sz="4" w:space="0" w:color="auto"/>
              <w:left w:val="nil"/>
              <w:right w:val="nil"/>
            </w:tcBorders>
            <w:vAlign w:val="center"/>
          </w:tcPr>
          <w:p w14:paraId="54E2557D"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w:t>
            </w:r>
          </w:p>
          <w:p w14:paraId="09F680F8"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(1.92%)</w:t>
            </w:r>
          </w:p>
        </w:tc>
      </w:tr>
      <w:tr w:rsidR="003F0CDB" w:rsidRPr="00EA0DC7" w14:paraId="6E3349E8" w14:textId="77777777" w:rsidTr="00F4729C">
        <w:trPr>
          <w:gridAfter w:val="2"/>
          <w:wAfter w:w="1473" w:type="dxa"/>
          <w:trHeight w:val="573"/>
          <w:tblHeader/>
        </w:trPr>
        <w:tc>
          <w:tcPr>
            <w:tcW w:w="3539" w:type="dxa"/>
            <w:tcBorders>
              <w:left w:val="nil"/>
              <w:bottom w:val="nil"/>
              <w:right w:val="nil"/>
            </w:tcBorders>
            <w:shd w:val="clear" w:color="auto" w:fill="auto"/>
            <w:hideMark/>
          </w:tcPr>
          <w:p w14:paraId="30B9CB7D" w14:textId="77777777" w:rsidR="003F0CDB" w:rsidRPr="00EA0DC7" w:rsidRDefault="003F0CDB" w:rsidP="00BA74BC">
            <w:pPr>
              <w:spacing w:before="240" w:line="240" w:lineRule="auto"/>
              <w:jc w:val="left"/>
              <w:rPr>
                <w:rFonts w:eastAsia="Times New Roman" w:cs="Arial"/>
                <w:szCs w:val="24"/>
              </w:rPr>
            </w:pPr>
            <w:r w:rsidRPr="00EA0DC7">
              <w:rPr>
                <w:rFonts w:eastAsia="Times New Roman" w:cs="Arial"/>
                <w:szCs w:val="24"/>
              </w:rPr>
              <w:t>Hogan (1964)</w:t>
            </w:r>
          </w:p>
        </w:tc>
        <w:tc>
          <w:tcPr>
            <w:tcW w:w="1419" w:type="dxa"/>
            <w:tcBorders>
              <w:left w:val="nil"/>
              <w:bottom w:val="nil"/>
              <w:right w:val="nil"/>
            </w:tcBorders>
            <w:shd w:val="clear" w:color="auto" w:fill="auto"/>
            <w:noWrap/>
            <w:hideMark/>
          </w:tcPr>
          <w:p w14:paraId="62C057D8" w14:textId="77777777" w:rsidR="003F0CDB" w:rsidRPr="00EA0DC7" w:rsidRDefault="003F0CDB" w:rsidP="00BA74BC">
            <w:pPr>
              <w:spacing w:before="240" w:line="240" w:lineRule="auto"/>
              <w:jc w:val="center"/>
              <w:rPr>
                <w:rFonts w:eastAsia="Times New Roman" w:cs="Arial"/>
                <w:szCs w:val="24"/>
              </w:rPr>
            </w:pPr>
          </w:p>
        </w:tc>
        <w:tc>
          <w:tcPr>
            <w:tcW w:w="1984" w:type="dxa"/>
            <w:tcBorders>
              <w:left w:val="nil"/>
              <w:bottom w:val="nil"/>
              <w:right w:val="nil"/>
            </w:tcBorders>
          </w:tcPr>
          <w:p w14:paraId="07F6E6B8" w14:textId="77777777" w:rsidR="003F0CDB" w:rsidRPr="00EA0DC7" w:rsidRDefault="003F0CDB" w:rsidP="00BA74BC">
            <w:pPr>
              <w:spacing w:before="240" w:line="240" w:lineRule="auto"/>
              <w:jc w:val="center"/>
              <w:rPr>
                <w:rFonts w:eastAsia="Times New Roman" w:cs="Arial"/>
                <w:szCs w:val="24"/>
              </w:rPr>
            </w:pPr>
          </w:p>
        </w:tc>
        <w:tc>
          <w:tcPr>
            <w:tcW w:w="1986" w:type="dxa"/>
            <w:gridSpan w:val="2"/>
            <w:tcBorders>
              <w:left w:val="nil"/>
              <w:bottom w:val="nil"/>
              <w:right w:val="nil"/>
            </w:tcBorders>
          </w:tcPr>
          <w:p w14:paraId="25FDCDE1" w14:textId="77777777" w:rsidR="003F0CDB" w:rsidRPr="00EA0DC7" w:rsidRDefault="003F0CDB" w:rsidP="00BA74BC">
            <w:pPr>
              <w:spacing w:before="240" w:line="240" w:lineRule="auto"/>
              <w:jc w:val="center"/>
              <w:rPr>
                <w:rFonts w:eastAsia="Times New Roman" w:cs="Arial"/>
                <w:szCs w:val="24"/>
              </w:rPr>
            </w:pPr>
          </w:p>
        </w:tc>
        <w:tc>
          <w:tcPr>
            <w:tcW w:w="1134" w:type="dxa"/>
            <w:tcBorders>
              <w:left w:val="nil"/>
              <w:bottom w:val="nil"/>
              <w:right w:val="nil"/>
            </w:tcBorders>
          </w:tcPr>
          <w:p w14:paraId="14CFEA96" w14:textId="77777777" w:rsidR="003F0CDB" w:rsidRPr="00EA0DC7" w:rsidRDefault="003F0CDB" w:rsidP="00BA74BC">
            <w:pPr>
              <w:spacing w:before="240" w:line="240" w:lineRule="auto"/>
              <w:jc w:val="center"/>
              <w:rPr>
                <w:rFonts w:eastAsia="Times New Roman" w:cs="Arial"/>
                <w:szCs w:val="24"/>
              </w:rPr>
            </w:pPr>
          </w:p>
        </w:tc>
        <w:tc>
          <w:tcPr>
            <w:tcW w:w="1701" w:type="dxa"/>
            <w:gridSpan w:val="2"/>
            <w:tcBorders>
              <w:left w:val="nil"/>
              <w:bottom w:val="nil"/>
              <w:right w:val="nil"/>
            </w:tcBorders>
          </w:tcPr>
          <w:p w14:paraId="076738AA" w14:textId="77777777" w:rsidR="003F0CDB" w:rsidRPr="00EA0DC7" w:rsidRDefault="003F0CDB" w:rsidP="00BA74BC">
            <w:pPr>
              <w:spacing w:before="240" w:line="240" w:lineRule="auto"/>
              <w:jc w:val="center"/>
              <w:rPr>
                <w:rFonts w:eastAsia="Times New Roman" w:cs="Arial"/>
                <w:szCs w:val="24"/>
              </w:rPr>
            </w:pPr>
          </w:p>
        </w:tc>
        <w:tc>
          <w:tcPr>
            <w:tcW w:w="1757" w:type="dxa"/>
            <w:gridSpan w:val="3"/>
            <w:tcBorders>
              <w:left w:val="nil"/>
              <w:bottom w:val="nil"/>
              <w:right w:val="nil"/>
            </w:tcBorders>
          </w:tcPr>
          <w:p w14:paraId="1DF57FC4" w14:textId="77777777" w:rsidR="003F0CDB" w:rsidRPr="00EA0DC7" w:rsidRDefault="003F0CDB" w:rsidP="00BA74BC">
            <w:pPr>
              <w:spacing w:before="240" w:line="240" w:lineRule="auto"/>
              <w:jc w:val="center"/>
              <w:rPr>
                <w:rFonts w:eastAsia="Times New Roman" w:cs="Arial"/>
                <w:szCs w:val="24"/>
              </w:rPr>
            </w:pPr>
          </w:p>
        </w:tc>
      </w:tr>
      <w:tr w:rsidR="003F0CDB" w:rsidRPr="00EA0DC7" w14:paraId="6C446301" w14:textId="77777777" w:rsidTr="009A63E8">
        <w:trPr>
          <w:gridAfter w:val="2"/>
          <w:wAfter w:w="1473" w:type="dxa"/>
          <w:trHeight w:val="423"/>
          <w:tblHeader/>
        </w:trPr>
        <w:tc>
          <w:tcPr>
            <w:tcW w:w="3539" w:type="dxa"/>
            <w:tcBorders>
              <w:top w:val="nil"/>
              <w:left w:val="nil"/>
              <w:bottom w:val="nil"/>
              <w:right w:val="nil"/>
            </w:tcBorders>
            <w:shd w:val="clear" w:color="auto" w:fill="auto"/>
            <w:hideMark/>
          </w:tcPr>
          <w:p w14:paraId="40A742F7"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Ekstein &amp; Wallerstein (1972)</w:t>
            </w:r>
          </w:p>
        </w:tc>
        <w:tc>
          <w:tcPr>
            <w:tcW w:w="1419" w:type="dxa"/>
            <w:tcBorders>
              <w:top w:val="nil"/>
              <w:left w:val="nil"/>
              <w:bottom w:val="nil"/>
              <w:right w:val="nil"/>
            </w:tcBorders>
            <w:shd w:val="clear" w:color="auto" w:fill="auto"/>
            <w:noWrap/>
            <w:hideMark/>
          </w:tcPr>
          <w:p w14:paraId="6BC0D6F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6003CEBE"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0D1F4989"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0454BF93"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424623B9"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17D54853" w14:textId="77777777" w:rsidR="003F0CDB" w:rsidRPr="00EA0DC7" w:rsidRDefault="003F0CDB" w:rsidP="00957911">
            <w:pPr>
              <w:spacing w:line="240" w:lineRule="auto"/>
              <w:jc w:val="center"/>
              <w:rPr>
                <w:rFonts w:eastAsia="Times New Roman" w:cs="Arial"/>
                <w:szCs w:val="24"/>
              </w:rPr>
            </w:pPr>
          </w:p>
        </w:tc>
      </w:tr>
      <w:tr w:rsidR="003F0CDB" w:rsidRPr="00EA0DC7" w14:paraId="1628BDEA" w14:textId="77777777" w:rsidTr="009A63E8">
        <w:trPr>
          <w:gridAfter w:val="2"/>
          <w:wAfter w:w="1473" w:type="dxa"/>
          <w:trHeight w:val="80"/>
          <w:tblHeader/>
        </w:trPr>
        <w:tc>
          <w:tcPr>
            <w:tcW w:w="3539" w:type="dxa"/>
            <w:tcBorders>
              <w:top w:val="nil"/>
              <w:left w:val="nil"/>
              <w:bottom w:val="nil"/>
              <w:right w:val="nil"/>
            </w:tcBorders>
            <w:shd w:val="clear" w:color="auto" w:fill="auto"/>
            <w:hideMark/>
          </w:tcPr>
          <w:p w14:paraId="169708D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Mueller &amp; Kell (1971)</w:t>
            </w:r>
          </w:p>
        </w:tc>
        <w:tc>
          <w:tcPr>
            <w:tcW w:w="1419" w:type="dxa"/>
            <w:tcBorders>
              <w:top w:val="nil"/>
              <w:left w:val="nil"/>
              <w:bottom w:val="nil"/>
              <w:right w:val="nil"/>
            </w:tcBorders>
            <w:shd w:val="clear" w:color="auto" w:fill="auto"/>
            <w:noWrap/>
            <w:hideMark/>
          </w:tcPr>
          <w:p w14:paraId="3B39D95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3552FCC0"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4BB7230C"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4BC86045"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612219E5"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7448566E" w14:textId="77777777" w:rsidR="003F0CDB" w:rsidRPr="00EA0DC7" w:rsidRDefault="003F0CDB" w:rsidP="00957911">
            <w:pPr>
              <w:spacing w:line="240" w:lineRule="auto"/>
              <w:jc w:val="center"/>
              <w:rPr>
                <w:rFonts w:eastAsia="Times New Roman" w:cs="Arial"/>
                <w:szCs w:val="24"/>
              </w:rPr>
            </w:pPr>
          </w:p>
        </w:tc>
      </w:tr>
      <w:tr w:rsidR="003F0CDB" w:rsidRPr="00EA0DC7" w14:paraId="1689D7BB" w14:textId="77777777" w:rsidTr="009A63E8">
        <w:trPr>
          <w:gridAfter w:val="2"/>
          <w:wAfter w:w="1473" w:type="dxa"/>
          <w:trHeight w:val="80"/>
          <w:tblHeader/>
        </w:trPr>
        <w:tc>
          <w:tcPr>
            <w:tcW w:w="3539" w:type="dxa"/>
            <w:tcBorders>
              <w:top w:val="nil"/>
              <w:left w:val="nil"/>
              <w:bottom w:val="nil"/>
              <w:right w:val="nil"/>
            </w:tcBorders>
            <w:shd w:val="clear" w:color="auto" w:fill="auto"/>
            <w:hideMark/>
          </w:tcPr>
          <w:p w14:paraId="340A688A"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Delaney (1972)</w:t>
            </w:r>
          </w:p>
        </w:tc>
        <w:tc>
          <w:tcPr>
            <w:tcW w:w="1419" w:type="dxa"/>
            <w:tcBorders>
              <w:top w:val="nil"/>
              <w:left w:val="nil"/>
              <w:bottom w:val="nil"/>
              <w:right w:val="nil"/>
            </w:tcBorders>
            <w:shd w:val="clear" w:color="auto" w:fill="auto"/>
            <w:noWrap/>
            <w:hideMark/>
          </w:tcPr>
          <w:p w14:paraId="0E59484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1235C274"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337191A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6ED0E95"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6F5520F9"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2FDEEF29" w14:textId="77777777" w:rsidR="003F0CDB" w:rsidRPr="00EA0DC7" w:rsidRDefault="003F0CDB" w:rsidP="00957911">
            <w:pPr>
              <w:spacing w:line="240" w:lineRule="auto"/>
              <w:jc w:val="center"/>
              <w:rPr>
                <w:rFonts w:eastAsia="Times New Roman" w:cs="Arial"/>
                <w:szCs w:val="24"/>
              </w:rPr>
            </w:pPr>
          </w:p>
        </w:tc>
      </w:tr>
      <w:tr w:rsidR="003F0CDB" w:rsidRPr="00EA0DC7" w14:paraId="2F121B7C" w14:textId="77777777" w:rsidTr="009A63E8">
        <w:trPr>
          <w:gridAfter w:val="2"/>
          <w:wAfter w:w="1473" w:type="dxa"/>
          <w:trHeight w:val="80"/>
          <w:tblHeader/>
        </w:trPr>
        <w:tc>
          <w:tcPr>
            <w:tcW w:w="3539" w:type="dxa"/>
            <w:tcBorders>
              <w:top w:val="nil"/>
              <w:left w:val="nil"/>
              <w:bottom w:val="nil"/>
              <w:right w:val="nil"/>
            </w:tcBorders>
            <w:shd w:val="clear" w:color="auto" w:fill="auto"/>
            <w:hideMark/>
          </w:tcPr>
          <w:p w14:paraId="4125E09F"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Ard (1973)</w:t>
            </w:r>
          </w:p>
        </w:tc>
        <w:tc>
          <w:tcPr>
            <w:tcW w:w="1419" w:type="dxa"/>
            <w:tcBorders>
              <w:top w:val="nil"/>
              <w:left w:val="nil"/>
              <w:bottom w:val="nil"/>
              <w:right w:val="nil"/>
            </w:tcBorders>
            <w:shd w:val="clear" w:color="auto" w:fill="auto"/>
            <w:noWrap/>
            <w:hideMark/>
          </w:tcPr>
          <w:p w14:paraId="65271CB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2886447F"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41FE7AB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5AB61891"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16D94FF7"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29DD6FAD" w14:textId="77777777" w:rsidR="003F0CDB" w:rsidRPr="00EA0DC7" w:rsidRDefault="003F0CDB" w:rsidP="00957911">
            <w:pPr>
              <w:spacing w:line="240" w:lineRule="auto"/>
              <w:jc w:val="center"/>
              <w:rPr>
                <w:rFonts w:eastAsia="Times New Roman" w:cs="Arial"/>
                <w:szCs w:val="24"/>
              </w:rPr>
            </w:pPr>
          </w:p>
        </w:tc>
      </w:tr>
      <w:tr w:rsidR="003F0CDB" w:rsidRPr="00EA0DC7" w14:paraId="54FEF742" w14:textId="77777777" w:rsidTr="009A63E8">
        <w:trPr>
          <w:gridAfter w:val="2"/>
          <w:wAfter w:w="1473" w:type="dxa"/>
          <w:trHeight w:val="80"/>
          <w:tblHeader/>
        </w:trPr>
        <w:tc>
          <w:tcPr>
            <w:tcW w:w="3539" w:type="dxa"/>
            <w:tcBorders>
              <w:top w:val="nil"/>
              <w:left w:val="nil"/>
              <w:bottom w:val="nil"/>
              <w:right w:val="nil"/>
            </w:tcBorders>
            <w:shd w:val="clear" w:color="auto" w:fill="auto"/>
            <w:hideMark/>
          </w:tcPr>
          <w:p w14:paraId="64B54381"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Bernard (1979)</w:t>
            </w:r>
          </w:p>
        </w:tc>
        <w:tc>
          <w:tcPr>
            <w:tcW w:w="1419" w:type="dxa"/>
            <w:tcBorders>
              <w:top w:val="nil"/>
              <w:left w:val="nil"/>
              <w:bottom w:val="nil"/>
              <w:right w:val="nil"/>
            </w:tcBorders>
            <w:shd w:val="clear" w:color="auto" w:fill="auto"/>
            <w:noWrap/>
            <w:hideMark/>
          </w:tcPr>
          <w:p w14:paraId="18EB957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20D0C0E8"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0385483F"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B3142B3"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1BD88E24"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5DD1CEFF" w14:textId="77777777" w:rsidR="003F0CDB" w:rsidRPr="00EA0DC7" w:rsidRDefault="003F0CDB" w:rsidP="00957911">
            <w:pPr>
              <w:spacing w:line="240" w:lineRule="auto"/>
              <w:jc w:val="center"/>
              <w:rPr>
                <w:rFonts w:eastAsia="Times New Roman" w:cs="Arial"/>
                <w:szCs w:val="24"/>
              </w:rPr>
            </w:pPr>
          </w:p>
        </w:tc>
      </w:tr>
      <w:tr w:rsidR="003F0CDB" w:rsidRPr="00EA0DC7" w14:paraId="2C83B9DE" w14:textId="77777777" w:rsidTr="009A63E8">
        <w:trPr>
          <w:gridAfter w:val="2"/>
          <w:wAfter w:w="1473" w:type="dxa"/>
          <w:trHeight w:val="80"/>
          <w:tblHeader/>
        </w:trPr>
        <w:tc>
          <w:tcPr>
            <w:tcW w:w="3539" w:type="dxa"/>
            <w:tcBorders>
              <w:top w:val="nil"/>
              <w:left w:val="nil"/>
              <w:bottom w:val="nil"/>
              <w:right w:val="nil"/>
            </w:tcBorders>
            <w:shd w:val="clear" w:color="auto" w:fill="auto"/>
            <w:hideMark/>
          </w:tcPr>
          <w:p w14:paraId="54608B06"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Littrell et al. (1979)</w:t>
            </w:r>
          </w:p>
        </w:tc>
        <w:tc>
          <w:tcPr>
            <w:tcW w:w="1419" w:type="dxa"/>
            <w:tcBorders>
              <w:top w:val="nil"/>
              <w:left w:val="nil"/>
              <w:bottom w:val="nil"/>
              <w:right w:val="nil"/>
            </w:tcBorders>
            <w:shd w:val="clear" w:color="auto" w:fill="auto"/>
            <w:noWrap/>
            <w:hideMark/>
          </w:tcPr>
          <w:p w14:paraId="16C23C2D"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348B3967"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nil"/>
              <w:right w:val="nil"/>
            </w:tcBorders>
          </w:tcPr>
          <w:p w14:paraId="5C2600F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38FF76FE"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nil"/>
              <w:right w:val="nil"/>
            </w:tcBorders>
          </w:tcPr>
          <w:p w14:paraId="3B84CCC2"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nil"/>
              <w:right w:val="nil"/>
            </w:tcBorders>
          </w:tcPr>
          <w:p w14:paraId="70B00A30" w14:textId="77777777" w:rsidR="003F0CDB" w:rsidRPr="00EA0DC7" w:rsidRDefault="003F0CDB" w:rsidP="00957911">
            <w:pPr>
              <w:spacing w:line="240" w:lineRule="auto"/>
              <w:jc w:val="center"/>
              <w:rPr>
                <w:rFonts w:eastAsia="Times New Roman" w:cs="Arial"/>
                <w:szCs w:val="24"/>
              </w:rPr>
            </w:pPr>
          </w:p>
        </w:tc>
      </w:tr>
      <w:tr w:rsidR="003F0CDB" w:rsidRPr="00EA0DC7" w14:paraId="25C42109" w14:textId="77777777" w:rsidTr="009A63E8">
        <w:trPr>
          <w:gridAfter w:val="2"/>
          <w:wAfter w:w="1473" w:type="dxa"/>
          <w:trHeight w:val="459"/>
          <w:tblHeader/>
        </w:trPr>
        <w:tc>
          <w:tcPr>
            <w:tcW w:w="3539" w:type="dxa"/>
            <w:tcBorders>
              <w:top w:val="nil"/>
              <w:left w:val="nil"/>
              <w:bottom w:val="single" w:sz="4" w:space="0" w:color="auto"/>
              <w:right w:val="nil"/>
            </w:tcBorders>
            <w:shd w:val="clear" w:color="auto" w:fill="auto"/>
            <w:hideMark/>
          </w:tcPr>
          <w:p w14:paraId="547E38D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Langs (1980)</w:t>
            </w:r>
          </w:p>
        </w:tc>
        <w:tc>
          <w:tcPr>
            <w:tcW w:w="1419" w:type="dxa"/>
            <w:tcBorders>
              <w:top w:val="nil"/>
              <w:left w:val="nil"/>
              <w:bottom w:val="single" w:sz="4" w:space="0" w:color="auto"/>
              <w:right w:val="nil"/>
            </w:tcBorders>
            <w:shd w:val="clear" w:color="auto" w:fill="auto"/>
            <w:noWrap/>
            <w:hideMark/>
          </w:tcPr>
          <w:p w14:paraId="0956622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single" w:sz="4" w:space="0" w:color="auto"/>
              <w:right w:val="nil"/>
            </w:tcBorders>
          </w:tcPr>
          <w:p w14:paraId="51FF21F1" w14:textId="77777777" w:rsidR="003F0CDB" w:rsidRPr="00EA0DC7" w:rsidRDefault="003F0CDB" w:rsidP="00957911">
            <w:pPr>
              <w:spacing w:line="240" w:lineRule="auto"/>
              <w:jc w:val="center"/>
              <w:rPr>
                <w:rFonts w:eastAsia="Times New Roman" w:cs="Arial"/>
                <w:szCs w:val="24"/>
              </w:rPr>
            </w:pPr>
          </w:p>
        </w:tc>
        <w:tc>
          <w:tcPr>
            <w:tcW w:w="1986" w:type="dxa"/>
            <w:gridSpan w:val="2"/>
            <w:tcBorders>
              <w:top w:val="nil"/>
              <w:left w:val="nil"/>
              <w:bottom w:val="single" w:sz="4" w:space="0" w:color="auto"/>
              <w:right w:val="nil"/>
            </w:tcBorders>
          </w:tcPr>
          <w:p w14:paraId="43C5FCD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single" w:sz="4" w:space="0" w:color="auto"/>
              <w:right w:val="nil"/>
            </w:tcBorders>
          </w:tcPr>
          <w:p w14:paraId="1D824363" w14:textId="77777777" w:rsidR="003F0CDB" w:rsidRPr="00EA0DC7" w:rsidRDefault="003F0CDB" w:rsidP="00957911">
            <w:pPr>
              <w:spacing w:line="240" w:lineRule="auto"/>
              <w:jc w:val="center"/>
              <w:rPr>
                <w:rFonts w:eastAsia="Times New Roman" w:cs="Arial"/>
                <w:szCs w:val="24"/>
              </w:rPr>
            </w:pPr>
          </w:p>
        </w:tc>
        <w:tc>
          <w:tcPr>
            <w:tcW w:w="1701" w:type="dxa"/>
            <w:gridSpan w:val="2"/>
            <w:tcBorders>
              <w:top w:val="nil"/>
              <w:left w:val="nil"/>
              <w:bottom w:val="single" w:sz="4" w:space="0" w:color="auto"/>
              <w:right w:val="nil"/>
            </w:tcBorders>
          </w:tcPr>
          <w:p w14:paraId="29600109" w14:textId="77777777" w:rsidR="003F0CDB" w:rsidRPr="00EA0DC7" w:rsidRDefault="003F0CDB" w:rsidP="00957911">
            <w:pPr>
              <w:spacing w:line="240" w:lineRule="auto"/>
              <w:jc w:val="center"/>
              <w:rPr>
                <w:rFonts w:eastAsia="Times New Roman" w:cs="Arial"/>
                <w:szCs w:val="24"/>
              </w:rPr>
            </w:pPr>
          </w:p>
        </w:tc>
        <w:tc>
          <w:tcPr>
            <w:tcW w:w="1757" w:type="dxa"/>
            <w:gridSpan w:val="3"/>
            <w:tcBorders>
              <w:top w:val="nil"/>
              <w:left w:val="nil"/>
              <w:bottom w:val="single" w:sz="4" w:space="0" w:color="auto"/>
              <w:right w:val="nil"/>
            </w:tcBorders>
          </w:tcPr>
          <w:p w14:paraId="63148877" w14:textId="77777777" w:rsidR="003F0CDB" w:rsidRPr="00EA0DC7" w:rsidRDefault="003F0CDB" w:rsidP="00957911">
            <w:pPr>
              <w:spacing w:line="240" w:lineRule="auto"/>
              <w:jc w:val="center"/>
              <w:rPr>
                <w:rFonts w:eastAsia="Times New Roman" w:cs="Arial"/>
                <w:szCs w:val="24"/>
              </w:rPr>
            </w:pPr>
          </w:p>
        </w:tc>
      </w:tr>
    </w:tbl>
    <w:p w14:paraId="5AE120DD" w14:textId="77777777" w:rsidR="00AB5FD6" w:rsidRPr="00EA0DC7" w:rsidRDefault="00AB5FD6" w:rsidP="009A63E8">
      <w:pPr>
        <w:spacing w:before="240" w:line="240" w:lineRule="auto"/>
        <w:jc w:val="center"/>
        <w:rPr>
          <w:rFonts w:eastAsia="Times New Roman" w:cs="Arial"/>
          <w:b/>
          <w:bCs/>
          <w:szCs w:val="24"/>
        </w:rPr>
        <w:sectPr w:rsidR="00AB5FD6" w:rsidRPr="00EA0DC7" w:rsidSect="00071D9D">
          <w:type w:val="nextColumn"/>
          <w:pgSz w:w="16838" w:h="11906" w:orient="landscape"/>
          <w:pgMar w:top="2268" w:right="1440" w:bottom="1440" w:left="1440" w:header="709" w:footer="709" w:gutter="0"/>
          <w:cols w:space="708"/>
          <w:docGrid w:linePitch="360"/>
        </w:sectPr>
      </w:pPr>
    </w:p>
    <w:tbl>
      <w:tblPr>
        <w:tblW w:w="13520" w:type="dxa"/>
        <w:tblLayout w:type="fixed"/>
        <w:tblLook w:val="04A0" w:firstRow="1" w:lastRow="0" w:firstColumn="1" w:lastColumn="0" w:noHBand="0" w:noVBand="1"/>
      </w:tblPr>
      <w:tblGrid>
        <w:gridCol w:w="3539"/>
        <w:gridCol w:w="1419"/>
        <w:gridCol w:w="1984"/>
        <w:gridCol w:w="1986"/>
        <w:gridCol w:w="1134"/>
        <w:gridCol w:w="1701"/>
        <w:gridCol w:w="1757"/>
      </w:tblGrid>
      <w:tr w:rsidR="009A63E8" w:rsidRPr="00EA0DC7" w14:paraId="2A2263D8" w14:textId="77777777" w:rsidTr="00AB5FD6">
        <w:trPr>
          <w:trHeight w:val="235"/>
          <w:tblHeader/>
        </w:trPr>
        <w:tc>
          <w:tcPr>
            <w:tcW w:w="3539" w:type="dxa"/>
            <w:tcBorders>
              <w:top w:val="single" w:sz="4" w:space="0" w:color="auto"/>
              <w:left w:val="nil"/>
              <w:bottom w:val="single" w:sz="4" w:space="0" w:color="auto"/>
              <w:right w:val="nil"/>
            </w:tcBorders>
            <w:shd w:val="clear" w:color="auto" w:fill="auto"/>
            <w:vAlign w:val="center"/>
          </w:tcPr>
          <w:p w14:paraId="074E7F3E" w14:textId="341D15FC" w:rsidR="009A63E8" w:rsidRPr="00EA0DC7" w:rsidRDefault="009A63E8" w:rsidP="009A63E8">
            <w:pPr>
              <w:spacing w:before="240" w:line="240" w:lineRule="auto"/>
              <w:jc w:val="center"/>
              <w:rPr>
                <w:rFonts w:eastAsia="Times New Roman" w:cs="Arial"/>
                <w:b/>
                <w:szCs w:val="24"/>
              </w:rPr>
            </w:pPr>
            <w:r w:rsidRPr="00EA0DC7">
              <w:rPr>
                <w:rFonts w:eastAsia="Times New Roman" w:cs="Arial"/>
                <w:b/>
                <w:bCs/>
                <w:szCs w:val="24"/>
              </w:rPr>
              <w:lastRenderedPageBreak/>
              <w:t>Model/ approach</w:t>
            </w:r>
          </w:p>
        </w:tc>
        <w:tc>
          <w:tcPr>
            <w:tcW w:w="1419" w:type="dxa"/>
            <w:tcBorders>
              <w:top w:val="single" w:sz="4" w:space="0" w:color="auto"/>
              <w:left w:val="nil"/>
              <w:bottom w:val="single" w:sz="4" w:space="0" w:color="auto"/>
              <w:right w:val="nil"/>
            </w:tcBorders>
            <w:shd w:val="clear" w:color="auto" w:fill="auto"/>
            <w:noWrap/>
            <w:vAlign w:val="center"/>
          </w:tcPr>
          <w:p w14:paraId="697431C8" w14:textId="335DC294" w:rsidR="009A63E8" w:rsidRPr="00EA0DC7" w:rsidRDefault="009A63E8" w:rsidP="009A63E8">
            <w:pPr>
              <w:spacing w:before="240" w:line="240" w:lineRule="auto"/>
              <w:jc w:val="center"/>
              <w:rPr>
                <w:rFonts w:eastAsia="Times New Roman" w:cs="Arial"/>
                <w:b/>
                <w:szCs w:val="24"/>
              </w:rPr>
            </w:pPr>
            <w:r w:rsidRPr="00EA0DC7">
              <w:rPr>
                <w:rFonts w:eastAsia="Times New Roman" w:cs="Arial"/>
                <w:b/>
                <w:bCs/>
                <w:szCs w:val="24"/>
              </w:rPr>
              <w:t>Focus on client</w:t>
            </w:r>
          </w:p>
        </w:tc>
        <w:tc>
          <w:tcPr>
            <w:tcW w:w="1984" w:type="dxa"/>
            <w:tcBorders>
              <w:top w:val="single" w:sz="4" w:space="0" w:color="auto"/>
              <w:left w:val="nil"/>
              <w:bottom w:val="single" w:sz="4" w:space="0" w:color="auto"/>
              <w:right w:val="nil"/>
            </w:tcBorders>
            <w:vAlign w:val="center"/>
          </w:tcPr>
          <w:p w14:paraId="29A6B1B4" w14:textId="2EFE6835" w:rsidR="009A63E8" w:rsidRPr="00EA0DC7" w:rsidRDefault="009A63E8" w:rsidP="009A63E8">
            <w:pPr>
              <w:spacing w:before="240" w:line="240" w:lineRule="auto"/>
              <w:jc w:val="center"/>
              <w:rPr>
                <w:rFonts w:eastAsia="Times New Roman" w:cs="Arial"/>
                <w:b/>
                <w:szCs w:val="24"/>
              </w:rPr>
            </w:pPr>
            <w:r w:rsidRPr="00EA0DC7">
              <w:rPr>
                <w:rFonts w:eastAsia="Times New Roman" w:cs="Arial"/>
                <w:b/>
                <w:szCs w:val="24"/>
              </w:rPr>
              <w:t>Client's personal characteristics</w:t>
            </w:r>
          </w:p>
        </w:tc>
        <w:tc>
          <w:tcPr>
            <w:tcW w:w="1986" w:type="dxa"/>
            <w:tcBorders>
              <w:top w:val="single" w:sz="4" w:space="0" w:color="auto"/>
              <w:left w:val="nil"/>
              <w:bottom w:val="single" w:sz="4" w:space="0" w:color="auto"/>
              <w:right w:val="nil"/>
            </w:tcBorders>
            <w:vAlign w:val="center"/>
          </w:tcPr>
          <w:p w14:paraId="7AFC1D61" w14:textId="70F074D2" w:rsidR="009A63E8" w:rsidRPr="00EA0DC7" w:rsidRDefault="009A63E8" w:rsidP="009A63E8">
            <w:pPr>
              <w:spacing w:before="240" w:line="240" w:lineRule="auto"/>
              <w:jc w:val="center"/>
              <w:rPr>
                <w:rFonts w:eastAsia="Times New Roman" w:cs="Arial"/>
                <w:b/>
                <w:szCs w:val="24"/>
              </w:rPr>
            </w:pPr>
            <w:r w:rsidRPr="00EA0DC7">
              <w:rPr>
                <w:rFonts w:eastAsia="Times New Roman" w:cs="Arial"/>
                <w:b/>
                <w:szCs w:val="24"/>
              </w:rPr>
              <w:t>Client’s culture/ ethnicity</w:t>
            </w:r>
          </w:p>
        </w:tc>
        <w:tc>
          <w:tcPr>
            <w:tcW w:w="1134" w:type="dxa"/>
            <w:tcBorders>
              <w:top w:val="single" w:sz="4" w:space="0" w:color="auto"/>
              <w:left w:val="nil"/>
              <w:bottom w:val="single" w:sz="4" w:space="0" w:color="auto"/>
              <w:right w:val="nil"/>
            </w:tcBorders>
            <w:vAlign w:val="center"/>
          </w:tcPr>
          <w:p w14:paraId="35000E05" w14:textId="53BE85A3" w:rsidR="009A63E8" w:rsidRPr="00EA0DC7" w:rsidRDefault="009A63E8" w:rsidP="009A63E8">
            <w:pPr>
              <w:spacing w:before="240" w:line="240" w:lineRule="auto"/>
              <w:jc w:val="center"/>
              <w:rPr>
                <w:rFonts w:eastAsia="Times New Roman" w:cs="Arial"/>
                <w:b/>
                <w:szCs w:val="24"/>
              </w:rPr>
            </w:pPr>
            <w:r w:rsidRPr="00EA0DC7">
              <w:rPr>
                <w:rFonts w:eastAsia="Times New Roman" w:cs="Arial"/>
                <w:b/>
                <w:szCs w:val="24"/>
              </w:rPr>
              <w:t>Client’s gender</w:t>
            </w:r>
          </w:p>
        </w:tc>
        <w:tc>
          <w:tcPr>
            <w:tcW w:w="1701" w:type="dxa"/>
            <w:tcBorders>
              <w:top w:val="single" w:sz="4" w:space="0" w:color="auto"/>
              <w:left w:val="nil"/>
              <w:bottom w:val="single" w:sz="4" w:space="0" w:color="auto"/>
              <w:right w:val="nil"/>
            </w:tcBorders>
            <w:vAlign w:val="center"/>
          </w:tcPr>
          <w:p w14:paraId="5E26B25A" w14:textId="4F19A70A" w:rsidR="009A63E8" w:rsidRPr="00EA0DC7" w:rsidRDefault="009A63E8" w:rsidP="009A63E8">
            <w:pPr>
              <w:spacing w:before="240" w:line="240" w:lineRule="auto"/>
              <w:jc w:val="center"/>
              <w:rPr>
                <w:rFonts w:eastAsia="Times New Roman" w:cs="Arial"/>
                <w:b/>
                <w:szCs w:val="24"/>
              </w:rPr>
            </w:pPr>
            <w:r w:rsidRPr="00EA0DC7">
              <w:rPr>
                <w:rFonts w:eastAsia="Times New Roman" w:cs="Arial"/>
                <w:b/>
                <w:szCs w:val="24"/>
              </w:rPr>
              <w:t>Client’s expectations</w:t>
            </w:r>
          </w:p>
        </w:tc>
        <w:tc>
          <w:tcPr>
            <w:tcW w:w="1757" w:type="dxa"/>
            <w:tcBorders>
              <w:top w:val="single" w:sz="4" w:space="0" w:color="auto"/>
              <w:left w:val="nil"/>
              <w:bottom w:val="single" w:sz="4" w:space="0" w:color="auto"/>
              <w:right w:val="nil"/>
            </w:tcBorders>
            <w:vAlign w:val="center"/>
          </w:tcPr>
          <w:p w14:paraId="0D950D0D" w14:textId="262A08E5" w:rsidR="009A63E8" w:rsidRPr="00EA0DC7" w:rsidRDefault="009A63E8" w:rsidP="009A63E8">
            <w:pPr>
              <w:spacing w:before="240" w:line="240" w:lineRule="auto"/>
              <w:jc w:val="center"/>
              <w:rPr>
                <w:rFonts w:eastAsia="Times New Roman" w:cs="Arial"/>
                <w:b/>
                <w:szCs w:val="24"/>
              </w:rPr>
            </w:pPr>
            <w:r w:rsidRPr="00EA0DC7">
              <w:rPr>
                <w:rFonts w:eastAsia="Times New Roman" w:cs="Arial"/>
                <w:b/>
                <w:bCs/>
                <w:szCs w:val="24"/>
              </w:rPr>
              <w:t>Development of client</w:t>
            </w:r>
          </w:p>
        </w:tc>
      </w:tr>
      <w:tr w:rsidR="003F0CDB" w:rsidRPr="00EA0DC7" w14:paraId="0E265FBF" w14:textId="77777777" w:rsidTr="00AB5FD6">
        <w:trPr>
          <w:trHeight w:val="235"/>
          <w:tblHeader/>
        </w:trPr>
        <w:tc>
          <w:tcPr>
            <w:tcW w:w="3539" w:type="dxa"/>
            <w:tcBorders>
              <w:top w:val="single" w:sz="4" w:space="0" w:color="auto"/>
              <w:left w:val="nil"/>
              <w:bottom w:val="nil"/>
              <w:right w:val="nil"/>
            </w:tcBorders>
            <w:shd w:val="clear" w:color="auto" w:fill="auto"/>
            <w:hideMark/>
          </w:tcPr>
          <w:p w14:paraId="70342E02" w14:textId="77777777" w:rsidR="003F0CDB" w:rsidRPr="00EA0DC7" w:rsidRDefault="003F0CDB" w:rsidP="009A63E8">
            <w:pPr>
              <w:spacing w:before="240" w:line="240" w:lineRule="auto"/>
              <w:jc w:val="left"/>
              <w:rPr>
                <w:rFonts w:eastAsia="Times New Roman" w:cs="Arial"/>
                <w:szCs w:val="24"/>
              </w:rPr>
            </w:pPr>
            <w:r w:rsidRPr="00EA0DC7">
              <w:rPr>
                <w:rFonts w:eastAsia="Times New Roman" w:cs="Arial"/>
                <w:szCs w:val="24"/>
              </w:rPr>
              <w:t>Rice (1980)</w:t>
            </w:r>
          </w:p>
        </w:tc>
        <w:tc>
          <w:tcPr>
            <w:tcW w:w="1419" w:type="dxa"/>
            <w:tcBorders>
              <w:top w:val="single" w:sz="4" w:space="0" w:color="auto"/>
              <w:left w:val="nil"/>
              <w:bottom w:val="nil"/>
              <w:right w:val="nil"/>
            </w:tcBorders>
            <w:shd w:val="clear" w:color="auto" w:fill="auto"/>
            <w:noWrap/>
            <w:hideMark/>
          </w:tcPr>
          <w:p w14:paraId="1CD5F778" w14:textId="77777777" w:rsidR="003F0CDB" w:rsidRPr="00EA0DC7" w:rsidRDefault="003F0CDB" w:rsidP="009A63E8">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tcPr>
          <w:p w14:paraId="57836A12" w14:textId="77777777" w:rsidR="003F0CDB" w:rsidRPr="00EA0DC7" w:rsidRDefault="003F0CDB" w:rsidP="009A63E8">
            <w:pPr>
              <w:spacing w:before="240" w:line="240" w:lineRule="auto"/>
              <w:jc w:val="center"/>
              <w:rPr>
                <w:rFonts w:eastAsia="Times New Roman" w:cs="Arial"/>
                <w:szCs w:val="24"/>
              </w:rPr>
            </w:pPr>
          </w:p>
        </w:tc>
        <w:tc>
          <w:tcPr>
            <w:tcW w:w="1986" w:type="dxa"/>
            <w:tcBorders>
              <w:top w:val="single" w:sz="4" w:space="0" w:color="auto"/>
              <w:left w:val="nil"/>
              <w:bottom w:val="nil"/>
              <w:right w:val="nil"/>
            </w:tcBorders>
          </w:tcPr>
          <w:p w14:paraId="67890635" w14:textId="77777777" w:rsidR="003F0CDB" w:rsidRPr="00EA0DC7" w:rsidRDefault="003F0CDB" w:rsidP="009A63E8">
            <w:pPr>
              <w:spacing w:before="240" w:line="240" w:lineRule="auto"/>
              <w:jc w:val="center"/>
              <w:rPr>
                <w:rFonts w:eastAsia="Times New Roman" w:cs="Arial"/>
                <w:szCs w:val="24"/>
              </w:rPr>
            </w:pPr>
          </w:p>
        </w:tc>
        <w:tc>
          <w:tcPr>
            <w:tcW w:w="1134" w:type="dxa"/>
            <w:tcBorders>
              <w:top w:val="single" w:sz="4" w:space="0" w:color="auto"/>
              <w:left w:val="nil"/>
              <w:bottom w:val="nil"/>
              <w:right w:val="nil"/>
            </w:tcBorders>
          </w:tcPr>
          <w:p w14:paraId="0EC01F03" w14:textId="77777777" w:rsidR="003F0CDB" w:rsidRPr="00EA0DC7" w:rsidRDefault="003F0CDB" w:rsidP="009A63E8">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tcPr>
          <w:p w14:paraId="7B725DF3" w14:textId="77777777" w:rsidR="003F0CDB" w:rsidRPr="00EA0DC7" w:rsidRDefault="003F0CDB" w:rsidP="009A63E8">
            <w:pPr>
              <w:spacing w:before="240" w:line="240" w:lineRule="auto"/>
              <w:jc w:val="center"/>
              <w:rPr>
                <w:rFonts w:eastAsia="Times New Roman" w:cs="Arial"/>
                <w:szCs w:val="24"/>
              </w:rPr>
            </w:pPr>
          </w:p>
        </w:tc>
        <w:tc>
          <w:tcPr>
            <w:tcW w:w="1757" w:type="dxa"/>
            <w:tcBorders>
              <w:top w:val="single" w:sz="4" w:space="0" w:color="auto"/>
              <w:left w:val="nil"/>
              <w:bottom w:val="nil"/>
              <w:right w:val="nil"/>
            </w:tcBorders>
          </w:tcPr>
          <w:p w14:paraId="6D8B2564" w14:textId="77777777" w:rsidR="003F0CDB" w:rsidRPr="00EA0DC7" w:rsidRDefault="003F0CDB" w:rsidP="009A63E8">
            <w:pPr>
              <w:spacing w:before="240" w:line="240" w:lineRule="auto"/>
              <w:jc w:val="center"/>
              <w:rPr>
                <w:rFonts w:eastAsia="Times New Roman" w:cs="Arial"/>
                <w:szCs w:val="24"/>
              </w:rPr>
            </w:pPr>
          </w:p>
        </w:tc>
      </w:tr>
      <w:tr w:rsidR="003F0CDB" w:rsidRPr="00EA0DC7" w14:paraId="2CA04643" w14:textId="77777777" w:rsidTr="00AB5FD6">
        <w:trPr>
          <w:trHeight w:val="135"/>
          <w:tblHeader/>
        </w:trPr>
        <w:tc>
          <w:tcPr>
            <w:tcW w:w="3539" w:type="dxa"/>
            <w:tcBorders>
              <w:top w:val="nil"/>
              <w:left w:val="nil"/>
              <w:right w:val="nil"/>
            </w:tcBorders>
            <w:shd w:val="clear" w:color="auto" w:fill="auto"/>
            <w:hideMark/>
          </w:tcPr>
          <w:p w14:paraId="7133E3F2"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Linehan (1980)</w:t>
            </w:r>
          </w:p>
        </w:tc>
        <w:tc>
          <w:tcPr>
            <w:tcW w:w="1419" w:type="dxa"/>
            <w:tcBorders>
              <w:top w:val="nil"/>
              <w:left w:val="nil"/>
              <w:right w:val="nil"/>
            </w:tcBorders>
            <w:shd w:val="clear" w:color="auto" w:fill="auto"/>
            <w:noWrap/>
            <w:hideMark/>
          </w:tcPr>
          <w:p w14:paraId="6EBCB8A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590463FD"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187CB6D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037FB02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54956B4F"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034296CF" w14:textId="77777777" w:rsidR="003F0CDB" w:rsidRPr="00EA0DC7" w:rsidRDefault="003F0CDB" w:rsidP="00957911">
            <w:pPr>
              <w:spacing w:line="240" w:lineRule="auto"/>
              <w:jc w:val="center"/>
              <w:rPr>
                <w:rFonts w:eastAsia="Times New Roman" w:cs="Arial"/>
                <w:szCs w:val="24"/>
              </w:rPr>
            </w:pPr>
          </w:p>
        </w:tc>
      </w:tr>
      <w:tr w:rsidR="003F0CDB" w:rsidRPr="00EA0DC7" w14:paraId="0E121BF7" w14:textId="77777777" w:rsidTr="00AB5FD6">
        <w:trPr>
          <w:trHeight w:val="238"/>
          <w:tblHeader/>
        </w:trPr>
        <w:tc>
          <w:tcPr>
            <w:tcW w:w="3539" w:type="dxa"/>
            <w:tcBorders>
              <w:top w:val="nil"/>
              <w:left w:val="nil"/>
              <w:right w:val="nil"/>
            </w:tcBorders>
            <w:shd w:val="clear" w:color="auto" w:fill="auto"/>
            <w:hideMark/>
          </w:tcPr>
          <w:p w14:paraId="1BB441A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Beier &amp; Young (1980)</w:t>
            </w:r>
          </w:p>
        </w:tc>
        <w:tc>
          <w:tcPr>
            <w:tcW w:w="1419" w:type="dxa"/>
            <w:tcBorders>
              <w:top w:val="nil"/>
              <w:left w:val="nil"/>
              <w:right w:val="nil"/>
            </w:tcBorders>
            <w:shd w:val="clear" w:color="auto" w:fill="auto"/>
            <w:noWrap/>
            <w:hideMark/>
          </w:tcPr>
          <w:p w14:paraId="6D4653F7"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3E101774"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0A608633"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340909D3"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59CABF70"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521F1915" w14:textId="77777777" w:rsidR="003F0CDB" w:rsidRPr="00EA0DC7" w:rsidRDefault="003F0CDB" w:rsidP="00957911">
            <w:pPr>
              <w:spacing w:line="240" w:lineRule="auto"/>
              <w:jc w:val="center"/>
              <w:rPr>
                <w:rFonts w:eastAsia="Times New Roman" w:cs="Arial"/>
                <w:szCs w:val="24"/>
              </w:rPr>
            </w:pPr>
          </w:p>
        </w:tc>
      </w:tr>
      <w:tr w:rsidR="003F0CDB" w:rsidRPr="00EA0DC7" w14:paraId="765AF2B0" w14:textId="77777777" w:rsidTr="00AB5FD6">
        <w:trPr>
          <w:trHeight w:val="459"/>
          <w:tblHeader/>
        </w:trPr>
        <w:tc>
          <w:tcPr>
            <w:tcW w:w="3539" w:type="dxa"/>
            <w:tcBorders>
              <w:top w:val="nil"/>
              <w:left w:val="nil"/>
              <w:right w:val="nil"/>
            </w:tcBorders>
            <w:shd w:val="clear" w:color="auto" w:fill="auto"/>
            <w:hideMark/>
          </w:tcPr>
          <w:p w14:paraId="3E1D72D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Stoltenberg (1981)</w:t>
            </w:r>
          </w:p>
        </w:tc>
        <w:tc>
          <w:tcPr>
            <w:tcW w:w="1419" w:type="dxa"/>
            <w:tcBorders>
              <w:top w:val="nil"/>
              <w:left w:val="nil"/>
              <w:right w:val="nil"/>
            </w:tcBorders>
            <w:shd w:val="clear" w:color="auto" w:fill="auto"/>
            <w:noWrap/>
            <w:hideMark/>
          </w:tcPr>
          <w:p w14:paraId="0ACA5CAC"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1051F46D"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331AA715"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20888DE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31B9608A"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2FB964C0" w14:textId="77777777" w:rsidR="003F0CDB" w:rsidRPr="00EA0DC7" w:rsidRDefault="003F0CDB" w:rsidP="00957911">
            <w:pPr>
              <w:spacing w:line="240" w:lineRule="auto"/>
              <w:jc w:val="center"/>
              <w:rPr>
                <w:rFonts w:eastAsia="Times New Roman" w:cs="Arial"/>
                <w:szCs w:val="24"/>
              </w:rPr>
            </w:pPr>
          </w:p>
        </w:tc>
      </w:tr>
      <w:tr w:rsidR="003F0CDB" w:rsidRPr="00EA0DC7" w14:paraId="7254C7DC" w14:textId="77777777" w:rsidTr="00AB5FD6">
        <w:trPr>
          <w:trHeight w:val="80"/>
          <w:tblHeader/>
        </w:trPr>
        <w:tc>
          <w:tcPr>
            <w:tcW w:w="3539" w:type="dxa"/>
            <w:tcBorders>
              <w:left w:val="nil"/>
              <w:right w:val="nil"/>
            </w:tcBorders>
            <w:shd w:val="clear" w:color="auto" w:fill="auto"/>
            <w:hideMark/>
          </w:tcPr>
          <w:p w14:paraId="1A1D3B15"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Loganbill et al. (1982)</w:t>
            </w:r>
          </w:p>
        </w:tc>
        <w:tc>
          <w:tcPr>
            <w:tcW w:w="1419" w:type="dxa"/>
            <w:tcBorders>
              <w:left w:val="nil"/>
              <w:right w:val="nil"/>
            </w:tcBorders>
            <w:shd w:val="clear" w:color="auto" w:fill="auto"/>
            <w:noWrap/>
            <w:hideMark/>
          </w:tcPr>
          <w:p w14:paraId="6E7052E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left w:val="nil"/>
              <w:right w:val="nil"/>
            </w:tcBorders>
          </w:tcPr>
          <w:p w14:paraId="6628F2DB" w14:textId="77777777" w:rsidR="003F0CDB" w:rsidRPr="00EA0DC7" w:rsidRDefault="003F0CDB" w:rsidP="00957911">
            <w:pPr>
              <w:spacing w:line="240" w:lineRule="auto"/>
              <w:jc w:val="center"/>
              <w:rPr>
                <w:rFonts w:eastAsia="Times New Roman" w:cs="Arial"/>
                <w:szCs w:val="24"/>
              </w:rPr>
            </w:pPr>
          </w:p>
        </w:tc>
        <w:tc>
          <w:tcPr>
            <w:tcW w:w="1986" w:type="dxa"/>
            <w:tcBorders>
              <w:left w:val="nil"/>
              <w:right w:val="nil"/>
            </w:tcBorders>
          </w:tcPr>
          <w:p w14:paraId="4BF9A97A" w14:textId="77777777" w:rsidR="003F0CDB" w:rsidRPr="00EA0DC7" w:rsidRDefault="003F0CDB" w:rsidP="00957911">
            <w:pPr>
              <w:spacing w:line="240" w:lineRule="auto"/>
              <w:jc w:val="center"/>
              <w:rPr>
                <w:rFonts w:eastAsia="Times New Roman" w:cs="Arial"/>
                <w:szCs w:val="24"/>
              </w:rPr>
            </w:pPr>
          </w:p>
        </w:tc>
        <w:tc>
          <w:tcPr>
            <w:tcW w:w="1134" w:type="dxa"/>
            <w:tcBorders>
              <w:left w:val="nil"/>
              <w:right w:val="nil"/>
            </w:tcBorders>
          </w:tcPr>
          <w:p w14:paraId="43E79911"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tcPr>
          <w:p w14:paraId="26E802A9" w14:textId="77777777" w:rsidR="003F0CDB" w:rsidRPr="00EA0DC7" w:rsidRDefault="003F0CDB" w:rsidP="00957911">
            <w:pPr>
              <w:spacing w:line="240" w:lineRule="auto"/>
              <w:jc w:val="center"/>
              <w:rPr>
                <w:rFonts w:eastAsia="Times New Roman" w:cs="Arial"/>
                <w:szCs w:val="24"/>
              </w:rPr>
            </w:pPr>
          </w:p>
        </w:tc>
        <w:tc>
          <w:tcPr>
            <w:tcW w:w="1757" w:type="dxa"/>
            <w:tcBorders>
              <w:left w:val="nil"/>
              <w:right w:val="nil"/>
            </w:tcBorders>
          </w:tcPr>
          <w:p w14:paraId="2DBACCEF" w14:textId="77777777" w:rsidR="003F0CDB" w:rsidRPr="00EA0DC7" w:rsidRDefault="003F0CDB" w:rsidP="00957911">
            <w:pPr>
              <w:spacing w:line="240" w:lineRule="auto"/>
              <w:jc w:val="center"/>
              <w:rPr>
                <w:rFonts w:eastAsia="Times New Roman" w:cs="Arial"/>
                <w:szCs w:val="24"/>
              </w:rPr>
            </w:pPr>
          </w:p>
        </w:tc>
      </w:tr>
      <w:tr w:rsidR="003F0CDB" w:rsidRPr="00EA0DC7" w14:paraId="000D026B" w14:textId="77777777" w:rsidTr="00AB5FD6">
        <w:trPr>
          <w:trHeight w:val="80"/>
          <w:tblHeader/>
        </w:trPr>
        <w:tc>
          <w:tcPr>
            <w:tcW w:w="3539" w:type="dxa"/>
            <w:tcBorders>
              <w:top w:val="nil"/>
              <w:left w:val="nil"/>
              <w:right w:val="nil"/>
            </w:tcBorders>
            <w:shd w:val="clear" w:color="auto" w:fill="auto"/>
            <w:vAlign w:val="bottom"/>
            <w:hideMark/>
          </w:tcPr>
          <w:p w14:paraId="3984375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Yogev (1982)</w:t>
            </w:r>
          </w:p>
        </w:tc>
        <w:tc>
          <w:tcPr>
            <w:tcW w:w="1419" w:type="dxa"/>
            <w:tcBorders>
              <w:top w:val="nil"/>
              <w:left w:val="nil"/>
              <w:right w:val="nil"/>
            </w:tcBorders>
            <w:shd w:val="clear" w:color="auto" w:fill="auto"/>
            <w:noWrap/>
            <w:hideMark/>
          </w:tcPr>
          <w:p w14:paraId="204CA8C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37F2AFE8"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74532F2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3645874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2464400F"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34FA43EF" w14:textId="77777777" w:rsidR="003F0CDB" w:rsidRPr="00EA0DC7" w:rsidRDefault="003F0CDB" w:rsidP="00957911">
            <w:pPr>
              <w:spacing w:line="240" w:lineRule="auto"/>
              <w:jc w:val="center"/>
              <w:rPr>
                <w:rFonts w:eastAsia="Times New Roman" w:cs="Arial"/>
                <w:szCs w:val="24"/>
              </w:rPr>
            </w:pPr>
          </w:p>
        </w:tc>
      </w:tr>
      <w:tr w:rsidR="003F0CDB" w:rsidRPr="00EA0DC7" w14:paraId="1D18C695" w14:textId="77777777" w:rsidTr="00AB5FD6">
        <w:trPr>
          <w:trHeight w:val="80"/>
          <w:tblHeader/>
        </w:trPr>
        <w:tc>
          <w:tcPr>
            <w:tcW w:w="3539" w:type="dxa"/>
            <w:shd w:val="clear" w:color="auto" w:fill="auto"/>
            <w:vAlign w:val="bottom"/>
            <w:hideMark/>
          </w:tcPr>
          <w:p w14:paraId="0E22672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Blocher (1983)</w:t>
            </w:r>
          </w:p>
        </w:tc>
        <w:tc>
          <w:tcPr>
            <w:tcW w:w="1419" w:type="dxa"/>
            <w:shd w:val="clear" w:color="auto" w:fill="auto"/>
            <w:noWrap/>
            <w:hideMark/>
          </w:tcPr>
          <w:p w14:paraId="58DB8042"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77D4439A"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25325A97"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17CA1F36"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401C119D"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0FDC9A51" w14:textId="77777777" w:rsidR="003F0CDB" w:rsidRPr="00EA0DC7" w:rsidRDefault="003F0CDB" w:rsidP="00957911">
            <w:pPr>
              <w:spacing w:line="240" w:lineRule="auto"/>
              <w:jc w:val="center"/>
              <w:rPr>
                <w:rFonts w:eastAsia="Times New Roman" w:cs="Arial"/>
                <w:szCs w:val="24"/>
              </w:rPr>
            </w:pPr>
          </w:p>
        </w:tc>
      </w:tr>
      <w:tr w:rsidR="003F0CDB" w:rsidRPr="00EA0DC7" w14:paraId="0238F1B7" w14:textId="77777777" w:rsidTr="00AB5FD6">
        <w:trPr>
          <w:trHeight w:val="80"/>
          <w:tblHeader/>
        </w:trPr>
        <w:tc>
          <w:tcPr>
            <w:tcW w:w="3539" w:type="dxa"/>
            <w:shd w:val="clear" w:color="auto" w:fill="auto"/>
          </w:tcPr>
          <w:p w14:paraId="5A86FB99"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Bordin (1983)</w:t>
            </w:r>
          </w:p>
        </w:tc>
        <w:tc>
          <w:tcPr>
            <w:tcW w:w="1419" w:type="dxa"/>
            <w:shd w:val="clear" w:color="auto" w:fill="auto"/>
          </w:tcPr>
          <w:p w14:paraId="076F02A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48C4E9D3"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454B2FD9"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70777CC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32FA1204"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3E9200E4" w14:textId="77777777" w:rsidR="003F0CDB" w:rsidRPr="00EA0DC7" w:rsidRDefault="003F0CDB" w:rsidP="00957911">
            <w:pPr>
              <w:spacing w:line="240" w:lineRule="auto"/>
              <w:jc w:val="center"/>
              <w:rPr>
                <w:rFonts w:eastAsia="Times New Roman" w:cs="Arial"/>
                <w:szCs w:val="24"/>
              </w:rPr>
            </w:pPr>
          </w:p>
        </w:tc>
      </w:tr>
      <w:tr w:rsidR="003F0CDB" w:rsidRPr="00EA0DC7" w14:paraId="031D1D66" w14:textId="77777777" w:rsidTr="00AB5FD6">
        <w:trPr>
          <w:trHeight w:val="80"/>
          <w:tblHeader/>
        </w:trPr>
        <w:tc>
          <w:tcPr>
            <w:tcW w:w="3539" w:type="dxa"/>
            <w:tcBorders>
              <w:left w:val="nil"/>
              <w:bottom w:val="nil"/>
              <w:right w:val="nil"/>
            </w:tcBorders>
            <w:shd w:val="clear" w:color="auto" w:fill="auto"/>
            <w:vAlign w:val="bottom"/>
            <w:hideMark/>
          </w:tcPr>
          <w:p w14:paraId="5D9DA683"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Hosford &amp; Barmann (1983)</w:t>
            </w:r>
          </w:p>
        </w:tc>
        <w:tc>
          <w:tcPr>
            <w:tcW w:w="1419" w:type="dxa"/>
            <w:tcBorders>
              <w:left w:val="nil"/>
              <w:bottom w:val="nil"/>
              <w:right w:val="nil"/>
            </w:tcBorders>
            <w:shd w:val="clear" w:color="auto" w:fill="auto"/>
            <w:noWrap/>
            <w:hideMark/>
          </w:tcPr>
          <w:p w14:paraId="0409CFCE"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0775BEA6"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4B1F8B3E"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142DB86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3908B41E"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1DF2B52C" w14:textId="77777777" w:rsidR="003F0CDB" w:rsidRPr="00EA0DC7" w:rsidRDefault="003F0CDB" w:rsidP="00957911">
            <w:pPr>
              <w:spacing w:line="240" w:lineRule="auto"/>
              <w:jc w:val="center"/>
              <w:rPr>
                <w:rFonts w:eastAsia="Times New Roman" w:cs="Arial"/>
                <w:szCs w:val="24"/>
              </w:rPr>
            </w:pPr>
          </w:p>
        </w:tc>
      </w:tr>
      <w:tr w:rsidR="003F0CDB" w:rsidRPr="00EA0DC7" w14:paraId="597E4538" w14:textId="77777777" w:rsidTr="00AB5FD6">
        <w:trPr>
          <w:trHeight w:val="80"/>
          <w:tblHeader/>
        </w:trPr>
        <w:tc>
          <w:tcPr>
            <w:tcW w:w="3539" w:type="dxa"/>
            <w:tcBorders>
              <w:top w:val="nil"/>
              <w:left w:val="nil"/>
              <w:bottom w:val="nil"/>
              <w:right w:val="nil"/>
            </w:tcBorders>
            <w:shd w:val="clear" w:color="auto" w:fill="auto"/>
            <w:vAlign w:val="bottom"/>
            <w:hideMark/>
          </w:tcPr>
          <w:p w14:paraId="0EFD7F5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Patterson (1983)</w:t>
            </w:r>
          </w:p>
        </w:tc>
        <w:tc>
          <w:tcPr>
            <w:tcW w:w="1419" w:type="dxa"/>
            <w:tcBorders>
              <w:top w:val="nil"/>
              <w:left w:val="nil"/>
              <w:bottom w:val="nil"/>
              <w:right w:val="nil"/>
            </w:tcBorders>
            <w:shd w:val="clear" w:color="auto" w:fill="auto"/>
            <w:noWrap/>
            <w:hideMark/>
          </w:tcPr>
          <w:p w14:paraId="2E09EED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4E1B8EBC"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123F8EBA"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B53338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31ECF0ED"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69E38BFC" w14:textId="77777777" w:rsidR="003F0CDB" w:rsidRPr="00EA0DC7" w:rsidRDefault="003F0CDB" w:rsidP="00957911">
            <w:pPr>
              <w:spacing w:line="240" w:lineRule="auto"/>
              <w:jc w:val="center"/>
              <w:rPr>
                <w:rFonts w:eastAsia="Times New Roman" w:cs="Arial"/>
                <w:szCs w:val="24"/>
              </w:rPr>
            </w:pPr>
          </w:p>
        </w:tc>
      </w:tr>
      <w:tr w:rsidR="003F0CDB" w:rsidRPr="00EA0DC7" w14:paraId="577E5E80" w14:textId="77777777" w:rsidTr="00AB5FD6">
        <w:trPr>
          <w:trHeight w:val="80"/>
          <w:tblHeader/>
        </w:trPr>
        <w:tc>
          <w:tcPr>
            <w:tcW w:w="3539" w:type="dxa"/>
            <w:tcBorders>
              <w:top w:val="nil"/>
              <w:left w:val="nil"/>
              <w:bottom w:val="nil"/>
              <w:right w:val="nil"/>
            </w:tcBorders>
            <w:shd w:val="clear" w:color="auto" w:fill="auto"/>
            <w:vAlign w:val="bottom"/>
            <w:hideMark/>
          </w:tcPr>
          <w:p w14:paraId="5C326D2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Wessler &amp; Ellis (1983)</w:t>
            </w:r>
          </w:p>
        </w:tc>
        <w:tc>
          <w:tcPr>
            <w:tcW w:w="1419" w:type="dxa"/>
            <w:tcBorders>
              <w:top w:val="nil"/>
              <w:left w:val="nil"/>
              <w:bottom w:val="nil"/>
              <w:right w:val="nil"/>
            </w:tcBorders>
            <w:shd w:val="clear" w:color="auto" w:fill="auto"/>
            <w:noWrap/>
            <w:hideMark/>
          </w:tcPr>
          <w:p w14:paraId="15925C0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2AE0E00B"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0FFFD0A1"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63F360A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0AD0521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74EA319E" w14:textId="77777777" w:rsidR="003F0CDB" w:rsidRPr="00EA0DC7" w:rsidRDefault="003F0CDB" w:rsidP="00957911">
            <w:pPr>
              <w:spacing w:line="240" w:lineRule="auto"/>
              <w:jc w:val="center"/>
              <w:rPr>
                <w:rFonts w:eastAsia="Times New Roman" w:cs="Arial"/>
                <w:szCs w:val="24"/>
              </w:rPr>
            </w:pPr>
          </w:p>
        </w:tc>
      </w:tr>
      <w:tr w:rsidR="003F0CDB" w:rsidRPr="00EA0DC7" w14:paraId="417D3117" w14:textId="77777777" w:rsidTr="00AB5FD6">
        <w:trPr>
          <w:trHeight w:val="80"/>
          <w:tblHeader/>
        </w:trPr>
        <w:tc>
          <w:tcPr>
            <w:tcW w:w="3539" w:type="dxa"/>
            <w:tcBorders>
              <w:top w:val="nil"/>
              <w:left w:val="nil"/>
              <w:bottom w:val="nil"/>
              <w:right w:val="nil"/>
            </w:tcBorders>
            <w:shd w:val="clear" w:color="auto" w:fill="auto"/>
            <w:vAlign w:val="bottom"/>
            <w:hideMark/>
          </w:tcPr>
          <w:p w14:paraId="25FC481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Connell (1984)</w:t>
            </w:r>
          </w:p>
        </w:tc>
        <w:tc>
          <w:tcPr>
            <w:tcW w:w="1419" w:type="dxa"/>
            <w:tcBorders>
              <w:top w:val="nil"/>
              <w:left w:val="nil"/>
              <w:bottom w:val="nil"/>
              <w:right w:val="nil"/>
            </w:tcBorders>
            <w:shd w:val="clear" w:color="auto" w:fill="auto"/>
            <w:noWrap/>
            <w:hideMark/>
          </w:tcPr>
          <w:p w14:paraId="5A6764CA"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4B927492"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4C8EE10D"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05C8BA9"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1966A75E"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122F73E1" w14:textId="77777777" w:rsidR="003F0CDB" w:rsidRPr="00EA0DC7" w:rsidRDefault="003F0CDB" w:rsidP="00957911">
            <w:pPr>
              <w:spacing w:line="240" w:lineRule="auto"/>
              <w:jc w:val="center"/>
              <w:rPr>
                <w:rFonts w:eastAsia="Times New Roman" w:cs="Arial"/>
                <w:szCs w:val="24"/>
              </w:rPr>
            </w:pPr>
          </w:p>
        </w:tc>
      </w:tr>
      <w:tr w:rsidR="003F0CDB" w:rsidRPr="00EA0DC7" w14:paraId="019FCFDD" w14:textId="77777777" w:rsidTr="00AB5FD6">
        <w:trPr>
          <w:trHeight w:val="80"/>
          <w:tblHeader/>
        </w:trPr>
        <w:tc>
          <w:tcPr>
            <w:tcW w:w="3539" w:type="dxa"/>
            <w:tcBorders>
              <w:top w:val="nil"/>
              <w:left w:val="nil"/>
              <w:right w:val="nil"/>
            </w:tcBorders>
            <w:shd w:val="clear" w:color="auto" w:fill="auto"/>
            <w:vAlign w:val="bottom"/>
            <w:hideMark/>
          </w:tcPr>
          <w:p w14:paraId="7AD11B9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Grater (1985)</w:t>
            </w:r>
          </w:p>
        </w:tc>
        <w:tc>
          <w:tcPr>
            <w:tcW w:w="1419" w:type="dxa"/>
            <w:tcBorders>
              <w:top w:val="nil"/>
              <w:left w:val="nil"/>
              <w:right w:val="nil"/>
            </w:tcBorders>
            <w:shd w:val="clear" w:color="auto" w:fill="auto"/>
            <w:noWrap/>
            <w:hideMark/>
          </w:tcPr>
          <w:p w14:paraId="431C60B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32B67BC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6" w:type="dxa"/>
            <w:tcBorders>
              <w:top w:val="nil"/>
              <w:left w:val="nil"/>
              <w:right w:val="nil"/>
            </w:tcBorders>
          </w:tcPr>
          <w:p w14:paraId="1DB78FCF"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2614BE1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04CDFDB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57" w:type="dxa"/>
            <w:tcBorders>
              <w:top w:val="nil"/>
              <w:left w:val="nil"/>
              <w:right w:val="nil"/>
            </w:tcBorders>
          </w:tcPr>
          <w:p w14:paraId="6D8AD1CE" w14:textId="77777777" w:rsidR="003F0CDB" w:rsidRPr="00EA0DC7" w:rsidRDefault="003F0CDB" w:rsidP="00957911">
            <w:pPr>
              <w:spacing w:line="240" w:lineRule="auto"/>
              <w:jc w:val="center"/>
              <w:rPr>
                <w:rFonts w:eastAsia="Times New Roman" w:cs="Arial"/>
                <w:szCs w:val="24"/>
              </w:rPr>
            </w:pPr>
          </w:p>
        </w:tc>
      </w:tr>
      <w:tr w:rsidR="003F0CDB" w:rsidRPr="00EA0DC7" w14:paraId="71F2BF35" w14:textId="77777777" w:rsidTr="00AB5FD6">
        <w:trPr>
          <w:trHeight w:val="80"/>
          <w:tblHeader/>
        </w:trPr>
        <w:tc>
          <w:tcPr>
            <w:tcW w:w="3539" w:type="dxa"/>
            <w:tcBorders>
              <w:top w:val="nil"/>
              <w:left w:val="nil"/>
              <w:bottom w:val="single" w:sz="4" w:space="0" w:color="auto"/>
              <w:right w:val="nil"/>
            </w:tcBorders>
            <w:shd w:val="clear" w:color="auto" w:fill="auto"/>
            <w:vAlign w:val="bottom"/>
            <w:hideMark/>
          </w:tcPr>
          <w:p w14:paraId="6AF606DB" w14:textId="77777777" w:rsidR="003F0CDB" w:rsidRPr="00EA0DC7" w:rsidRDefault="003F0CDB" w:rsidP="00AB5FD6">
            <w:pPr>
              <w:spacing w:after="0" w:line="240" w:lineRule="auto"/>
              <w:rPr>
                <w:rFonts w:eastAsia="Times New Roman" w:cs="Arial"/>
                <w:szCs w:val="24"/>
              </w:rPr>
            </w:pPr>
            <w:r w:rsidRPr="00EA0DC7">
              <w:rPr>
                <w:rFonts w:eastAsia="Times New Roman" w:cs="Arial"/>
                <w:szCs w:val="24"/>
              </w:rPr>
              <w:t>Friedmand &amp; Kaslow (1986)</w:t>
            </w:r>
          </w:p>
        </w:tc>
        <w:tc>
          <w:tcPr>
            <w:tcW w:w="1419" w:type="dxa"/>
            <w:tcBorders>
              <w:top w:val="nil"/>
              <w:left w:val="nil"/>
              <w:bottom w:val="single" w:sz="4" w:space="0" w:color="auto"/>
              <w:right w:val="nil"/>
            </w:tcBorders>
            <w:shd w:val="clear" w:color="auto" w:fill="auto"/>
            <w:noWrap/>
            <w:hideMark/>
          </w:tcPr>
          <w:p w14:paraId="7B71FAE3" w14:textId="77777777" w:rsidR="003F0CDB" w:rsidRPr="00EA0DC7" w:rsidRDefault="003F0CDB" w:rsidP="00AB5FD6">
            <w:pPr>
              <w:spacing w:after="0"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single" w:sz="4" w:space="0" w:color="auto"/>
              <w:right w:val="nil"/>
            </w:tcBorders>
          </w:tcPr>
          <w:p w14:paraId="5EB2E175" w14:textId="77777777" w:rsidR="003F0CDB" w:rsidRPr="00EA0DC7" w:rsidRDefault="003F0CDB" w:rsidP="00AB5FD6">
            <w:pPr>
              <w:spacing w:after="0" w:line="240" w:lineRule="auto"/>
              <w:jc w:val="center"/>
              <w:rPr>
                <w:rFonts w:eastAsia="Times New Roman" w:cs="Arial"/>
                <w:szCs w:val="24"/>
              </w:rPr>
            </w:pPr>
          </w:p>
        </w:tc>
        <w:tc>
          <w:tcPr>
            <w:tcW w:w="1986" w:type="dxa"/>
            <w:tcBorders>
              <w:top w:val="nil"/>
              <w:left w:val="nil"/>
              <w:bottom w:val="single" w:sz="4" w:space="0" w:color="auto"/>
              <w:right w:val="nil"/>
            </w:tcBorders>
          </w:tcPr>
          <w:p w14:paraId="0F801D40" w14:textId="77777777" w:rsidR="003F0CDB" w:rsidRPr="00EA0DC7" w:rsidRDefault="003F0CDB" w:rsidP="00AB5FD6">
            <w:pPr>
              <w:spacing w:after="0" w:line="240" w:lineRule="auto"/>
              <w:jc w:val="center"/>
              <w:rPr>
                <w:rFonts w:eastAsia="Times New Roman" w:cs="Arial"/>
                <w:szCs w:val="24"/>
              </w:rPr>
            </w:pPr>
          </w:p>
        </w:tc>
        <w:tc>
          <w:tcPr>
            <w:tcW w:w="1134" w:type="dxa"/>
            <w:tcBorders>
              <w:top w:val="nil"/>
              <w:left w:val="nil"/>
              <w:bottom w:val="single" w:sz="4" w:space="0" w:color="auto"/>
              <w:right w:val="nil"/>
            </w:tcBorders>
          </w:tcPr>
          <w:p w14:paraId="40EEC843" w14:textId="77777777" w:rsidR="003F0CDB" w:rsidRPr="00EA0DC7" w:rsidRDefault="003F0CDB" w:rsidP="00AB5FD6">
            <w:pPr>
              <w:spacing w:after="0" w:line="240" w:lineRule="auto"/>
              <w:jc w:val="center"/>
              <w:rPr>
                <w:rFonts w:eastAsia="Times New Roman" w:cs="Arial"/>
                <w:szCs w:val="24"/>
              </w:rPr>
            </w:pPr>
          </w:p>
        </w:tc>
        <w:tc>
          <w:tcPr>
            <w:tcW w:w="1701" w:type="dxa"/>
            <w:tcBorders>
              <w:top w:val="nil"/>
              <w:left w:val="nil"/>
              <w:bottom w:val="single" w:sz="4" w:space="0" w:color="auto"/>
              <w:right w:val="nil"/>
            </w:tcBorders>
          </w:tcPr>
          <w:p w14:paraId="23858C08" w14:textId="77777777" w:rsidR="003F0CDB" w:rsidRPr="00EA0DC7" w:rsidRDefault="003F0CDB" w:rsidP="00AB5FD6">
            <w:pPr>
              <w:spacing w:after="0" w:line="240" w:lineRule="auto"/>
              <w:jc w:val="center"/>
              <w:rPr>
                <w:rFonts w:eastAsia="Times New Roman" w:cs="Arial"/>
                <w:szCs w:val="24"/>
              </w:rPr>
            </w:pPr>
          </w:p>
        </w:tc>
        <w:tc>
          <w:tcPr>
            <w:tcW w:w="1757" w:type="dxa"/>
            <w:tcBorders>
              <w:top w:val="nil"/>
              <w:left w:val="nil"/>
              <w:bottom w:val="single" w:sz="4" w:space="0" w:color="auto"/>
              <w:right w:val="nil"/>
            </w:tcBorders>
          </w:tcPr>
          <w:p w14:paraId="5559D2A4" w14:textId="77777777" w:rsidR="003F0CDB" w:rsidRPr="00EA0DC7" w:rsidRDefault="003F0CDB" w:rsidP="00AB5FD6">
            <w:pPr>
              <w:spacing w:after="0" w:line="240" w:lineRule="auto"/>
              <w:jc w:val="center"/>
              <w:rPr>
                <w:rFonts w:eastAsia="Times New Roman" w:cs="Arial"/>
                <w:szCs w:val="24"/>
              </w:rPr>
            </w:pPr>
          </w:p>
        </w:tc>
      </w:tr>
    </w:tbl>
    <w:p w14:paraId="2D6C82FB" w14:textId="77777777" w:rsidR="00AB5FD6" w:rsidRPr="00EA0DC7" w:rsidRDefault="00AB5FD6" w:rsidP="005016CB">
      <w:pPr>
        <w:spacing w:before="240" w:line="240" w:lineRule="auto"/>
        <w:jc w:val="center"/>
        <w:rPr>
          <w:rFonts w:eastAsia="Times New Roman" w:cs="Arial"/>
          <w:b/>
          <w:bCs/>
          <w:szCs w:val="24"/>
        </w:rPr>
        <w:sectPr w:rsidR="00AB5FD6" w:rsidRPr="00EA0DC7" w:rsidSect="00071D9D">
          <w:type w:val="nextColumn"/>
          <w:pgSz w:w="16838" w:h="11906" w:orient="landscape"/>
          <w:pgMar w:top="1440" w:right="1440" w:bottom="2268" w:left="1440" w:header="709" w:footer="709" w:gutter="0"/>
          <w:cols w:space="708"/>
          <w:docGrid w:linePitch="360"/>
        </w:sectPr>
      </w:pPr>
    </w:p>
    <w:tbl>
      <w:tblPr>
        <w:tblW w:w="13520" w:type="dxa"/>
        <w:tblLayout w:type="fixed"/>
        <w:tblLook w:val="04A0" w:firstRow="1" w:lastRow="0" w:firstColumn="1" w:lastColumn="0" w:noHBand="0" w:noVBand="1"/>
      </w:tblPr>
      <w:tblGrid>
        <w:gridCol w:w="3539"/>
        <w:gridCol w:w="1419"/>
        <w:gridCol w:w="1984"/>
        <w:gridCol w:w="1986"/>
        <w:gridCol w:w="1134"/>
        <w:gridCol w:w="1701"/>
        <w:gridCol w:w="1757"/>
      </w:tblGrid>
      <w:tr w:rsidR="009A63E8" w:rsidRPr="00EA0DC7" w14:paraId="5BA410A7" w14:textId="77777777" w:rsidTr="005016CB">
        <w:trPr>
          <w:trHeight w:val="235"/>
          <w:tblHeader/>
        </w:trPr>
        <w:tc>
          <w:tcPr>
            <w:tcW w:w="3539" w:type="dxa"/>
            <w:tcBorders>
              <w:top w:val="single" w:sz="4" w:space="0" w:color="auto"/>
              <w:left w:val="nil"/>
              <w:bottom w:val="single" w:sz="4" w:space="0" w:color="auto"/>
              <w:right w:val="nil"/>
            </w:tcBorders>
            <w:shd w:val="clear" w:color="auto" w:fill="auto"/>
            <w:vAlign w:val="center"/>
          </w:tcPr>
          <w:p w14:paraId="2EBF4135" w14:textId="593DA840" w:rsidR="009A63E8" w:rsidRPr="00EA0DC7" w:rsidRDefault="009A63E8" w:rsidP="005016CB">
            <w:pPr>
              <w:spacing w:before="240" w:line="240" w:lineRule="auto"/>
              <w:jc w:val="center"/>
              <w:rPr>
                <w:rFonts w:eastAsia="Times New Roman" w:cs="Arial"/>
                <w:b/>
                <w:szCs w:val="24"/>
              </w:rPr>
            </w:pPr>
            <w:r w:rsidRPr="00EA0DC7">
              <w:rPr>
                <w:rFonts w:eastAsia="Times New Roman" w:cs="Arial"/>
                <w:b/>
                <w:bCs/>
                <w:szCs w:val="24"/>
              </w:rPr>
              <w:lastRenderedPageBreak/>
              <w:t>Model/ approach</w:t>
            </w:r>
          </w:p>
        </w:tc>
        <w:tc>
          <w:tcPr>
            <w:tcW w:w="1419" w:type="dxa"/>
            <w:tcBorders>
              <w:top w:val="single" w:sz="4" w:space="0" w:color="auto"/>
              <w:left w:val="nil"/>
              <w:bottom w:val="single" w:sz="4" w:space="0" w:color="auto"/>
              <w:right w:val="nil"/>
            </w:tcBorders>
            <w:shd w:val="clear" w:color="auto" w:fill="auto"/>
            <w:noWrap/>
            <w:vAlign w:val="center"/>
          </w:tcPr>
          <w:p w14:paraId="7A354C4B"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bCs/>
                <w:szCs w:val="24"/>
              </w:rPr>
              <w:t>Focus on client</w:t>
            </w:r>
          </w:p>
        </w:tc>
        <w:tc>
          <w:tcPr>
            <w:tcW w:w="1984" w:type="dxa"/>
            <w:tcBorders>
              <w:top w:val="single" w:sz="4" w:space="0" w:color="auto"/>
              <w:left w:val="nil"/>
              <w:bottom w:val="single" w:sz="4" w:space="0" w:color="auto"/>
              <w:right w:val="nil"/>
            </w:tcBorders>
            <w:vAlign w:val="center"/>
          </w:tcPr>
          <w:p w14:paraId="69BCC25E"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szCs w:val="24"/>
              </w:rPr>
              <w:t>Client's personal characteristics</w:t>
            </w:r>
          </w:p>
        </w:tc>
        <w:tc>
          <w:tcPr>
            <w:tcW w:w="1986" w:type="dxa"/>
            <w:tcBorders>
              <w:top w:val="single" w:sz="4" w:space="0" w:color="auto"/>
              <w:left w:val="nil"/>
              <w:bottom w:val="single" w:sz="4" w:space="0" w:color="auto"/>
              <w:right w:val="nil"/>
            </w:tcBorders>
            <w:vAlign w:val="center"/>
          </w:tcPr>
          <w:p w14:paraId="09798A5C"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szCs w:val="24"/>
              </w:rPr>
              <w:t>Client’s culture/ ethnicity</w:t>
            </w:r>
          </w:p>
        </w:tc>
        <w:tc>
          <w:tcPr>
            <w:tcW w:w="1134" w:type="dxa"/>
            <w:tcBorders>
              <w:top w:val="single" w:sz="4" w:space="0" w:color="auto"/>
              <w:left w:val="nil"/>
              <w:bottom w:val="single" w:sz="4" w:space="0" w:color="auto"/>
              <w:right w:val="nil"/>
            </w:tcBorders>
            <w:vAlign w:val="center"/>
          </w:tcPr>
          <w:p w14:paraId="16BDA8B7"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szCs w:val="24"/>
              </w:rPr>
              <w:t>Client’s gender</w:t>
            </w:r>
          </w:p>
        </w:tc>
        <w:tc>
          <w:tcPr>
            <w:tcW w:w="1701" w:type="dxa"/>
            <w:tcBorders>
              <w:top w:val="single" w:sz="4" w:space="0" w:color="auto"/>
              <w:left w:val="nil"/>
              <w:bottom w:val="single" w:sz="4" w:space="0" w:color="auto"/>
              <w:right w:val="nil"/>
            </w:tcBorders>
            <w:vAlign w:val="center"/>
          </w:tcPr>
          <w:p w14:paraId="04FE3E4A"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szCs w:val="24"/>
              </w:rPr>
              <w:t>Client’s expectations</w:t>
            </w:r>
          </w:p>
        </w:tc>
        <w:tc>
          <w:tcPr>
            <w:tcW w:w="1757" w:type="dxa"/>
            <w:tcBorders>
              <w:top w:val="single" w:sz="4" w:space="0" w:color="auto"/>
              <w:left w:val="nil"/>
              <w:bottom w:val="single" w:sz="4" w:space="0" w:color="auto"/>
              <w:right w:val="nil"/>
            </w:tcBorders>
            <w:vAlign w:val="center"/>
          </w:tcPr>
          <w:p w14:paraId="28A84D23" w14:textId="77777777" w:rsidR="009A63E8" w:rsidRPr="00EA0DC7" w:rsidRDefault="009A63E8" w:rsidP="005016CB">
            <w:pPr>
              <w:spacing w:before="240" w:line="240" w:lineRule="auto"/>
              <w:jc w:val="center"/>
              <w:rPr>
                <w:rFonts w:eastAsia="Times New Roman" w:cs="Arial"/>
                <w:b/>
                <w:szCs w:val="24"/>
              </w:rPr>
            </w:pPr>
            <w:r w:rsidRPr="00EA0DC7">
              <w:rPr>
                <w:rFonts w:eastAsia="Times New Roman" w:cs="Arial"/>
                <w:b/>
                <w:bCs/>
                <w:szCs w:val="24"/>
              </w:rPr>
              <w:t>Development of client</w:t>
            </w:r>
          </w:p>
        </w:tc>
      </w:tr>
      <w:tr w:rsidR="003F0CDB" w:rsidRPr="00EA0DC7" w14:paraId="778C41FF" w14:textId="77777777" w:rsidTr="005016CB">
        <w:trPr>
          <w:trHeight w:val="80"/>
        </w:trPr>
        <w:tc>
          <w:tcPr>
            <w:tcW w:w="3539" w:type="dxa"/>
            <w:tcBorders>
              <w:top w:val="single" w:sz="4" w:space="0" w:color="auto"/>
              <w:left w:val="nil"/>
              <w:bottom w:val="nil"/>
              <w:right w:val="nil"/>
            </w:tcBorders>
            <w:shd w:val="clear" w:color="auto" w:fill="auto"/>
            <w:vAlign w:val="bottom"/>
            <w:hideMark/>
          </w:tcPr>
          <w:p w14:paraId="089E4819" w14:textId="77777777" w:rsidR="003F0CDB" w:rsidRPr="00EA0DC7" w:rsidRDefault="003F0CDB" w:rsidP="009A63E8">
            <w:pPr>
              <w:spacing w:before="240" w:line="240" w:lineRule="auto"/>
              <w:rPr>
                <w:rFonts w:eastAsia="Times New Roman" w:cs="Arial"/>
                <w:szCs w:val="24"/>
              </w:rPr>
            </w:pPr>
            <w:r w:rsidRPr="00EA0DC7">
              <w:rPr>
                <w:rFonts w:eastAsia="Times New Roman" w:cs="Arial"/>
                <w:szCs w:val="24"/>
              </w:rPr>
              <w:t>Hess (1986)</w:t>
            </w:r>
          </w:p>
        </w:tc>
        <w:tc>
          <w:tcPr>
            <w:tcW w:w="1419" w:type="dxa"/>
            <w:tcBorders>
              <w:top w:val="single" w:sz="4" w:space="0" w:color="auto"/>
              <w:left w:val="nil"/>
              <w:bottom w:val="nil"/>
              <w:right w:val="nil"/>
            </w:tcBorders>
            <w:shd w:val="clear" w:color="auto" w:fill="auto"/>
            <w:noWrap/>
            <w:hideMark/>
          </w:tcPr>
          <w:p w14:paraId="3B4093AA" w14:textId="77777777" w:rsidR="003F0CDB" w:rsidRPr="00EA0DC7" w:rsidRDefault="003F0CDB" w:rsidP="009A63E8">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tcPr>
          <w:p w14:paraId="376DBD85" w14:textId="77777777" w:rsidR="003F0CDB" w:rsidRPr="00EA0DC7" w:rsidRDefault="003F0CDB" w:rsidP="009A63E8">
            <w:pPr>
              <w:spacing w:before="240" w:line="240" w:lineRule="auto"/>
              <w:jc w:val="center"/>
              <w:rPr>
                <w:rFonts w:eastAsia="Times New Roman" w:cs="Arial"/>
                <w:szCs w:val="24"/>
              </w:rPr>
            </w:pPr>
          </w:p>
        </w:tc>
        <w:tc>
          <w:tcPr>
            <w:tcW w:w="1986" w:type="dxa"/>
            <w:tcBorders>
              <w:top w:val="single" w:sz="4" w:space="0" w:color="auto"/>
              <w:left w:val="nil"/>
              <w:bottom w:val="nil"/>
              <w:right w:val="nil"/>
            </w:tcBorders>
          </w:tcPr>
          <w:p w14:paraId="080C6C37" w14:textId="77777777" w:rsidR="003F0CDB" w:rsidRPr="00EA0DC7" w:rsidRDefault="003F0CDB" w:rsidP="009A63E8">
            <w:pPr>
              <w:spacing w:before="240" w:line="240" w:lineRule="auto"/>
              <w:jc w:val="center"/>
              <w:rPr>
                <w:rFonts w:eastAsia="Times New Roman" w:cs="Arial"/>
                <w:szCs w:val="24"/>
              </w:rPr>
            </w:pPr>
          </w:p>
        </w:tc>
        <w:tc>
          <w:tcPr>
            <w:tcW w:w="1134" w:type="dxa"/>
            <w:tcBorders>
              <w:top w:val="single" w:sz="4" w:space="0" w:color="auto"/>
              <w:left w:val="nil"/>
              <w:bottom w:val="nil"/>
              <w:right w:val="nil"/>
            </w:tcBorders>
          </w:tcPr>
          <w:p w14:paraId="5FA025BD" w14:textId="77777777" w:rsidR="003F0CDB" w:rsidRPr="00EA0DC7" w:rsidRDefault="003F0CDB" w:rsidP="009A63E8">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tcPr>
          <w:p w14:paraId="1DD4A080" w14:textId="77777777" w:rsidR="003F0CDB" w:rsidRPr="00EA0DC7" w:rsidRDefault="003F0CDB" w:rsidP="009A63E8">
            <w:pPr>
              <w:spacing w:before="240" w:line="240" w:lineRule="auto"/>
              <w:jc w:val="center"/>
              <w:rPr>
                <w:rFonts w:eastAsia="Times New Roman" w:cs="Arial"/>
                <w:szCs w:val="24"/>
              </w:rPr>
            </w:pPr>
          </w:p>
        </w:tc>
        <w:tc>
          <w:tcPr>
            <w:tcW w:w="1757" w:type="dxa"/>
            <w:tcBorders>
              <w:top w:val="single" w:sz="4" w:space="0" w:color="auto"/>
              <w:left w:val="nil"/>
              <w:bottom w:val="nil"/>
              <w:right w:val="nil"/>
            </w:tcBorders>
          </w:tcPr>
          <w:p w14:paraId="011E0401" w14:textId="77777777" w:rsidR="003F0CDB" w:rsidRPr="00EA0DC7" w:rsidRDefault="003F0CDB" w:rsidP="009A63E8">
            <w:pPr>
              <w:spacing w:before="240" w:line="240" w:lineRule="auto"/>
              <w:jc w:val="center"/>
              <w:rPr>
                <w:rFonts w:eastAsia="Times New Roman" w:cs="Arial"/>
                <w:szCs w:val="24"/>
              </w:rPr>
            </w:pPr>
          </w:p>
        </w:tc>
      </w:tr>
      <w:tr w:rsidR="003F0CDB" w:rsidRPr="00EA0DC7" w14:paraId="1C263493" w14:textId="77777777" w:rsidTr="00AB5FD6">
        <w:trPr>
          <w:trHeight w:val="80"/>
        </w:trPr>
        <w:tc>
          <w:tcPr>
            <w:tcW w:w="3539" w:type="dxa"/>
            <w:tcBorders>
              <w:top w:val="nil"/>
              <w:left w:val="nil"/>
              <w:right w:val="nil"/>
            </w:tcBorders>
            <w:shd w:val="clear" w:color="auto" w:fill="auto"/>
            <w:vAlign w:val="bottom"/>
            <w:hideMark/>
          </w:tcPr>
          <w:p w14:paraId="5ACCD73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Stoltenberg &amp; Delworth (1987)</w:t>
            </w:r>
          </w:p>
        </w:tc>
        <w:tc>
          <w:tcPr>
            <w:tcW w:w="1419" w:type="dxa"/>
            <w:tcBorders>
              <w:top w:val="nil"/>
              <w:left w:val="nil"/>
              <w:right w:val="nil"/>
            </w:tcBorders>
            <w:shd w:val="clear" w:color="auto" w:fill="auto"/>
            <w:noWrap/>
            <w:hideMark/>
          </w:tcPr>
          <w:p w14:paraId="7F69167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7D90E4D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6" w:type="dxa"/>
            <w:tcBorders>
              <w:top w:val="nil"/>
              <w:left w:val="nil"/>
              <w:right w:val="nil"/>
            </w:tcBorders>
          </w:tcPr>
          <w:p w14:paraId="3AA8231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tcPr>
          <w:p w14:paraId="5F56DD2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tcPr>
          <w:p w14:paraId="226E288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7715D8AC" w14:textId="77777777" w:rsidR="003F0CDB" w:rsidRPr="00EA0DC7" w:rsidRDefault="003F0CDB" w:rsidP="00957911">
            <w:pPr>
              <w:spacing w:line="240" w:lineRule="auto"/>
              <w:jc w:val="center"/>
              <w:rPr>
                <w:rFonts w:eastAsia="Times New Roman" w:cs="Arial"/>
                <w:szCs w:val="24"/>
              </w:rPr>
            </w:pPr>
          </w:p>
        </w:tc>
      </w:tr>
      <w:tr w:rsidR="003F0CDB" w:rsidRPr="00EA0DC7" w14:paraId="229C8A11" w14:textId="77777777" w:rsidTr="00AB5FD6">
        <w:trPr>
          <w:trHeight w:val="80"/>
        </w:trPr>
        <w:tc>
          <w:tcPr>
            <w:tcW w:w="3539" w:type="dxa"/>
            <w:tcBorders>
              <w:top w:val="nil"/>
              <w:left w:val="nil"/>
              <w:bottom w:val="nil"/>
              <w:right w:val="nil"/>
            </w:tcBorders>
            <w:shd w:val="clear" w:color="auto" w:fill="auto"/>
            <w:vAlign w:val="bottom"/>
            <w:hideMark/>
          </w:tcPr>
          <w:p w14:paraId="00BBA913"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Ault-Riche (1988)</w:t>
            </w:r>
          </w:p>
        </w:tc>
        <w:tc>
          <w:tcPr>
            <w:tcW w:w="1419" w:type="dxa"/>
            <w:tcBorders>
              <w:top w:val="nil"/>
              <w:left w:val="nil"/>
              <w:bottom w:val="nil"/>
              <w:right w:val="nil"/>
            </w:tcBorders>
            <w:shd w:val="clear" w:color="auto" w:fill="auto"/>
            <w:noWrap/>
            <w:hideMark/>
          </w:tcPr>
          <w:p w14:paraId="3A51DDD3"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71B7A9AA"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2DF4C509"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237C1D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5014FBB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5009CA23" w14:textId="77777777" w:rsidR="003F0CDB" w:rsidRPr="00EA0DC7" w:rsidRDefault="003F0CDB" w:rsidP="00957911">
            <w:pPr>
              <w:spacing w:line="240" w:lineRule="auto"/>
              <w:jc w:val="center"/>
              <w:rPr>
                <w:rFonts w:eastAsia="Times New Roman" w:cs="Arial"/>
                <w:szCs w:val="24"/>
              </w:rPr>
            </w:pPr>
          </w:p>
        </w:tc>
      </w:tr>
      <w:tr w:rsidR="003F0CDB" w:rsidRPr="00EA0DC7" w14:paraId="3A5777E1" w14:textId="77777777" w:rsidTr="00AB5FD6">
        <w:trPr>
          <w:trHeight w:val="80"/>
        </w:trPr>
        <w:tc>
          <w:tcPr>
            <w:tcW w:w="3539" w:type="dxa"/>
            <w:tcBorders>
              <w:top w:val="nil"/>
              <w:left w:val="nil"/>
              <w:right w:val="nil"/>
            </w:tcBorders>
            <w:shd w:val="clear" w:color="auto" w:fill="auto"/>
            <w:vAlign w:val="bottom"/>
            <w:hideMark/>
          </w:tcPr>
          <w:p w14:paraId="6A69707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Watkins (1990)</w:t>
            </w:r>
          </w:p>
        </w:tc>
        <w:tc>
          <w:tcPr>
            <w:tcW w:w="1419" w:type="dxa"/>
            <w:tcBorders>
              <w:top w:val="nil"/>
              <w:left w:val="nil"/>
              <w:right w:val="nil"/>
            </w:tcBorders>
            <w:shd w:val="clear" w:color="auto" w:fill="auto"/>
            <w:noWrap/>
            <w:hideMark/>
          </w:tcPr>
          <w:p w14:paraId="6A0D3BBB"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18B96A59"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1C31A403"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376DCC1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0A3BC017"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3144E023" w14:textId="77777777" w:rsidR="003F0CDB" w:rsidRPr="00EA0DC7" w:rsidRDefault="003F0CDB" w:rsidP="00957911">
            <w:pPr>
              <w:spacing w:line="240" w:lineRule="auto"/>
              <w:jc w:val="center"/>
              <w:rPr>
                <w:rFonts w:eastAsia="Times New Roman" w:cs="Arial"/>
                <w:szCs w:val="24"/>
              </w:rPr>
            </w:pPr>
          </w:p>
        </w:tc>
      </w:tr>
      <w:tr w:rsidR="003F0CDB" w:rsidRPr="00EA0DC7" w14:paraId="2CDF518D" w14:textId="77777777" w:rsidTr="00AB5FD6">
        <w:trPr>
          <w:trHeight w:val="80"/>
        </w:trPr>
        <w:tc>
          <w:tcPr>
            <w:tcW w:w="3539" w:type="dxa"/>
            <w:tcBorders>
              <w:top w:val="nil"/>
              <w:left w:val="nil"/>
              <w:right w:val="nil"/>
            </w:tcBorders>
            <w:shd w:val="clear" w:color="auto" w:fill="auto"/>
            <w:vAlign w:val="bottom"/>
            <w:hideMark/>
          </w:tcPr>
          <w:p w14:paraId="489ED26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Wetchler (1990)</w:t>
            </w:r>
          </w:p>
        </w:tc>
        <w:tc>
          <w:tcPr>
            <w:tcW w:w="1419" w:type="dxa"/>
            <w:tcBorders>
              <w:top w:val="nil"/>
              <w:left w:val="nil"/>
              <w:right w:val="nil"/>
            </w:tcBorders>
            <w:shd w:val="clear" w:color="auto" w:fill="auto"/>
            <w:noWrap/>
            <w:hideMark/>
          </w:tcPr>
          <w:p w14:paraId="0FFB515A"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376CB48D"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60574A4E"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0FCA7E50"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665C6CB8"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02C3CEC0" w14:textId="77777777" w:rsidR="003F0CDB" w:rsidRPr="00EA0DC7" w:rsidRDefault="003F0CDB" w:rsidP="00957911">
            <w:pPr>
              <w:spacing w:line="240" w:lineRule="auto"/>
              <w:jc w:val="center"/>
              <w:rPr>
                <w:rFonts w:eastAsia="Times New Roman" w:cs="Arial"/>
                <w:szCs w:val="24"/>
              </w:rPr>
            </w:pPr>
          </w:p>
        </w:tc>
      </w:tr>
      <w:tr w:rsidR="003F0CDB" w:rsidRPr="00EA0DC7" w14:paraId="05514E61" w14:textId="77777777" w:rsidTr="00AB5FD6">
        <w:trPr>
          <w:trHeight w:val="80"/>
        </w:trPr>
        <w:tc>
          <w:tcPr>
            <w:tcW w:w="3539" w:type="dxa"/>
            <w:tcBorders>
              <w:left w:val="nil"/>
              <w:bottom w:val="nil"/>
              <w:right w:val="nil"/>
            </w:tcBorders>
            <w:shd w:val="clear" w:color="auto" w:fill="auto"/>
            <w:vAlign w:val="bottom"/>
            <w:hideMark/>
          </w:tcPr>
          <w:p w14:paraId="469A9620"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Mead (1990)</w:t>
            </w:r>
          </w:p>
        </w:tc>
        <w:tc>
          <w:tcPr>
            <w:tcW w:w="1419" w:type="dxa"/>
            <w:tcBorders>
              <w:left w:val="nil"/>
              <w:bottom w:val="nil"/>
              <w:right w:val="nil"/>
            </w:tcBorders>
            <w:shd w:val="clear" w:color="auto" w:fill="auto"/>
            <w:noWrap/>
            <w:hideMark/>
          </w:tcPr>
          <w:p w14:paraId="337E32C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left w:val="nil"/>
              <w:bottom w:val="nil"/>
              <w:right w:val="nil"/>
            </w:tcBorders>
          </w:tcPr>
          <w:p w14:paraId="0B6DC386" w14:textId="77777777" w:rsidR="003F0CDB" w:rsidRPr="00EA0DC7" w:rsidRDefault="003F0CDB" w:rsidP="00957911">
            <w:pPr>
              <w:spacing w:line="240" w:lineRule="auto"/>
              <w:jc w:val="center"/>
              <w:rPr>
                <w:rFonts w:eastAsia="Times New Roman" w:cs="Arial"/>
                <w:szCs w:val="24"/>
              </w:rPr>
            </w:pPr>
          </w:p>
        </w:tc>
        <w:tc>
          <w:tcPr>
            <w:tcW w:w="1986" w:type="dxa"/>
            <w:tcBorders>
              <w:left w:val="nil"/>
              <w:bottom w:val="nil"/>
              <w:right w:val="nil"/>
            </w:tcBorders>
          </w:tcPr>
          <w:p w14:paraId="0CF2A202" w14:textId="77777777" w:rsidR="003F0CDB" w:rsidRPr="00EA0DC7" w:rsidRDefault="003F0CDB" w:rsidP="00957911">
            <w:pPr>
              <w:spacing w:line="240" w:lineRule="auto"/>
              <w:jc w:val="center"/>
              <w:rPr>
                <w:rFonts w:eastAsia="Times New Roman" w:cs="Arial"/>
                <w:szCs w:val="24"/>
              </w:rPr>
            </w:pPr>
          </w:p>
        </w:tc>
        <w:tc>
          <w:tcPr>
            <w:tcW w:w="1134" w:type="dxa"/>
            <w:tcBorders>
              <w:left w:val="nil"/>
              <w:bottom w:val="nil"/>
              <w:right w:val="nil"/>
            </w:tcBorders>
          </w:tcPr>
          <w:p w14:paraId="533DCE4A"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nil"/>
              <w:right w:val="nil"/>
            </w:tcBorders>
          </w:tcPr>
          <w:p w14:paraId="051FC321" w14:textId="77777777" w:rsidR="003F0CDB" w:rsidRPr="00EA0DC7" w:rsidRDefault="003F0CDB" w:rsidP="00957911">
            <w:pPr>
              <w:spacing w:line="240" w:lineRule="auto"/>
              <w:jc w:val="center"/>
              <w:rPr>
                <w:rFonts w:eastAsia="Times New Roman" w:cs="Arial"/>
                <w:szCs w:val="24"/>
              </w:rPr>
            </w:pPr>
          </w:p>
        </w:tc>
        <w:tc>
          <w:tcPr>
            <w:tcW w:w="1757" w:type="dxa"/>
            <w:tcBorders>
              <w:left w:val="nil"/>
              <w:bottom w:val="nil"/>
              <w:right w:val="nil"/>
            </w:tcBorders>
          </w:tcPr>
          <w:p w14:paraId="2E8D7F17" w14:textId="77777777" w:rsidR="003F0CDB" w:rsidRPr="00EA0DC7" w:rsidRDefault="003F0CDB" w:rsidP="00957911">
            <w:pPr>
              <w:spacing w:line="240" w:lineRule="auto"/>
              <w:jc w:val="center"/>
              <w:rPr>
                <w:rFonts w:eastAsia="Times New Roman" w:cs="Arial"/>
                <w:szCs w:val="24"/>
              </w:rPr>
            </w:pPr>
          </w:p>
        </w:tc>
      </w:tr>
      <w:tr w:rsidR="003F0CDB" w:rsidRPr="00EA0DC7" w14:paraId="0387974C" w14:textId="77777777" w:rsidTr="00AB5FD6">
        <w:trPr>
          <w:trHeight w:val="80"/>
        </w:trPr>
        <w:tc>
          <w:tcPr>
            <w:tcW w:w="3539" w:type="dxa"/>
            <w:tcBorders>
              <w:top w:val="nil"/>
              <w:left w:val="nil"/>
              <w:bottom w:val="nil"/>
              <w:right w:val="nil"/>
            </w:tcBorders>
            <w:shd w:val="clear" w:color="auto" w:fill="auto"/>
            <w:vAlign w:val="bottom"/>
            <w:hideMark/>
          </w:tcPr>
          <w:p w14:paraId="1B389B7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Hawkins &amp; Shohet (1993)</w:t>
            </w:r>
          </w:p>
        </w:tc>
        <w:tc>
          <w:tcPr>
            <w:tcW w:w="1419" w:type="dxa"/>
            <w:tcBorders>
              <w:top w:val="nil"/>
              <w:left w:val="nil"/>
              <w:bottom w:val="nil"/>
              <w:right w:val="nil"/>
            </w:tcBorders>
            <w:shd w:val="clear" w:color="auto" w:fill="auto"/>
            <w:noWrap/>
            <w:hideMark/>
          </w:tcPr>
          <w:p w14:paraId="65B1990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69483EC3"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139CB8E7"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7E6E254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6298C07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tcPr>
          <w:p w14:paraId="191CDE44" w14:textId="77777777" w:rsidR="003F0CDB" w:rsidRPr="00EA0DC7" w:rsidRDefault="003F0CDB" w:rsidP="00957911">
            <w:pPr>
              <w:spacing w:line="240" w:lineRule="auto"/>
              <w:jc w:val="center"/>
              <w:rPr>
                <w:rFonts w:eastAsia="Times New Roman" w:cs="Arial"/>
                <w:szCs w:val="24"/>
              </w:rPr>
            </w:pPr>
          </w:p>
        </w:tc>
      </w:tr>
      <w:tr w:rsidR="003F0CDB" w:rsidRPr="00EA0DC7" w14:paraId="465E91F9" w14:textId="77777777" w:rsidTr="00AB5FD6">
        <w:trPr>
          <w:trHeight w:val="80"/>
        </w:trPr>
        <w:tc>
          <w:tcPr>
            <w:tcW w:w="3539" w:type="dxa"/>
            <w:tcBorders>
              <w:top w:val="nil"/>
              <w:left w:val="nil"/>
              <w:right w:val="nil"/>
            </w:tcBorders>
            <w:shd w:val="clear" w:color="auto" w:fill="auto"/>
            <w:vAlign w:val="bottom"/>
            <w:hideMark/>
          </w:tcPr>
          <w:p w14:paraId="03C3E1C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Rodenhauser (1994)</w:t>
            </w:r>
          </w:p>
        </w:tc>
        <w:tc>
          <w:tcPr>
            <w:tcW w:w="1419" w:type="dxa"/>
            <w:tcBorders>
              <w:top w:val="nil"/>
              <w:left w:val="nil"/>
              <w:right w:val="nil"/>
            </w:tcBorders>
            <w:shd w:val="clear" w:color="auto" w:fill="auto"/>
            <w:noWrap/>
            <w:hideMark/>
          </w:tcPr>
          <w:p w14:paraId="0CB863D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18DBB1FC"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3F47D9D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427C6638"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396A41C5"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tcPr>
          <w:p w14:paraId="3C69EAB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3F0CDB" w:rsidRPr="00EA0DC7" w14:paraId="622C73AA" w14:textId="77777777" w:rsidTr="00AB5FD6">
        <w:trPr>
          <w:trHeight w:val="80"/>
        </w:trPr>
        <w:tc>
          <w:tcPr>
            <w:tcW w:w="3539" w:type="dxa"/>
            <w:tcBorders>
              <w:top w:val="nil"/>
              <w:left w:val="nil"/>
              <w:bottom w:val="nil"/>
              <w:right w:val="nil"/>
            </w:tcBorders>
            <w:shd w:val="clear" w:color="auto" w:fill="auto"/>
            <w:vAlign w:val="bottom"/>
            <w:hideMark/>
          </w:tcPr>
          <w:p w14:paraId="3512E45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Thomas (1994)</w:t>
            </w:r>
          </w:p>
        </w:tc>
        <w:tc>
          <w:tcPr>
            <w:tcW w:w="1419" w:type="dxa"/>
            <w:tcBorders>
              <w:top w:val="nil"/>
              <w:left w:val="nil"/>
              <w:bottom w:val="nil"/>
              <w:right w:val="nil"/>
            </w:tcBorders>
            <w:shd w:val="clear" w:color="auto" w:fill="auto"/>
            <w:noWrap/>
            <w:vAlign w:val="center"/>
            <w:hideMark/>
          </w:tcPr>
          <w:p w14:paraId="30CE79C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7C22AC85"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5941535D"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3A280A1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2D184FD4"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18BB3D54" w14:textId="77777777" w:rsidR="003F0CDB" w:rsidRPr="00EA0DC7" w:rsidRDefault="003F0CDB" w:rsidP="00957911">
            <w:pPr>
              <w:spacing w:line="240" w:lineRule="auto"/>
              <w:jc w:val="center"/>
              <w:rPr>
                <w:rFonts w:eastAsia="Times New Roman" w:cs="Arial"/>
                <w:szCs w:val="24"/>
              </w:rPr>
            </w:pPr>
          </w:p>
        </w:tc>
      </w:tr>
      <w:tr w:rsidR="003F0CDB" w:rsidRPr="00EA0DC7" w14:paraId="44977A59" w14:textId="77777777" w:rsidTr="00AB5FD6">
        <w:trPr>
          <w:trHeight w:val="125"/>
        </w:trPr>
        <w:tc>
          <w:tcPr>
            <w:tcW w:w="3539" w:type="dxa"/>
            <w:tcBorders>
              <w:top w:val="nil"/>
              <w:left w:val="nil"/>
              <w:bottom w:val="nil"/>
              <w:right w:val="nil"/>
            </w:tcBorders>
            <w:shd w:val="clear" w:color="auto" w:fill="auto"/>
            <w:vAlign w:val="bottom"/>
            <w:hideMark/>
          </w:tcPr>
          <w:p w14:paraId="5E5E2AC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Rigazio-DiGilio &amp; Anderson (1994)</w:t>
            </w:r>
          </w:p>
        </w:tc>
        <w:tc>
          <w:tcPr>
            <w:tcW w:w="1419" w:type="dxa"/>
            <w:tcBorders>
              <w:top w:val="nil"/>
              <w:left w:val="nil"/>
              <w:bottom w:val="nil"/>
              <w:right w:val="nil"/>
            </w:tcBorders>
            <w:shd w:val="clear" w:color="auto" w:fill="auto"/>
            <w:noWrap/>
            <w:vAlign w:val="center"/>
            <w:hideMark/>
          </w:tcPr>
          <w:p w14:paraId="5D9C155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47EABC63"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1349F46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17314C50"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59496470"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6F9F128C" w14:textId="77777777" w:rsidR="003F0CDB" w:rsidRPr="00EA0DC7" w:rsidRDefault="003F0CDB" w:rsidP="00957911">
            <w:pPr>
              <w:spacing w:line="240" w:lineRule="auto"/>
              <w:jc w:val="center"/>
              <w:rPr>
                <w:rFonts w:eastAsia="Times New Roman" w:cs="Arial"/>
                <w:szCs w:val="24"/>
              </w:rPr>
            </w:pPr>
          </w:p>
        </w:tc>
      </w:tr>
      <w:tr w:rsidR="003F0CDB" w:rsidRPr="00EA0DC7" w14:paraId="62BCDBD9" w14:textId="77777777" w:rsidTr="00AB5FD6">
        <w:trPr>
          <w:trHeight w:val="80"/>
        </w:trPr>
        <w:tc>
          <w:tcPr>
            <w:tcW w:w="3539" w:type="dxa"/>
            <w:tcBorders>
              <w:top w:val="nil"/>
              <w:left w:val="nil"/>
              <w:bottom w:val="nil"/>
              <w:right w:val="nil"/>
            </w:tcBorders>
            <w:shd w:val="clear" w:color="auto" w:fill="auto"/>
            <w:vAlign w:val="bottom"/>
            <w:hideMark/>
          </w:tcPr>
          <w:p w14:paraId="023D7AFB"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Holloway (1995)</w:t>
            </w:r>
          </w:p>
        </w:tc>
        <w:tc>
          <w:tcPr>
            <w:tcW w:w="1419" w:type="dxa"/>
            <w:tcBorders>
              <w:top w:val="nil"/>
              <w:left w:val="nil"/>
              <w:bottom w:val="nil"/>
              <w:right w:val="nil"/>
            </w:tcBorders>
            <w:shd w:val="clear" w:color="auto" w:fill="auto"/>
            <w:noWrap/>
            <w:vAlign w:val="center"/>
            <w:hideMark/>
          </w:tcPr>
          <w:p w14:paraId="0BA3B01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21A687EC"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0CB929FE"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368CA18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4C1D3BE7"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188FE124" w14:textId="77777777" w:rsidR="003F0CDB" w:rsidRPr="00EA0DC7" w:rsidRDefault="003F0CDB" w:rsidP="00957911">
            <w:pPr>
              <w:spacing w:line="240" w:lineRule="auto"/>
              <w:jc w:val="center"/>
              <w:rPr>
                <w:rFonts w:eastAsia="Times New Roman" w:cs="Arial"/>
                <w:szCs w:val="24"/>
              </w:rPr>
            </w:pPr>
          </w:p>
        </w:tc>
      </w:tr>
      <w:tr w:rsidR="003F0CDB" w:rsidRPr="00EA0DC7" w14:paraId="3CB8901B" w14:textId="77777777" w:rsidTr="00AB5FD6">
        <w:trPr>
          <w:trHeight w:val="80"/>
        </w:trPr>
        <w:tc>
          <w:tcPr>
            <w:tcW w:w="3539" w:type="dxa"/>
            <w:tcBorders>
              <w:top w:val="nil"/>
              <w:left w:val="nil"/>
              <w:right w:val="nil"/>
            </w:tcBorders>
            <w:shd w:val="clear" w:color="auto" w:fill="auto"/>
            <w:vAlign w:val="bottom"/>
            <w:hideMark/>
          </w:tcPr>
          <w:p w14:paraId="024AEF6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Hipp &amp; Munson (1995)</w:t>
            </w:r>
          </w:p>
        </w:tc>
        <w:tc>
          <w:tcPr>
            <w:tcW w:w="1419" w:type="dxa"/>
            <w:tcBorders>
              <w:top w:val="nil"/>
              <w:left w:val="nil"/>
              <w:right w:val="nil"/>
            </w:tcBorders>
            <w:shd w:val="clear" w:color="auto" w:fill="auto"/>
            <w:noWrap/>
            <w:vAlign w:val="center"/>
            <w:hideMark/>
          </w:tcPr>
          <w:p w14:paraId="0FCECE2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0BC8A869"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2BF18BA1"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6C865DE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79CD4C84"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53FD6FD8" w14:textId="77777777" w:rsidR="003F0CDB" w:rsidRPr="00EA0DC7" w:rsidRDefault="003F0CDB" w:rsidP="00957911">
            <w:pPr>
              <w:spacing w:line="240" w:lineRule="auto"/>
              <w:jc w:val="center"/>
              <w:rPr>
                <w:rFonts w:eastAsia="Times New Roman" w:cs="Arial"/>
                <w:szCs w:val="24"/>
              </w:rPr>
            </w:pPr>
          </w:p>
        </w:tc>
      </w:tr>
      <w:tr w:rsidR="003F0CDB" w:rsidRPr="00EA0DC7" w14:paraId="6A585C0A" w14:textId="77777777" w:rsidTr="00AB5FD6">
        <w:trPr>
          <w:trHeight w:val="80"/>
        </w:trPr>
        <w:tc>
          <w:tcPr>
            <w:tcW w:w="3539" w:type="dxa"/>
            <w:tcBorders>
              <w:top w:val="nil"/>
              <w:left w:val="nil"/>
              <w:bottom w:val="single" w:sz="4" w:space="0" w:color="auto"/>
              <w:right w:val="nil"/>
            </w:tcBorders>
            <w:shd w:val="clear" w:color="auto" w:fill="auto"/>
            <w:vAlign w:val="bottom"/>
            <w:hideMark/>
          </w:tcPr>
          <w:p w14:paraId="0F7D1F19"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Carroll (1996)</w:t>
            </w:r>
          </w:p>
        </w:tc>
        <w:tc>
          <w:tcPr>
            <w:tcW w:w="1419" w:type="dxa"/>
            <w:tcBorders>
              <w:top w:val="nil"/>
              <w:left w:val="nil"/>
              <w:bottom w:val="single" w:sz="4" w:space="0" w:color="auto"/>
              <w:right w:val="nil"/>
            </w:tcBorders>
            <w:shd w:val="clear" w:color="auto" w:fill="auto"/>
            <w:noWrap/>
            <w:vAlign w:val="center"/>
            <w:hideMark/>
          </w:tcPr>
          <w:p w14:paraId="4E1EB9E7"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single" w:sz="4" w:space="0" w:color="auto"/>
              <w:right w:val="nil"/>
            </w:tcBorders>
          </w:tcPr>
          <w:p w14:paraId="0BCEB920"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single" w:sz="4" w:space="0" w:color="auto"/>
              <w:right w:val="nil"/>
            </w:tcBorders>
          </w:tcPr>
          <w:p w14:paraId="14A0AAD0"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single" w:sz="4" w:space="0" w:color="auto"/>
              <w:right w:val="nil"/>
            </w:tcBorders>
          </w:tcPr>
          <w:p w14:paraId="72C5AB2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tcPr>
          <w:p w14:paraId="2443DCD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single" w:sz="4" w:space="0" w:color="auto"/>
              <w:right w:val="nil"/>
            </w:tcBorders>
            <w:vAlign w:val="center"/>
          </w:tcPr>
          <w:p w14:paraId="5A7C370A" w14:textId="77777777" w:rsidR="003F0CDB" w:rsidRPr="00EA0DC7" w:rsidRDefault="003F0CDB" w:rsidP="00957911">
            <w:pPr>
              <w:spacing w:line="240" w:lineRule="auto"/>
              <w:jc w:val="center"/>
              <w:rPr>
                <w:rFonts w:eastAsia="Times New Roman" w:cs="Arial"/>
                <w:szCs w:val="24"/>
              </w:rPr>
            </w:pPr>
          </w:p>
        </w:tc>
      </w:tr>
    </w:tbl>
    <w:p w14:paraId="39990A97" w14:textId="77777777" w:rsidR="00AB5FD6" w:rsidRPr="00EA0DC7" w:rsidRDefault="00AB5FD6" w:rsidP="009A63E8">
      <w:pPr>
        <w:spacing w:before="240" w:line="240" w:lineRule="auto"/>
        <w:rPr>
          <w:rFonts w:eastAsia="Times New Roman" w:cs="Arial"/>
          <w:szCs w:val="24"/>
        </w:rPr>
        <w:sectPr w:rsidR="00AB5FD6" w:rsidRPr="00EA0DC7" w:rsidSect="00071D9D">
          <w:pgSz w:w="16838" w:h="11906" w:orient="landscape"/>
          <w:pgMar w:top="2268" w:right="1440" w:bottom="1440" w:left="1440" w:header="709" w:footer="709" w:gutter="0"/>
          <w:cols w:space="708"/>
          <w:docGrid w:linePitch="360"/>
        </w:sectPr>
      </w:pPr>
    </w:p>
    <w:tbl>
      <w:tblPr>
        <w:tblW w:w="13520" w:type="dxa"/>
        <w:tblLayout w:type="fixed"/>
        <w:tblLook w:val="04A0" w:firstRow="1" w:lastRow="0" w:firstColumn="1" w:lastColumn="0" w:noHBand="0" w:noVBand="1"/>
      </w:tblPr>
      <w:tblGrid>
        <w:gridCol w:w="3539"/>
        <w:gridCol w:w="1419"/>
        <w:gridCol w:w="1984"/>
        <w:gridCol w:w="1986"/>
        <w:gridCol w:w="1134"/>
        <w:gridCol w:w="1701"/>
        <w:gridCol w:w="1757"/>
      </w:tblGrid>
      <w:tr w:rsidR="00AB5FD6" w:rsidRPr="00EA0DC7" w14:paraId="245E0F19" w14:textId="77777777" w:rsidTr="00AB5FD6">
        <w:trPr>
          <w:trHeight w:val="80"/>
        </w:trPr>
        <w:tc>
          <w:tcPr>
            <w:tcW w:w="3539" w:type="dxa"/>
            <w:tcBorders>
              <w:top w:val="single" w:sz="4" w:space="0" w:color="auto"/>
              <w:left w:val="nil"/>
              <w:bottom w:val="single" w:sz="4" w:space="0" w:color="auto"/>
              <w:right w:val="nil"/>
            </w:tcBorders>
            <w:shd w:val="clear" w:color="auto" w:fill="auto"/>
            <w:vAlign w:val="center"/>
          </w:tcPr>
          <w:p w14:paraId="09A3EFE5" w14:textId="001394FF"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419" w:type="dxa"/>
            <w:tcBorders>
              <w:top w:val="single" w:sz="4" w:space="0" w:color="auto"/>
              <w:left w:val="nil"/>
              <w:bottom w:val="single" w:sz="4" w:space="0" w:color="auto"/>
              <w:right w:val="nil"/>
            </w:tcBorders>
            <w:shd w:val="clear" w:color="auto" w:fill="auto"/>
            <w:noWrap/>
            <w:vAlign w:val="center"/>
          </w:tcPr>
          <w:p w14:paraId="7136CFCC" w14:textId="0A47AF9D"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t>Focus on client</w:t>
            </w:r>
          </w:p>
        </w:tc>
        <w:tc>
          <w:tcPr>
            <w:tcW w:w="1984" w:type="dxa"/>
            <w:tcBorders>
              <w:top w:val="single" w:sz="4" w:space="0" w:color="auto"/>
              <w:left w:val="nil"/>
              <w:bottom w:val="single" w:sz="4" w:space="0" w:color="auto"/>
              <w:right w:val="nil"/>
            </w:tcBorders>
            <w:vAlign w:val="center"/>
          </w:tcPr>
          <w:p w14:paraId="5ECEBA5F" w14:textId="7B28DD9E"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personal characteristics</w:t>
            </w:r>
          </w:p>
        </w:tc>
        <w:tc>
          <w:tcPr>
            <w:tcW w:w="1986" w:type="dxa"/>
            <w:tcBorders>
              <w:top w:val="single" w:sz="4" w:space="0" w:color="auto"/>
              <w:left w:val="nil"/>
              <w:bottom w:val="single" w:sz="4" w:space="0" w:color="auto"/>
              <w:right w:val="nil"/>
            </w:tcBorders>
            <w:vAlign w:val="center"/>
          </w:tcPr>
          <w:p w14:paraId="3BD0B2B1" w14:textId="69CAFE1C"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culture/ ethnicity</w:t>
            </w:r>
          </w:p>
        </w:tc>
        <w:tc>
          <w:tcPr>
            <w:tcW w:w="1134" w:type="dxa"/>
            <w:tcBorders>
              <w:top w:val="single" w:sz="4" w:space="0" w:color="auto"/>
              <w:left w:val="nil"/>
              <w:bottom w:val="single" w:sz="4" w:space="0" w:color="auto"/>
              <w:right w:val="nil"/>
            </w:tcBorders>
            <w:vAlign w:val="center"/>
          </w:tcPr>
          <w:p w14:paraId="50640485" w14:textId="2B836EC9"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gender</w:t>
            </w:r>
          </w:p>
        </w:tc>
        <w:tc>
          <w:tcPr>
            <w:tcW w:w="1701" w:type="dxa"/>
            <w:tcBorders>
              <w:top w:val="single" w:sz="4" w:space="0" w:color="auto"/>
              <w:left w:val="nil"/>
              <w:bottom w:val="single" w:sz="4" w:space="0" w:color="auto"/>
              <w:right w:val="nil"/>
            </w:tcBorders>
            <w:vAlign w:val="center"/>
          </w:tcPr>
          <w:p w14:paraId="280E4274" w14:textId="6C3DDD19"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expectations</w:t>
            </w:r>
          </w:p>
        </w:tc>
        <w:tc>
          <w:tcPr>
            <w:tcW w:w="1757" w:type="dxa"/>
            <w:tcBorders>
              <w:top w:val="single" w:sz="4" w:space="0" w:color="auto"/>
              <w:left w:val="nil"/>
              <w:bottom w:val="single" w:sz="4" w:space="0" w:color="auto"/>
              <w:right w:val="nil"/>
            </w:tcBorders>
            <w:vAlign w:val="center"/>
          </w:tcPr>
          <w:p w14:paraId="46181157" w14:textId="1C57FE3F"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t>Development of client</w:t>
            </w:r>
          </w:p>
        </w:tc>
      </w:tr>
      <w:tr w:rsidR="003F0CDB" w:rsidRPr="00EA0DC7" w14:paraId="7F367D78" w14:textId="77777777" w:rsidTr="00AB5FD6">
        <w:trPr>
          <w:trHeight w:val="80"/>
        </w:trPr>
        <w:tc>
          <w:tcPr>
            <w:tcW w:w="3539" w:type="dxa"/>
            <w:tcBorders>
              <w:top w:val="single" w:sz="4" w:space="0" w:color="auto"/>
              <w:left w:val="nil"/>
              <w:bottom w:val="nil"/>
              <w:right w:val="nil"/>
            </w:tcBorders>
            <w:shd w:val="clear" w:color="auto" w:fill="auto"/>
            <w:vAlign w:val="bottom"/>
            <w:hideMark/>
          </w:tcPr>
          <w:p w14:paraId="5ACFCA91" w14:textId="0BFE65EE" w:rsidR="003F0CDB" w:rsidRPr="00EA0DC7" w:rsidRDefault="003F0CDB" w:rsidP="009A63E8">
            <w:pPr>
              <w:spacing w:before="240" w:line="240" w:lineRule="auto"/>
              <w:rPr>
                <w:rFonts w:eastAsia="Times New Roman" w:cs="Arial"/>
                <w:szCs w:val="24"/>
              </w:rPr>
            </w:pPr>
            <w:r w:rsidRPr="00EA0DC7">
              <w:rPr>
                <w:rFonts w:eastAsia="Times New Roman" w:cs="Arial"/>
                <w:szCs w:val="24"/>
              </w:rPr>
              <w:t>Carroll (1996)</w:t>
            </w:r>
          </w:p>
        </w:tc>
        <w:tc>
          <w:tcPr>
            <w:tcW w:w="1419" w:type="dxa"/>
            <w:tcBorders>
              <w:top w:val="single" w:sz="4" w:space="0" w:color="auto"/>
              <w:left w:val="nil"/>
              <w:bottom w:val="nil"/>
              <w:right w:val="nil"/>
            </w:tcBorders>
            <w:shd w:val="clear" w:color="auto" w:fill="auto"/>
            <w:noWrap/>
            <w:vAlign w:val="center"/>
            <w:hideMark/>
          </w:tcPr>
          <w:p w14:paraId="709AFBD5" w14:textId="77777777" w:rsidR="003F0CDB" w:rsidRPr="00EA0DC7" w:rsidRDefault="003F0CDB" w:rsidP="009A63E8">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tcPr>
          <w:p w14:paraId="04BC0E72" w14:textId="77777777" w:rsidR="003F0CDB" w:rsidRPr="00EA0DC7" w:rsidRDefault="003F0CDB" w:rsidP="009A63E8">
            <w:pPr>
              <w:spacing w:before="240" w:line="240" w:lineRule="auto"/>
              <w:jc w:val="center"/>
              <w:rPr>
                <w:rFonts w:eastAsia="Times New Roman" w:cs="Arial"/>
                <w:szCs w:val="24"/>
              </w:rPr>
            </w:pPr>
          </w:p>
        </w:tc>
        <w:tc>
          <w:tcPr>
            <w:tcW w:w="1986" w:type="dxa"/>
            <w:tcBorders>
              <w:top w:val="single" w:sz="4" w:space="0" w:color="auto"/>
              <w:left w:val="nil"/>
              <w:bottom w:val="nil"/>
              <w:right w:val="nil"/>
            </w:tcBorders>
          </w:tcPr>
          <w:p w14:paraId="3D82ECD4" w14:textId="77777777" w:rsidR="003F0CDB" w:rsidRPr="00EA0DC7" w:rsidRDefault="003F0CDB" w:rsidP="009A63E8">
            <w:pPr>
              <w:spacing w:before="240" w:line="240" w:lineRule="auto"/>
              <w:jc w:val="center"/>
              <w:rPr>
                <w:rFonts w:eastAsia="Times New Roman" w:cs="Arial"/>
                <w:szCs w:val="24"/>
              </w:rPr>
            </w:pPr>
          </w:p>
        </w:tc>
        <w:tc>
          <w:tcPr>
            <w:tcW w:w="1134" w:type="dxa"/>
            <w:tcBorders>
              <w:top w:val="single" w:sz="4" w:space="0" w:color="auto"/>
              <w:left w:val="nil"/>
              <w:bottom w:val="nil"/>
              <w:right w:val="nil"/>
            </w:tcBorders>
          </w:tcPr>
          <w:p w14:paraId="62C44A72" w14:textId="77777777" w:rsidR="003F0CDB" w:rsidRPr="00EA0DC7" w:rsidRDefault="003F0CDB" w:rsidP="009A63E8">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tcPr>
          <w:p w14:paraId="1F68D18E" w14:textId="77777777" w:rsidR="003F0CDB" w:rsidRPr="00EA0DC7" w:rsidRDefault="003F0CDB" w:rsidP="009A63E8">
            <w:pPr>
              <w:spacing w:before="240" w:line="240" w:lineRule="auto"/>
              <w:jc w:val="center"/>
              <w:rPr>
                <w:rFonts w:eastAsia="Times New Roman" w:cs="Arial"/>
                <w:szCs w:val="24"/>
              </w:rPr>
            </w:pPr>
          </w:p>
        </w:tc>
        <w:tc>
          <w:tcPr>
            <w:tcW w:w="1757" w:type="dxa"/>
            <w:tcBorders>
              <w:top w:val="single" w:sz="4" w:space="0" w:color="auto"/>
              <w:left w:val="nil"/>
              <w:bottom w:val="nil"/>
              <w:right w:val="nil"/>
            </w:tcBorders>
            <w:vAlign w:val="center"/>
          </w:tcPr>
          <w:p w14:paraId="133BFBC5" w14:textId="77777777" w:rsidR="003F0CDB" w:rsidRPr="00EA0DC7" w:rsidRDefault="003F0CDB" w:rsidP="009A63E8">
            <w:pPr>
              <w:spacing w:before="240" w:line="240" w:lineRule="auto"/>
              <w:jc w:val="center"/>
              <w:rPr>
                <w:rFonts w:eastAsia="Times New Roman" w:cs="Arial"/>
                <w:szCs w:val="24"/>
              </w:rPr>
            </w:pPr>
          </w:p>
        </w:tc>
      </w:tr>
      <w:tr w:rsidR="003F0CDB" w:rsidRPr="00EA0DC7" w14:paraId="1CEBC435" w14:textId="77777777" w:rsidTr="00AB5FD6">
        <w:trPr>
          <w:trHeight w:val="80"/>
        </w:trPr>
        <w:tc>
          <w:tcPr>
            <w:tcW w:w="3539" w:type="dxa"/>
            <w:tcBorders>
              <w:top w:val="nil"/>
              <w:left w:val="nil"/>
              <w:bottom w:val="nil"/>
              <w:right w:val="nil"/>
            </w:tcBorders>
            <w:shd w:val="clear" w:color="auto" w:fill="auto"/>
            <w:vAlign w:val="bottom"/>
            <w:hideMark/>
          </w:tcPr>
          <w:p w14:paraId="68785AA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Haber (1996)</w:t>
            </w:r>
          </w:p>
        </w:tc>
        <w:tc>
          <w:tcPr>
            <w:tcW w:w="1419" w:type="dxa"/>
            <w:tcBorders>
              <w:top w:val="nil"/>
              <w:left w:val="nil"/>
              <w:bottom w:val="nil"/>
              <w:right w:val="nil"/>
            </w:tcBorders>
            <w:shd w:val="clear" w:color="auto" w:fill="auto"/>
            <w:noWrap/>
            <w:vAlign w:val="center"/>
            <w:hideMark/>
          </w:tcPr>
          <w:p w14:paraId="6C3BA93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47D875CE"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562C485C"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7BE0DA2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7C1EA146"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3E1DEBCC" w14:textId="77777777" w:rsidR="003F0CDB" w:rsidRPr="00EA0DC7" w:rsidRDefault="003F0CDB" w:rsidP="00957911">
            <w:pPr>
              <w:spacing w:line="240" w:lineRule="auto"/>
              <w:jc w:val="center"/>
              <w:rPr>
                <w:rFonts w:eastAsia="Times New Roman" w:cs="Arial"/>
                <w:szCs w:val="24"/>
              </w:rPr>
            </w:pPr>
          </w:p>
        </w:tc>
      </w:tr>
      <w:tr w:rsidR="003F0CDB" w:rsidRPr="00EA0DC7" w14:paraId="7C678550" w14:textId="77777777" w:rsidTr="00AB5FD6">
        <w:trPr>
          <w:trHeight w:val="80"/>
        </w:trPr>
        <w:tc>
          <w:tcPr>
            <w:tcW w:w="3539" w:type="dxa"/>
            <w:tcBorders>
              <w:top w:val="nil"/>
              <w:left w:val="nil"/>
              <w:bottom w:val="nil"/>
              <w:right w:val="nil"/>
            </w:tcBorders>
            <w:shd w:val="clear" w:color="auto" w:fill="auto"/>
            <w:vAlign w:val="bottom"/>
            <w:hideMark/>
          </w:tcPr>
          <w:p w14:paraId="1BD2E99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Liese &amp; Beck (1997)</w:t>
            </w:r>
          </w:p>
        </w:tc>
        <w:tc>
          <w:tcPr>
            <w:tcW w:w="1419" w:type="dxa"/>
            <w:tcBorders>
              <w:top w:val="nil"/>
              <w:left w:val="nil"/>
              <w:bottom w:val="nil"/>
              <w:right w:val="nil"/>
            </w:tcBorders>
            <w:shd w:val="clear" w:color="auto" w:fill="auto"/>
            <w:noWrap/>
            <w:vAlign w:val="center"/>
            <w:hideMark/>
          </w:tcPr>
          <w:p w14:paraId="05581283"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1ECAD819"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66D10CDF"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7CE7C663"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62B2BC13"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7DE60555" w14:textId="77777777" w:rsidR="003F0CDB" w:rsidRPr="00EA0DC7" w:rsidRDefault="003F0CDB" w:rsidP="00957911">
            <w:pPr>
              <w:spacing w:line="240" w:lineRule="auto"/>
              <w:jc w:val="center"/>
              <w:rPr>
                <w:rFonts w:eastAsia="Times New Roman" w:cs="Arial"/>
                <w:szCs w:val="24"/>
              </w:rPr>
            </w:pPr>
          </w:p>
        </w:tc>
      </w:tr>
      <w:tr w:rsidR="003F0CDB" w:rsidRPr="00EA0DC7" w14:paraId="775D79E4" w14:textId="77777777" w:rsidTr="00AB5FD6">
        <w:trPr>
          <w:trHeight w:val="80"/>
        </w:trPr>
        <w:tc>
          <w:tcPr>
            <w:tcW w:w="3539" w:type="dxa"/>
            <w:tcBorders>
              <w:top w:val="nil"/>
              <w:left w:val="nil"/>
              <w:bottom w:val="nil"/>
              <w:right w:val="nil"/>
            </w:tcBorders>
            <w:shd w:val="clear" w:color="auto" w:fill="auto"/>
            <w:vAlign w:val="bottom"/>
            <w:hideMark/>
          </w:tcPr>
          <w:p w14:paraId="2A723C95"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Ward &amp; House (1998)</w:t>
            </w:r>
          </w:p>
        </w:tc>
        <w:tc>
          <w:tcPr>
            <w:tcW w:w="1419" w:type="dxa"/>
            <w:tcBorders>
              <w:top w:val="nil"/>
              <w:left w:val="nil"/>
              <w:bottom w:val="nil"/>
              <w:right w:val="nil"/>
            </w:tcBorders>
            <w:shd w:val="clear" w:color="auto" w:fill="auto"/>
            <w:noWrap/>
            <w:vAlign w:val="center"/>
            <w:hideMark/>
          </w:tcPr>
          <w:p w14:paraId="7B8AF6F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1D3175F1"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0D865D1F"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76AF151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35C85730"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61C5ABD2" w14:textId="77777777" w:rsidR="003F0CDB" w:rsidRPr="00EA0DC7" w:rsidRDefault="003F0CDB" w:rsidP="00957911">
            <w:pPr>
              <w:spacing w:line="240" w:lineRule="auto"/>
              <w:jc w:val="center"/>
              <w:rPr>
                <w:rFonts w:eastAsia="Times New Roman" w:cs="Arial"/>
                <w:szCs w:val="24"/>
              </w:rPr>
            </w:pPr>
          </w:p>
        </w:tc>
      </w:tr>
      <w:tr w:rsidR="003F0CDB" w:rsidRPr="00EA0DC7" w14:paraId="4719F1A9" w14:textId="77777777" w:rsidTr="00AB5FD6">
        <w:trPr>
          <w:trHeight w:val="80"/>
        </w:trPr>
        <w:tc>
          <w:tcPr>
            <w:tcW w:w="3539" w:type="dxa"/>
            <w:tcBorders>
              <w:top w:val="nil"/>
              <w:left w:val="nil"/>
              <w:bottom w:val="nil"/>
              <w:right w:val="nil"/>
            </w:tcBorders>
            <w:shd w:val="clear" w:color="auto" w:fill="auto"/>
            <w:vAlign w:val="bottom"/>
            <w:hideMark/>
          </w:tcPr>
          <w:p w14:paraId="581A218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Bob (1999)</w:t>
            </w:r>
          </w:p>
        </w:tc>
        <w:tc>
          <w:tcPr>
            <w:tcW w:w="1419" w:type="dxa"/>
            <w:tcBorders>
              <w:top w:val="nil"/>
              <w:left w:val="nil"/>
              <w:bottom w:val="nil"/>
              <w:right w:val="nil"/>
            </w:tcBorders>
            <w:shd w:val="clear" w:color="auto" w:fill="auto"/>
            <w:noWrap/>
            <w:vAlign w:val="center"/>
            <w:hideMark/>
          </w:tcPr>
          <w:p w14:paraId="7D85221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tcPr>
          <w:p w14:paraId="7778C0D6"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6E8AC9DA"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5D6E90A0"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75AF41A2"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5F75D930" w14:textId="77777777" w:rsidR="003F0CDB" w:rsidRPr="00EA0DC7" w:rsidRDefault="003F0CDB" w:rsidP="00957911">
            <w:pPr>
              <w:spacing w:line="240" w:lineRule="auto"/>
              <w:jc w:val="center"/>
              <w:rPr>
                <w:rFonts w:eastAsia="Times New Roman" w:cs="Arial"/>
                <w:szCs w:val="24"/>
              </w:rPr>
            </w:pPr>
          </w:p>
        </w:tc>
      </w:tr>
      <w:tr w:rsidR="003F0CDB" w:rsidRPr="00EA0DC7" w14:paraId="7CF8CDF3" w14:textId="77777777" w:rsidTr="00AB5FD6">
        <w:trPr>
          <w:trHeight w:val="80"/>
        </w:trPr>
        <w:tc>
          <w:tcPr>
            <w:tcW w:w="3539" w:type="dxa"/>
            <w:tcBorders>
              <w:top w:val="nil"/>
              <w:left w:val="nil"/>
              <w:right w:val="nil"/>
            </w:tcBorders>
            <w:shd w:val="clear" w:color="auto" w:fill="auto"/>
            <w:vAlign w:val="bottom"/>
            <w:hideMark/>
          </w:tcPr>
          <w:p w14:paraId="4958B77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Nelson &amp; Johnson (1999)</w:t>
            </w:r>
          </w:p>
        </w:tc>
        <w:tc>
          <w:tcPr>
            <w:tcW w:w="1419" w:type="dxa"/>
            <w:tcBorders>
              <w:top w:val="nil"/>
              <w:left w:val="nil"/>
              <w:right w:val="nil"/>
            </w:tcBorders>
            <w:shd w:val="clear" w:color="auto" w:fill="auto"/>
            <w:noWrap/>
            <w:vAlign w:val="center"/>
            <w:hideMark/>
          </w:tcPr>
          <w:p w14:paraId="6B830640"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1C93C408"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6BD4274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44F35D08"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4744C32A"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33FFF222" w14:textId="77777777" w:rsidR="003F0CDB" w:rsidRPr="00EA0DC7" w:rsidRDefault="003F0CDB" w:rsidP="00957911">
            <w:pPr>
              <w:spacing w:line="240" w:lineRule="auto"/>
              <w:jc w:val="center"/>
              <w:rPr>
                <w:rFonts w:eastAsia="Times New Roman" w:cs="Arial"/>
                <w:szCs w:val="24"/>
              </w:rPr>
            </w:pPr>
          </w:p>
        </w:tc>
      </w:tr>
      <w:tr w:rsidR="003F0CDB" w:rsidRPr="00EA0DC7" w14:paraId="2FD34C90" w14:textId="77777777" w:rsidTr="00AB5FD6">
        <w:trPr>
          <w:trHeight w:val="80"/>
        </w:trPr>
        <w:tc>
          <w:tcPr>
            <w:tcW w:w="3539" w:type="dxa"/>
            <w:tcBorders>
              <w:top w:val="nil"/>
              <w:left w:val="nil"/>
              <w:right w:val="nil"/>
            </w:tcBorders>
            <w:shd w:val="clear" w:color="auto" w:fill="auto"/>
            <w:vAlign w:val="bottom"/>
            <w:hideMark/>
          </w:tcPr>
          <w:p w14:paraId="7001EE0B"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Edwards &amp; Chen (1999)</w:t>
            </w:r>
          </w:p>
        </w:tc>
        <w:tc>
          <w:tcPr>
            <w:tcW w:w="1419" w:type="dxa"/>
            <w:tcBorders>
              <w:top w:val="nil"/>
              <w:left w:val="nil"/>
              <w:right w:val="nil"/>
            </w:tcBorders>
            <w:shd w:val="clear" w:color="auto" w:fill="auto"/>
            <w:noWrap/>
            <w:vAlign w:val="center"/>
            <w:hideMark/>
          </w:tcPr>
          <w:p w14:paraId="15160520"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tcPr>
          <w:p w14:paraId="08CF4A1C"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135AD177"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1E228C0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2E630BE3"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28CBDC68" w14:textId="77777777" w:rsidR="003F0CDB" w:rsidRPr="00EA0DC7" w:rsidRDefault="003F0CDB" w:rsidP="00957911">
            <w:pPr>
              <w:spacing w:line="240" w:lineRule="auto"/>
              <w:jc w:val="center"/>
              <w:rPr>
                <w:rFonts w:eastAsia="Times New Roman" w:cs="Arial"/>
                <w:szCs w:val="24"/>
              </w:rPr>
            </w:pPr>
          </w:p>
        </w:tc>
      </w:tr>
      <w:tr w:rsidR="003F0CDB" w:rsidRPr="00EA0DC7" w14:paraId="519C1E0E" w14:textId="77777777" w:rsidTr="00AB5FD6">
        <w:trPr>
          <w:trHeight w:val="80"/>
        </w:trPr>
        <w:tc>
          <w:tcPr>
            <w:tcW w:w="3539" w:type="dxa"/>
            <w:tcBorders>
              <w:left w:val="nil"/>
              <w:bottom w:val="nil"/>
              <w:right w:val="nil"/>
            </w:tcBorders>
            <w:shd w:val="clear" w:color="auto" w:fill="auto"/>
            <w:vAlign w:val="bottom"/>
            <w:hideMark/>
          </w:tcPr>
          <w:p w14:paraId="582CEE6D"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Granello (2000)</w:t>
            </w:r>
          </w:p>
        </w:tc>
        <w:tc>
          <w:tcPr>
            <w:tcW w:w="1419" w:type="dxa"/>
            <w:tcBorders>
              <w:left w:val="nil"/>
              <w:bottom w:val="nil"/>
              <w:right w:val="nil"/>
            </w:tcBorders>
            <w:shd w:val="clear" w:color="auto" w:fill="auto"/>
            <w:noWrap/>
            <w:vAlign w:val="center"/>
            <w:hideMark/>
          </w:tcPr>
          <w:p w14:paraId="4EC3BBB1" w14:textId="77777777" w:rsidR="003F0CDB" w:rsidRPr="00EA0DC7" w:rsidRDefault="003F0CDB" w:rsidP="00957911">
            <w:pPr>
              <w:spacing w:line="240" w:lineRule="auto"/>
              <w:jc w:val="center"/>
              <w:rPr>
                <w:rFonts w:eastAsia="Times New Roman" w:cs="Arial"/>
                <w:szCs w:val="24"/>
              </w:rPr>
            </w:pPr>
          </w:p>
        </w:tc>
        <w:tc>
          <w:tcPr>
            <w:tcW w:w="1984" w:type="dxa"/>
            <w:tcBorders>
              <w:left w:val="nil"/>
              <w:bottom w:val="nil"/>
              <w:right w:val="nil"/>
            </w:tcBorders>
          </w:tcPr>
          <w:p w14:paraId="460444F3" w14:textId="77777777" w:rsidR="003F0CDB" w:rsidRPr="00EA0DC7" w:rsidRDefault="003F0CDB" w:rsidP="00957911">
            <w:pPr>
              <w:spacing w:line="240" w:lineRule="auto"/>
              <w:jc w:val="center"/>
              <w:rPr>
                <w:rFonts w:eastAsia="Times New Roman" w:cs="Arial"/>
                <w:szCs w:val="24"/>
              </w:rPr>
            </w:pPr>
          </w:p>
        </w:tc>
        <w:tc>
          <w:tcPr>
            <w:tcW w:w="1986" w:type="dxa"/>
            <w:tcBorders>
              <w:left w:val="nil"/>
              <w:bottom w:val="nil"/>
              <w:right w:val="nil"/>
            </w:tcBorders>
          </w:tcPr>
          <w:p w14:paraId="2CD5FB57" w14:textId="77777777" w:rsidR="003F0CDB" w:rsidRPr="00EA0DC7" w:rsidRDefault="003F0CDB" w:rsidP="00957911">
            <w:pPr>
              <w:spacing w:line="240" w:lineRule="auto"/>
              <w:jc w:val="center"/>
              <w:rPr>
                <w:rFonts w:eastAsia="Times New Roman" w:cs="Arial"/>
                <w:szCs w:val="24"/>
              </w:rPr>
            </w:pPr>
          </w:p>
        </w:tc>
        <w:tc>
          <w:tcPr>
            <w:tcW w:w="1134" w:type="dxa"/>
            <w:tcBorders>
              <w:left w:val="nil"/>
              <w:bottom w:val="nil"/>
              <w:right w:val="nil"/>
            </w:tcBorders>
          </w:tcPr>
          <w:p w14:paraId="28180303"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nil"/>
              <w:right w:val="nil"/>
            </w:tcBorders>
          </w:tcPr>
          <w:p w14:paraId="3C384BBA" w14:textId="77777777" w:rsidR="003F0CDB" w:rsidRPr="00EA0DC7" w:rsidRDefault="003F0CDB" w:rsidP="00957911">
            <w:pPr>
              <w:spacing w:line="240" w:lineRule="auto"/>
              <w:jc w:val="center"/>
              <w:rPr>
                <w:rFonts w:eastAsia="Times New Roman" w:cs="Arial"/>
                <w:szCs w:val="24"/>
              </w:rPr>
            </w:pPr>
          </w:p>
        </w:tc>
        <w:tc>
          <w:tcPr>
            <w:tcW w:w="1757" w:type="dxa"/>
            <w:tcBorders>
              <w:left w:val="nil"/>
              <w:bottom w:val="nil"/>
              <w:right w:val="nil"/>
            </w:tcBorders>
            <w:vAlign w:val="center"/>
          </w:tcPr>
          <w:p w14:paraId="56BDFCE7" w14:textId="77777777" w:rsidR="003F0CDB" w:rsidRPr="00EA0DC7" w:rsidRDefault="003F0CDB" w:rsidP="00957911">
            <w:pPr>
              <w:spacing w:line="240" w:lineRule="auto"/>
              <w:jc w:val="center"/>
              <w:rPr>
                <w:rFonts w:eastAsia="Times New Roman" w:cs="Arial"/>
                <w:szCs w:val="24"/>
              </w:rPr>
            </w:pPr>
          </w:p>
        </w:tc>
      </w:tr>
      <w:tr w:rsidR="003F0CDB" w:rsidRPr="00EA0DC7" w14:paraId="0D810968" w14:textId="77777777" w:rsidTr="00AB5FD6">
        <w:trPr>
          <w:trHeight w:val="80"/>
        </w:trPr>
        <w:tc>
          <w:tcPr>
            <w:tcW w:w="3539" w:type="dxa"/>
            <w:tcBorders>
              <w:top w:val="nil"/>
              <w:left w:val="nil"/>
              <w:bottom w:val="nil"/>
              <w:right w:val="nil"/>
            </w:tcBorders>
            <w:shd w:val="clear" w:color="auto" w:fill="auto"/>
            <w:vAlign w:val="bottom"/>
            <w:hideMark/>
          </w:tcPr>
          <w:p w14:paraId="00BAB54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Gilbert &amp; Evans (2000)</w:t>
            </w:r>
          </w:p>
        </w:tc>
        <w:tc>
          <w:tcPr>
            <w:tcW w:w="1419" w:type="dxa"/>
            <w:tcBorders>
              <w:top w:val="nil"/>
              <w:left w:val="nil"/>
              <w:bottom w:val="nil"/>
              <w:right w:val="nil"/>
            </w:tcBorders>
            <w:shd w:val="clear" w:color="auto" w:fill="auto"/>
            <w:noWrap/>
            <w:vAlign w:val="center"/>
            <w:hideMark/>
          </w:tcPr>
          <w:p w14:paraId="15C9049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5BC0E2C0"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11C7CE4F"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394273B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455EAE44"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5C503EAB" w14:textId="77777777" w:rsidR="003F0CDB" w:rsidRPr="00EA0DC7" w:rsidRDefault="003F0CDB" w:rsidP="00957911">
            <w:pPr>
              <w:spacing w:line="240" w:lineRule="auto"/>
              <w:jc w:val="center"/>
              <w:rPr>
                <w:rFonts w:eastAsia="Times New Roman" w:cs="Arial"/>
                <w:szCs w:val="24"/>
              </w:rPr>
            </w:pPr>
          </w:p>
        </w:tc>
      </w:tr>
      <w:tr w:rsidR="003F0CDB" w:rsidRPr="00EA0DC7" w14:paraId="7077B1EE" w14:textId="77777777" w:rsidTr="00AB5FD6">
        <w:trPr>
          <w:trHeight w:val="80"/>
        </w:trPr>
        <w:tc>
          <w:tcPr>
            <w:tcW w:w="3539" w:type="dxa"/>
            <w:tcBorders>
              <w:top w:val="nil"/>
              <w:left w:val="nil"/>
              <w:bottom w:val="nil"/>
              <w:right w:val="nil"/>
            </w:tcBorders>
            <w:shd w:val="clear" w:color="auto" w:fill="auto"/>
            <w:vAlign w:val="bottom"/>
            <w:hideMark/>
          </w:tcPr>
          <w:p w14:paraId="2A5281B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 xml:space="preserve">Scaife (2001) </w:t>
            </w:r>
          </w:p>
        </w:tc>
        <w:tc>
          <w:tcPr>
            <w:tcW w:w="1419" w:type="dxa"/>
            <w:tcBorders>
              <w:top w:val="nil"/>
              <w:left w:val="nil"/>
              <w:bottom w:val="nil"/>
              <w:right w:val="nil"/>
            </w:tcBorders>
            <w:shd w:val="clear" w:color="auto" w:fill="auto"/>
            <w:noWrap/>
            <w:vAlign w:val="center"/>
            <w:hideMark/>
          </w:tcPr>
          <w:p w14:paraId="3A48413F"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00FBE4F5"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5A8B4107"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B4A81F6"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64688631"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18F0FF1D" w14:textId="77777777" w:rsidR="003F0CDB" w:rsidRPr="00EA0DC7" w:rsidRDefault="003F0CDB" w:rsidP="00957911">
            <w:pPr>
              <w:spacing w:line="240" w:lineRule="auto"/>
              <w:jc w:val="center"/>
              <w:rPr>
                <w:rFonts w:eastAsia="Times New Roman" w:cs="Arial"/>
                <w:szCs w:val="24"/>
              </w:rPr>
            </w:pPr>
          </w:p>
        </w:tc>
      </w:tr>
      <w:tr w:rsidR="003F0CDB" w:rsidRPr="00EA0DC7" w14:paraId="0E8D6FDD" w14:textId="77777777" w:rsidTr="00AB5FD6">
        <w:trPr>
          <w:trHeight w:val="80"/>
        </w:trPr>
        <w:tc>
          <w:tcPr>
            <w:tcW w:w="3539" w:type="dxa"/>
            <w:tcBorders>
              <w:top w:val="nil"/>
              <w:left w:val="nil"/>
              <w:bottom w:val="nil"/>
              <w:right w:val="nil"/>
            </w:tcBorders>
            <w:shd w:val="clear" w:color="auto" w:fill="auto"/>
            <w:vAlign w:val="bottom"/>
            <w:hideMark/>
          </w:tcPr>
          <w:p w14:paraId="3AF1F2B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Frawley-O'Dea &amp; Sarnat (2001)</w:t>
            </w:r>
          </w:p>
        </w:tc>
        <w:tc>
          <w:tcPr>
            <w:tcW w:w="1419" w:type="dxa"/>
            <w:tcBorders>
              <w:top w:val="nil"/>
              <w:left w:val="nil"/>
              <w:bottom w:val="nil"/>
              <w:right w:val="nil"/>
            </w:tcBorders>
            <w:shd w:val="clear" w:color="auto" w:fill="auto"/>
            <w:noWrap/>
            <w:vAlign w:val="center"/>
            <w:hideMark/>
          </w:tcPr>
          <w:p w14:paraId="6EF94F0A"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tcPr>
          <w:p w14:paraId="6D5A166F"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bottom w:val="nil"/>
              <w:right w:val="nil"/>
            </w:tcBorders>
          </w:tcPr>
          <w:p w14:paraId="341B9E6E"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tcPr>
          <w:p w14:paraId="2299B06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tcPr>
          <w:p w14:paraId="7D118CCC"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nil"/>
              <w:right w:val="nil"/>
            </w:tcBorders>
            <w:vAlign w:val="center"/>
          </w:tcPr>
          <w:p w14:paraId="25537A74" w14:textId="77777777" w:rsidR="003F0CDB" w:rsidRPr="00EA0DC7" w:rsidRDefault="003F0CDB" w:rsidP="00957911">
            <w:pPr>
              <w:spacing w:line="240" w:lineRule="auto"/>
              <w:jc w:val="center"/>
              <w:rPr>
                <w:rFonts w:eastAsia="Times New Roman" w:cs="Arial"/>
                <w:szCs w:val="24"/>
              </w:rPr>
            </w:pPr>
          </w:p>
        </w:tc>
      </w:tr>
      <w:tr w:rsidR="003F0CDB" w:rsidRPr="00EA0DC7" w14:paraId="1180AB4B" w14:textId="77777777" w:rsidTr="00AB5FD6">
        <w:trPr>
          <w:trHeight w:val="80"/>
        </w:trPr>
        <w:tc>
          <w:tcPr>
            <w:tcW w:w="3539" w:type="dxa"/>
            <w:tcBorders>
              <w:top w:val="nil"/>
              <w:left w:val="nil"/>
              <w:right w:val="nil"/>
            </w:tcBorders>
            <w:shd w:val="clear" w:color="auto" w:fill="auto"/>
            <w:vAlign w:val="bottom"/>
            <w:hideMark/>
          </w:tcPr>
          <w:p w14:paraId="63091BD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Lee &amp; Everett (2004)</w:t>
            </w:r>
          </w:p>
        </w:tc>
        <w:tc>
          <w:tcPr>
            <w:tcW w:w="1419" w:type="dxa"/>
            <w:tcBorders>
              <w:top w:val="nil"/>
              <w:left w:val="nil"/>
              <w:right w:val="nil"/>
            </w:tcBorders>
            <w:shd w:val="clear" w:color="auto" w:fill="auto"/>
            <w:noWrap/>
            <w:vAlign w:val="center"/>
            <w:hideMark/>
          </w:tcPr>
          <w:p w14:paraId="6F7E0DE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51E827FD"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5253036E"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55B769B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785FEB72"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12D85D51" w14:textId="77777777" w:rsidR="003F0CDB" w:rsidRPr="00EA0DC7" w:rsidRDefault="003F0CDB" w:rsidP="00957911">
            <w:pPr>
              <w:spacing w:line="240" w:lineRule="auto"/>
              <w:jc w:val="center"/>
              <w:rPr>
                <w:rFonts w:eastAsia="Times New Roman" w:cs="Arial"/>
                <w:szCs w:val="24"/>
              </w:rPr>
            </w:pPr>
          </w:p>
        </w:tc>
      </w:tr>
      <w:tr w:rsidR="003F0CDB" w:rsidRPr="00EA0DC7" w14:paraId="7E51ADF8" w14:textId="77777777" w:rsidTr="00AB5FD6">
        <w:trPr>
          <w:trHeight w:val="80"/>
        </w:trPr>
        <w:tc>
          <w:tcPr>
            <w:tcW w:w="3539" w:type="dxa"/>
            <w:tcBorders>
              <w:top w:val="nil"/>
              <w:left w:val="nil"/>
              <w:right w:val="nil"/>
            </w:tcBorders>
            <w:shd w:val="clear" w:color="auto" w:fill="auto"/>
            <w:vAlign w:val="bottom"/>
            <w:hideMark/>
          </w:tcPr>
          <w:p w14:paraId="10381EE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Ladany et al. (2005)</w:t>
            </w:r>
          </w:p>
        </w:tc>
        <w:tc>
          <w:tcPr>
            <w:tcW w:w="1419" w:type="dxa"/>
            <w:tcBorders>
              <w:top w:val="nil"/>
              <w:left w:val="nil"/>
              <w:right w:val="nil"/>
            </w:tcBorders>
            <w:shd w:val="clear" w:color="auto" w:fill="auto"/>
            <w:noWrap/>
            <w:vAlign w:val="center"/>
            <w:hideMark/>
          </w:tcPr>
          <w:p w14:paraId="540783A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3F5171EF"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328CAB60"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59975BA3"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1EA36D49"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7EA440AA" w14:textId="77777777" w:rsidR="003F0CDB" w:rsidRPr="00EA0DC7" w:rsidRDefault="003F0CDB" w:rsidP="00957911">
            <w:pPr>
              <w:spacing w:line="240" w:lineRule="auto"/>
              <w:jc w:val="center"/>
              <w:rPr>
                <w:rFonts w:eastAsia="Times New Roman" w:cs="Arial"/>
                <w:szCs w:val="24"/>
              </w:rPr>
            </w:pPr>
          </w:p>
        </w:tc>
      </w:tr>
      <w:tr w:rsidR="003F0CDB" w:rsidRPr="00EA0DC7" w14:paraId="5E37A42B" w14:textId="77777777" w:rsidTr="00AB5FD6">
        <w:trPr>
          <w:trHeight w:val="284"/>
        </w:trPr>
        <w:tc>
          <w:tcPr>
            <w:tcW w:w="3539" w:type="dxa"/>
            <w:tcBorders>
              <w:top w:val="nil"/>
              <w:left w:val="nil"/>
              <w:bottom w:val="single" w:sz="4" w:space="0" w:color="auto"/>
              <w:right w:val="nil"/>
            </w:tcBorders>
            <w:shd w:val="clear" w:color="auto" w:fill="auto"/>
            <w:vAlign w:val="bottom"/>
            <w:hideMark/>
          </w:tcPr>
          <w:p w14:paraId="1E8BF8CF" w14:textId="77777777" w:rsidR="003F0CDB" w:rsidRPr="00EA0DC7" w:rsidRDefault="003F0CDB" w:rsidP="00AB5FD6">
            <w:pPr>
              <w:spacing w:after="0" w:line="240" w:lineRule="auto"/>
              <w:rPr>
                <w:rFonts w:eastAsia="Times New Roman" w:cs="Arial"/>
                <w:szCs w:val="24"/>
              </w:rPr>
            </w:pPr>
            <w:r w:rsidRPr="00EA0DC7">
              <w:rPr>
                <w:rFonts w:eastAsia="Times New Roman" w:cs="Arial"/>
                <w:szCs w:val="24"/>
              </w:rPr>
              <w:t>Armstrong &amp; Freeston (2006)</w:t>
            </w:r>
          </w:p>
        </w:tc>
        <w:tc>
          <w:tcPr>
            <w:tcW w:w="1419" w:type="dxa"/>
            <w:tcBorders>
              <w:top w:val="nil"/>
              <w:left w:val="nil"/>
              <w:bottom w:val="single" w:sz="4" w:space="0" w:color="auto"/>
              <w:right w:val="nil"/>
            </w:tcBorders>
            <w:shd w:val="clear" w:color="auto" w:fill="auto"/>
            <w:noWrap/>
            <w:vAlign w:val="center"/>
            <w:hideMark/>
          </w:tcPr>
          <w:p w14:paraId="7AD4DE75" w14:textId="77777777" w:rsidR="003F0CDB" w:rsidRPr="00EA0DC7" w:rsidRDefault="003F0CDB" w:rsidP="00AB5FD6">
            <w:pPr>
              <w:spacing w:after="0"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single" w:sz="4" w:space="0" w:color="auto"/>
              <w:right w:val="nil"/>
            </w:tcBorders>
          </w:tcPr>
          <w:p w14:paraId="536736B9" w14:textId="77777777" w:rsidR="003F0CDB" w:rsidRPr="00EA0DC7" w:rsidRDefault="003F0CDB" w:rsidP="00AB5FD6">
            <w:pPr>
              <w:spacing w:after="0" w:line="240" w:lineRule="auto"/>
              <w:jc w:val="center"/>
              <w:rPr>
                <w:rFonts w:eastAsia="Times New Roman" w:cs="Arial"/>
                <w:szCs w:val="24"/>
              </w:rPr>
            </w:pPr>
            <w:r w:rsidRPr="00EA0DC7">
              <w:rPr>
                <w:rFonts w:eastAsia="Times New Roman" w:cs="Arial"/>
                <w:szCs w:val="24"/>
              </w:rPr>
              <w:sym w:font="Wingdings" w:char="F0FC"/>
            </w:r>
          </w:p>
        </w:tc>
        <w:tc>
          <w:tcPr>
            <w:tcW w:w="1986" w:type="dxa"/>
            <w:tcBorders>
              <w:top w:val="nil"/>
              <w:left w:val="nil"/>
              <w:bottom w:val="single" w:sz="4" w:space="0" w:color="auto"/>
              <w:right w:val="nil"/>
            </w:tcBorders>
          </w:tcPr>
          <w:p w14:paraId="39AB39BD" w14:textId="77777777" w:rsidR="003F0CDB" w:rsidRPr="00EA0DC7" w:rsidRDefault="003F0CDB" w:rsidP="00AB5FD6">
            <w:pPr>
              <w:spacing w:after="0"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single" w:sz="4" w:space="0" w:color="auto"/>
              <w:right w:val="nil"/>
            </w:tcBorders>
          </w:tcPr>
          <w:p w14:paraId="78D2DC07" w14:textId="77777777" w:rsidR="003F0CDB" w:rsidRPr="00EA0DC7" w:rsidRDefault="003F0CDB" w:rsidP="00AB5FD6">
            <w:pPr>
              <w:spacing w:after="0"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single" w:sz="4" w:space="0" w:color="auto"/>
              <w:right w:val="nil"/>
            </w:tcBorders>
          </w:tcPr>
          <w:p w14:paraId="4C4FE69D" w14:textId="77777777" w:rsidR="003F0CDB" w:rsidRPr="00EA0DC7" w:rsidRDefault="003F0CDB" w:rsidP="00AB5FD6">
            <w:pPr>
              <w:spacing w:after="0" w:line="240" w:lineRule="auto"/>
              <w:jc w:val="center"/>
              <w:rPr>
                <w:rFonts w:eastAsia="Times New Roman" w:cs="Arial"/>
                <w:szCs w:val="24"/>
              </w:rPr>
            </w:pPr>
          </w:p>
        </w:tc>
        <w:tc>
          <w:tcPr>
            <w:tcW w:w="1757" w:type="dxa"/>
            <w:tcBorders>
              <w:top w:val="nil"/>
              <w:left w:val="nil"/>
              <w:bottom w:val="single" w:sz="4" w:space="0" w:color="auto"/>
              <w:right w:val="nil"/>
            </w:tcBorders>
            <w:vAlign w:val="center"/>
          </w:tcPr>
          <w:p w14:paraId="304EE86E" w14:textId="77777777" w:rsidR="003F0CDB" w:rsidRPr="00EA0DC7" w:rsidRDefault="003F0CDB" w:rsidP="00AB5FD6">
            <w:pPr>
              <w:spacing w:after="0" w:line="240" w:lineRule="auto"/>
              <w:jc w:val="center"/>
              <w:rPr>
                <w:rFonts w:eastAsia="Times New Roman" w:cs="Arial"/>
                <w:szCs w:val="24"/>
              </w:rPr>
            </w:pPr>
          </w:p>
        </w:tc>
      </w:tr>
    </w:tbl>
    <w:p w14:paraId="067A74F0" w14:textId="77777777" w:rsidR="00AB5FD6" w:rsidRPr="00EA0DC7" w:rsidRDefault="00AB5FD6" w:rsidP="00AB5FD6">
      <w:pPr>
        <w:spacing w:before="240" w:line="240" w:lineRule="auto"/>
        <w:rPr>
          <w:rFonts w:eastAsia="Times New Roman" w:cs="Arial"/>
          <w:szCs w:val="24"/>
        </w:rPr>
        <w:sectPr w:rsidR="00AB5FD6" w:rsidRPr="00EA0DC7" w:rsidSect="00071D9D">
          <w:pgSz w:w="16838" w:h="11906" w:orient="landscape"/>
          <w:pgMar w:top="1440" w:right="1440" w:bottom="2268" w:left="1440" w:header="709" w:footer="709" w:gutter="0"/>
          <w:cols w:space="708"/>
          <w:docGrid w:linePitch="360"/>
        </w:sectPr>
      </w:pPr>
    </w:p>
    <w:tbl>
      <w:tblPr>
        <w:tblW w:w="13520" w:type="dxa"/>
        <w:tblLayout w:type="fixed"/>
        <w:tblLook w:val="04A0" w:firstRow="1" w:lastRow="0" w:firstColumn="1" w:lastColumn="0" w:noHBand="0" w:noVBand="1"/>
      </w:tblPr>
      <w:tblGrid>
        <w:gridCol w:w="3539"/>
        <w:gridCol w:w="1419"/>
        <w:gridCol w:w="1984"/>
        <w:gridCol w:w="1986"/>
        <w:gridCol w:w="1134"/>
        <w:gridCol w:w="1701"/>
        <w:gridCol w:w="1757"/>
      </w:tblGrid>
      <w:tr w:rsidR="00AB5FD6" w:rsidRPr="00EA0DC7" w14:paraId="41DCC4FA" w14:textId="77777777" w:rsidTr="00AB5FD6">
        <w:trPr>
          <w:trHeight w:val="80"/>
        </w:trPr>
        <w:tc>
          <w:tcPr>
            <w:tcW w:w="3539" w:type="dxa"/>
            <w:tcBorders>
              <w:top w:val="single" w:sz="4" w:space="0" w:color="auto"/>
              <w:left w:val="nil"/>
              <w:bottom w:val="single" w:sz="4" w:space="0" w:color="auto"/>
              <w:right w:val="nil"/>
            </w:tcBorders>
            <w:shd w:val="clear" w:color="auto" w:fill="auto"/>
            <w:vAlign w:val="center"/>
          </w:tcPr>
          <w:p w14:paraId="7B403593" w14:textId="7E7DE817"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419" w:type="dxa"/>
            <w:tcBorders>
              <w:top w:val="single" w:sz="4" w:space="0" w:color="auto"/>
              <w:left w:val="nil"/>
              <w:bottom w:val="single" w:sz="4" w:space="0" w:color="auto"/>
              <w:right w:val="nil"/>
            </w:tcBorders>
            <w:shd w:val="clear" w:color="auto" w:fill="auto"/>
            <w:noWrap/>
            <w:vAlign w:val="center"/>
          </w:tcPr>
          <w:p w14:paraId="695440BC" w14:textId="3F3DAFC5"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t>Focus on client</w:t>
            </w:r>
          </w:p>
        </w:tc>
        <w:tc>
          <w:tcPr>
            <w:tcW w:w="1984" w:type="dxa"/>
            <w:tcBorders>
              <w:top w:val="single" w:sz="4" w:space="0" w:color="auto"/>
              <w:left w:val="nil"/>
              <w:bottom w:val="single" w:sz="4" w:space="0" w:color="auto"/>
              <w:right w:val="nil"/>
            </w:tcBorders>
            <w:vAlign w:val="center"/>
          </w:tcPr>
          <w:p w14:paraId="604461B5" w14:textId="3C8CE452"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personal characteristics</w:t>
            </w:r>
          </w:p>
        </w:tc>
        <w:tc>
          <w:tcPr>
            <w:tcW w:w="1986" w:type="dxa"/>
            <w:tcBorders>
              <w:top w:val="single" w:sz="4" w:space="0" w:color="auto"/>
              <w:left w:val="nil"/>
              <w:bottom w:val="single" w:sz="4" w:space="0" w:color="auto"/>
              <w:right w:val="nil"/>
            </w:tcBorders>
            <w:vAlign w:val="center"/>
          </w:tcPr>
          <w:p w14:paraId="3A654ECC" w14:textId="041FE9C5"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culture/ ethnicity</w:t>
            </w:r>
          </w:p>
        </w:tc>
        <w:tc>
          <w:tcPr>
            <w:tcW w:w="1134" w:type="dxa"/>
            <w:tcBorders>
              <w:top w:val="single" w:sz="4" w:space="0" w:color="auto"/>
              <w:left w:val="nil"/>
              <w:bottom w:val="single" w:sz="4" w:space="0" w:color="auto"/>
              <w:right w:val="nil"/>
            </w:tcBorders>
            <w:vAlign w:val="center"/>
          </w:tcPr>
          <w:p w14:paraId="5B8CAD1E" w14:textId="5757E516"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gender</w:t>
            </w:r>
          </w:p>
        </w:tc>
        <w:tc>
          <w:tcPr>
            <w:tcW w:w="1701" w:type="dxa"/>
            <w:tcBorders>
              <w:top w:val="single" w:sz="4" w:space="0" w:color="auto"/>
              <w:left w:val="nil"/>
              <w:bottom w:val="single" w:sz="4" w:space="0" w:color="auto"/>
              <w:right w:val="nil"/>
            </w:tcBorders>
            <w:vAlign w:val="center"/>
          </w:tcPr>
          <w:p w14:paraId="3EDA3CE7" w14:textId="61FC5182" w:rsidR="00AB5FD6" w:rsidRPr="00EA0DC7" w:rsidRDefault="00AB5FD6" w:rsidP="00AB5FD6">
            <w:pPr>
              <w:spacing w:before="240" w:line="240" w:lineRule="auto"/>
              <w:jc w:val="center"/>
              <w:rPr>
                <w:rFonts w:eastAsia="Times New Roman" w:cs="Arial"/>
                <w:szCs w:val="24"/>
              </w:rPr>
            </w:pPr>
            <w:r w:rsidRPr="00EA0DC7">
              <w:rPr>
                <w:rFonts w:eastAsia="Times New Roman" w:cs="Arial"/>
                <w:b/>
                <w:szCs w:val="24"/>
              </w:rPr>
              <w:t>Client’s expectations</w:t>
            </w:r>
          </w:p>
        </w:tc>
        <w:tc>
          <w:tcPr>
            <w:tcW w:w="1757" w:type="dxa"/>
            <w:tcBorders>
              <w:top w:val="single" w:sz="4" w:space="0" w:color="auto"/>
              <w:left w:val="nil"/>
              <w:bottom w:val="single" w:sz="4" w:space="0" w:color="auto"/>
              <w:right w:val="nil"/>
            </w:tcBorders>
            <w:vAlign w:val="center"/>
          </w:tcPr>
          <w:p w14:paraId="555F3E10" w14:textId="27CFE43C" w:rsidR="00AB5FD6" w:rsidRPr="00EA0DC7" w:rsidRDefault="00AB5FD6" w:rsidP="00AB5FD6">
            <w:pPr>
              <w:spacing w:before="240" w:line="240" w:lineRule="auto"/>
              <w:jc w:val="center"/>
              <w:rPr>
                <w:rFonts w:eastAsia="Times New Roman" w:cs="Arial"/>
                <w:szCs w:val="24"/>
              </w:rPr>
            </w:pPr>
            <w:r w:rsidRPr="00EA0DC7">
              <w:rPr>
                <w:rFonts w:eastAsia="Times New Roman" w:cs="Arial"/>
                <w:b/>
                <w:bCs/>
                <w:szCs w:val="24"/>
              </w:rPr>
              <w:t>Development of client</w:t>
            </w:r>
          </w:p>
        </w:tc>
      </w:tr>
      <w:tr w:rsidR="003F0CDB" w:rsidRPr="00EA0DC7" w14:paraId="508DB10E" w14:textId="77777777" w:rsidTr="00AB5FD6">
        <w:trPr>
          <w:trHeight w:val="80"/>
        </w:trPr>
        <w:tc>
          <w:tcPr>
            <w:tcW w:w="3539" w:type="dxa"/>
            <w:tcBorders>
              <w:top w:val="single" w:sz="4" w:space="0" w:color="auto"/>
              <w:left w:val="nil"/>
              <w:bottom w:val="nil"/>
              <w:right w:val="nil"/>
            </w:tcBorders>
            <w:shd w:val="clear" w:color="auto" w:fill="auto"/>
            <w:vAlign w:val="bottom"/>
            <w:hideMark/>
          </w:tcPr>
          <w:p w14:paraId="17A1E828" w14:textId="6D62E866" w:rsidR="003F0CDB" w:rsidRPr="00EA0DC7" w:rsidRDefault="003F0CDB" w:rsidP="00AB5FD6">
            <w:pPr>
              <w:spacing w:before="240" w:line="240" w:lineRule="auto"/>
              <w:rPr>
                <w:rFonts w:eastAsia="Times New Roman" w:cs="Arial"/>
                <w:szCs w:val="24"/>
              </w:rPr>
            </w:pPr>
            <w:r w:rsidRPr="00EA0DC7">
              <w:rPr>
                <w:rFonts w:eastAsia="Times New Roman" w:cs="Arial"/>
                <w:szCs w:val="24"/>
              </w:rPr>
              <w:t>Morgan &amp; Sprenkle (2007)</w:t>
            </w:r>
          </w:p>
        </w:tc>
        <w:tc>
          <w:tcPr>
            <w:tcW w:w="1419" w:type="dxa"/>
            <w:tcBorders>
              <w:top w:val="single" w:sz="4" w:space="0" w:color="auto"/>
              <w:left w:val="nil"/>
              <w:bottom w:val="nil"/>
              <w:right w:val="nil"/>
            </w:tcBorders>
            <w:shd w:val="clear" w:color="auto" w:fill="auto"/>
            <w:noWrap/>
            <w:vAlign w:val="center"/>
            <w:hideMark/>
          </w:tcPr>
          <w:p w14:paraId="3953F48A" w14:textId="77777777" w:rsidR="003F0CDB" w:rsidRPr="00EA0DC7" w:rsidRDefault="003F0CDB" w:rsidP="00AB5FD6">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tcPr>
          <w:p w14:paraId="64D919D6" w14:textId="77777777" w:rsidR="003F0CDB" w:rsidRPr="00EA0DC7" w:rsidRDefault="003F0CDB" w:rsidP="00AB5FD6">
            <w:pPr>
              <w:spacing w:before="240" w:line="240" w:lineRule="auto"/>
              <w:jc w:val="center"/>
              <w:rPr>
                <w:rFonts w:eastAsia="Times New Roman" w:cs="Arial"/>
                <w:szCs w:val="24"/>
              </w:rPr>
            </w:pPr>
          </w:p>
        </w:tc>
        <w:tc>
          <w:tcPr>
            <w:tcW w:w="1986" w:type="dxa"/>
            <w:tcBorders>
              <w:top w:val="single" w:sz="4" w:space="0" w:color="auto"/>
              <w:left w:val="nil"/>
              <w:bottom w:val="nil"/>
              <w:right w:val="nil"/>
            </w:tcBorders>
          </w:tcPr>
          <w:p w14:paraId="77C1206C" w14:textId="77777777" w:rsidR="003F0CDB" w:rsidRPr="00EA0DC7" w:rsidRDefault="003F0CDB" w:rsidP="00AB5FD6">
            <w:pPr>
              <w:spacing w:before="240" w:line="240" w:lineRule="auto"/>
              <w:jc w:val="center"/>
              <w:rPr>
                <w:rFonts w:eastAsia="Times New Roman" w:cs="Arial"/>
                <w:szCs w:val="24"/>
              </w:rPr>
            </w:pPr>
          </w:p>
        </w:tc>
        <w:tc>
          <w:tcPr>
            <w:tcW w:w="1134" w:type="dxa"/>
            <w:tcBorders>
              <w:top w:val="single" w:sz="4" w:space="0" w:color="auto"/>
              <w:left w:val="nil"/>
              <w:bottom w:val="nil"/>
              <w:right w:val="nil"/>
            </w:tcBorders>
          </w:tcPr>
          <w:p w14:paraId="4705CED6" w14:textId="77777777" w:rsidR="003F0CDB" w:rsidRPr="00EA0DC7" w:rsidRDefault="003F0CDB" w:rsidP="00AB5FD6">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tcPr>
          <w:p w14:paraId="44DCCE78" w14:textId="77777777" w:rsidR="003F0CDB" w:rsidRPr="00EA0DC7" w:rsidRDefault="003F0CDB" w:rsidP="00AB5FD6">
            <w:pPr>
              <w:spacing w:before="240" w:line="240" w:lineRule="auto"/>
              <w:jc w:val="center"/>
              <w:rPr>
                <w:rFonts w:eastAsia="Times New Roman" w:cs="Arial"/>
                <w:szCs w:val="24"/>
              </w:rPr>
            </w:pPr>
          </w:p>
        </w:tc>
        <w:tc>
          <w:tcPr>
            <w:tcW w:w="1757" w:type="dxa"/>
            <w:tcBorders>
              <w:top w:val="single" w:sz="4" w:space="0" w:color="auto"/>
              <w:left w:val="nil"/>
              <w:bottom w:val="nil"/>
              <w:right w:val="nil"/>
            </w:tcBorders>
            <w:vAlign w:val="center"/>
          </w:tcPr>
          <w:p w14:paraId="65E9AC8E" w14:textId="77777777" w:rsidR="003F0CDB" w:rsidRPr="00EA0DC7" w:rsidRDefault="003F0CDB" w:rsidP="00AB5FD6">
            <w:pPr>
              <w:spacing w:before="240" w:line="240" w:lineRule="auto"/>
              <w:jc w:val="center"/>
              <w:rPr>
                <w:rFonts w:eastAsia="Times New Roman" w:cs="Arial"/>
                <w:szCs w:val="24"/>
              </w:rPr>
            </w:pPr>
          </w:p>
        </w:tc>
      </w:tr>
      <w:tr w:rsidR="003F0CDB" w:rsidRPr="00EA0DC7" w14:paraId="70E6ED01" w14:textId="77777777" w:rsidTr="00AB5FD6">
        <w:trPr>
          <w:trHeight w:val="80"/>
        </w:trPr>
        <w:tc>
          <w:tcPr>
            <w:tcW w:w="3539" w:type="dxa"/>
            <w:tcBorders>
              <w:top w:val="nil"/>
              <w:left w:val="nil"/>
              <w:right w:val="nil"/>
            </w:tcBorders>
            <w:shd w:val="clear" w:color="auto" w:fill="auto"/>
            <w:vAlign w:val="bottom"/>
            <w:hideMark/>
          </w:tcPr>
          <w:p w14:paraId="66CE4E62"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Inskipp and Proctor (2009)</w:t>
            </w:r>
          </w:p>
        </w:tc>
        <w:tc>
          <w:tcPr>
            <w:tcW w:w="1419" w:type="dxa"/>
            <w:tcBorders>
              <w:top w:val="nil"/>
              <w:left w:val="nil"/>
              <w:right w:val="nil"/>
            </w:tcBorders>
            <w:shd w:val="clear" w:color="auto" w:fill="auto"/>
            <w:noWrap/>
            <w:vAlign w:val="center"/>
            <w:hideMark/>
          </w:tcPr>
          <w:p w14:paraId="13A1FFD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right w:val="nil"/>
            </w:tcBorders>
          </w:tcPr>
          <w:p w14:paraId="48DF8BDB" w14:textId="77777777" w:rsidR="003F0CDB" w:rsidRPr="00EA0DC7" w:rsidRDefault="003F0CDB" w:rsidP="00957911">
            <w:pPr>
              <w:spacing w:line="240" w:lineRule="auto"/>
              <w:jc w:val="center"/>
              <w:rPr>
                <w:rFonts w:eastAsia="Times New Roman" w:cs="Arial"/>
                <w:szCs w:val="24"/>
              </w:rPr>
            </w:pPr>
          </w:p>
        </w:tc>
        <w:tc>
          <w:tcPr>
            <w:tcW w:w="1986" w:type="dxa"/>
            <w:tcBorders>
              <w:top w:val="nil"/>
              <w:left w:val="nil"/>
              <w:right w:val="nil"/>
            </w:tcBorders>
          </w:tcPr>
          <w:p w14:paraId="43051A5D"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tcPr>
          <w:p w14:paraId="35D1386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tcPr>
          <w:p w14:paraId="366DA05C"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right w:val="nil"/>
            </w:tcBorders>
            <w:vAlign w:val="center"/>
          </w:tcPr>
          <w:p w14:paraId="26ADB434" w14:textId="77777777" w:rsidR="003F0CDB" w:rsidRPr="00EA0DC7" w:rsidRDefault="003F0CDB" w:rsidP="00957911">
            <w:pPr>
              <w:spacing w:line="240" w:lineRule="auto"/>
              <w:jc w:val="center"/>
              <w:rPr>
                <w:rFonts w:eastAsia="Times New Roman" w:cs="Arial"/>
                <w:szCs w:val="24"/>
              </w:rPr>
            </w:pPr>
          </w:p>
        </w:tc>
      </w:tr>
      <w:tr w:rsidR="003F0CDB" w:rsidRPr="00EA0DC7" w14:paraId="5673E8D5" w14:textId="77777777" w:rsidTr="00AB5FD6">
        <w:trPr>
          <w:trHeight w:val="80"/>
        </w:trPr>
        <w:tc>
          <w:tcPr>
            <w:tcW w:w="3539" w:type="dxa"/>
            <w:tcBorders>
              <w:top w:val="nil"/>
              <w:left w:val="nil"/>
              <w:bottom w:val="single" w:sz="4" w:space="0" w:color="000000"/>
              <w:right w:val="nil"/>
            </w:tcBorders>
            <w:shd w:val="clear" w:color="auto" w:fill="auto"/>
            <w:vAlign w:val="bottom"/>
            <w:hideMark/>
          </w:tcPr>
          <w:p w14:paraId="661F2F7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Page and Wosket (2015)</w:t>
            </w:r>
          </w:p>
        </w:tc>
        <w:tc>
          <w:tcPr>
            <w:tcW w:w="1419" w:type="dxa"/>
            <w:tcBorders>
              <w:top w:val="nil"/>
              <w:left w:val="nil"/>
              <w:bottom w:val="single" w:sz="4" w:space="0" w:color="000000"/>
              <w:right w:val="nil"/>
            </w:tcBorders>
            <w:shd w:val="clear" w:color="auto" w:fill="auto"/>
            <w:noWrap/>
            <w:vAlign w:val="center"/>
            <w:hideMark/>
          </w:tcPr>
          <w:p w14:paraId="556C6B2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single" w:sz="4" w:space="0" w:color="000000"/>
              <w:right w:val="nil"/>
            </w:tcBorders>
          </w:tcPr>
          <w:p w14:paraId="3B57943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6" w:type="dxa"/>
            <w:tcBorders>
              <w:top w:val="nil"/>
              <w:left w:val="nil"/>
              <w:bottom w:val="single" w:sz="4" w:space="0" w:color="000000"/>
              <w:right w:val="nil"/>
            </w:tcBorders>
          </w:tcPr>
          <w:p w14:paraId="29DE65D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single" w:sz="4" w:space="0" w:color="000000"/>
              <w:right w:val="nil"/>
            </w:tcBorders>
          </w:tcPr>
          <w:p w14:paraId="53F5AABE"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000000"/>
              <w:right w:val="nil"/>
            </w:tcBorders>
          </w:tcPr>
          <w:p w14:paraId="12A4195C" w14:textId="77777777" w:rsidR="003F0CDB" w:rsidRPr="00EA0DC7" w:rsidRDefault="003F0CDB" w:rsidP="00957911">
            <w:pPr>
              <w:spacing w:line="240" w:lineRule="auto"/>
              <w:jc w:val="center"/>
              <w:rPr>
                <w:rFonts w:eastAsia="Times New Roman" w:cs="Arial"/>
                <w:szCs w:val="24"/>
              </w:rPr>
            </w:pPr>
          </w:p>
        </w:tc>
        <w:tc>
          <w:tcPr>
            <w:tcW w:w="1757" w:type="dxa"/>
            <w:tcBorders>
              <w:top w:val="nil"/>
              <w:left w:val="nil"/>
              <w:bottom w:val="single" w:sz="4" w:space="0" w:color="000000"/>
              <w:right w:val="nil"/>
            </w:tcBorders>
            <w:vAlign w:val="center"/>
          </w:tcPr>
          <w:p w14:paraId="3C6DAC33" w14:textId="77777777" w:rsidR="003F0CDB" w:rsidRPr="00EA0DC7" w:rsidRDefault="003F0CDB" w:rsidP="00957911">
            <w:pPr>
              <w:spacing w:line="240" w:lineRule="auto"/>
              <w:jc w:val="center"/>
              <w:rPr>
                <w:rFonts w:eastAsia="Times New Roman" w:cs="Arial"/>
                <w:szCs w:val="24"/>
              </w:rPr>
            </w:pPr>
          </w:p>
        </w:tc>
      </w:tr>
    </w:tbl>
    <w:p w14:paraId="37B81815" w14:textId="77777777" w:rsidR="003F0CDB" w:rsidRPr="00EA0DC7" w:rsidRDefault="003F0CDB" w:rsidP="003F0CDB">
      <w:pPr>
        <w:rPr>
          <w:rFonts w:eastAsia="Times New Roman" w:cs="Arial"/>
          <w:szCs w:val="24"/>
        </w:rPr>
        <w:sectPr w:rsidR="003F0CDB" w:rsidRPr="00EA0DC7" w:rsidSect="00071D9D">
          <w:pgSz w:w="16838" w:h="11906" w:orient="landscape"/>
          <w:pgMar w:top="2268" w:right="1440" w:bottom="1440" w:left="1440" w:header="709" w:footer="709" w:gutter="0"/>
          <w:cols w:space="708"/>
          <w:docGrid w:linePitch="360"/>
        </w:sectPr>
      </w:pPr>
    </w:p>
    <w:tbl>
      <w:tblPr>
        <w:tblW w:w="14402" w:type="dxa"/>
        <w:tblLayout w:type="fixed"/>
        <w:tblLook w:val="04A0" w:firstRow="1" w:lastRow="0" w:firstColumn="1" w:lastColumn="0" w:noHBand="0" w:noVBand="1"/>
      </w:tblPr>
      <w:tblGrid>
        <w:gridCol w:w="1843"/>
        <w:gridCol w:w="2211"/>
        <w:gridCol w:w="1418"/>
        <w:gridCol w:w="1417"/>
        <w:gridCol w:w="1276"/>
        <w:gridCol w:w="1134"/>
        <w:gridCol w:w="1276"/>
        <w:gridCol w:w="1276"/>
        <w:gridCol w:w="1276"/>
        <w:gridCol w:w="1179"/>
        <w:gridCol w:w="96"/>
      </w:tblGrid>
      <w:tr w:rsidR="003F0CDB" w:rsidRPr="00EA0DC7" w14:paraId="61C33FFD" w14:textId="77777777" w:rsidTr="00B82F33">
        <w:trPr>
          <w:gridAfter w:val="1"/>
          <w:wAfter w:w="96" w:type="dxa"/>
          <w:trHeight w:val="70"/>
        </w:trPr>
        <w:tc>
          <w:tcPr>
            <w:tcW w:w="14306" w:type="dxa"/>
            <w:gridSpan w:val="10"/>
            <w:tcBorders>
              <w:left w:val="nil"/>
              <w:right w:val="nil"/>
            </w:tcBorders>
            <w:shd w:val="clear" w:color="auto" w:fill="auto"/>
            <w:noWrap/>
            <w:vAlign w:val="bottom"/>
          </w:tcPr>
          <w:p w14:paraId="2C80BC44" w14:textId="41750D81" w:rsidR="003F0CDB" w:rsidRPr="00EA0DC7" w:rsidRDefault="003F0CDB" w:rsidP="006B3274">
            <w:pPr>
              <w:pStyle w:val="Heading2"/>
              <w:rPr>
                <w:lang w:eastAsia="zh-CN"/>
              </w:rPr>
            </w:pPr>
            <w:bookmarkStart w:id="234" w:name="_Toc23881304"/>
            <w:bookmarkStart w:id="235" w:name="_Toc24548595"/>
            <w:bookmarkStart w:id="236" w:name="_Toc24548698"/>
            <w:bookmarkStart w:id="237" w:name="_Toc47039885"/>
            <w:r w:rsidRPr="00EA0DC7">
              <w:rPr>
                <w:lang w:eastAsia="zh-CN"/>
              </w:rPr>
              <w:lastRenderedPageBreak/>
              <w:t xml:space="preserve">Appendix </w:t>
            </w:r>
            <w:r w:rsidR="00D247AC" w:rsidRPr="00EA0DC7">
              <w:rPr>
                <w:lang w:eastAsia="zh-CN"/>
              </w:rPr>
              <w:t>2</w:t>
            </w:r>
            <w:r w:rsidRPr="00EA0DC7">
              <w:rPr>
                <w:lang w:eastAsia="zh-CN"/>
              </w:rPr>
              <w:t>F</w:t>
            </w:r>
            <w:r w:rsidR="006B3274" w:rsidRPr="00EA0DC7">
              <w:rPr>
                <w:lang w:eastAsia="zh-CN"/>
              </w:rPr>
              <w:t>. Session elements focus in supervision models</w:t>
            </w:r>
            <w:bookmarkEnd w:id="234"/>
            <w:bookmarkEnd w:id="235"/>
            <w:bookmarkEnd w:id="236"/>
            <w:bookmarkEnd w:id="237"/>
          </w:p>
        </w:tc>
      </w:tr>
      <w:tr w:rsidR="003F0CDB" w:rsidRPr="00EA0DC7" w14:paraId="6F029DEB" w14:textId="77777777" w:rsidTr="00B82F33">
        <w:trPr>
          <w:gridAfter w:val="1"/>
          <w:wAfter w:w="96" w:type="dxa"/>
          <w:trHeight w:val="70"/>
        </w:trPr>
        <w:tc>
          <w:tcPr>
            <w:tcW w:w="14306" w:type="dxa"/>
            <w:gridSpan w:val="10"/>
            <w:tcBorders>
              <w:left w:val="nil"/>
              <w:bottom w:val="single" w:sz="4" w:space="0" w:color="auto"/>
            </w:tcBorders>
            <w:shd w:val="clear" w:color="auto" w:fill="auto"/>
            <w:noWrap/>
            <w:vAlign w:val="bottom"/>
          </w:tcPr>
          <w:p w14:paraId="1A7AAB19" w14:textId="71AAA2AB" w:rsidR="003F0CDB" w:rsidRPr="00EA0DC7" w:rsidRDefault="003F0CDB" w:rsidP="00957911">
            <w:pPr>
              <w:spacing w:line="240" w:lineRule="auto"/>
              <w:rPr>
                <w:rFonts w:eastAsia="Times New Roman" w:cs="Arial"/>
                <w:bCs/>
                <w:szCs w:val="24"/>
              </w:rPr>
            </w:pPr>
            <w:r w:rsidRPr="00EA0DC7">
              <w:rPr>
                <w:rFonts w:eastAsia="Times New Roman" w:cs="Arial"/>
                <w:szCs w:val="24"/>
              </w:rPr>
              <w:t xml:space="preserve">Table </w:t>
            </w:r>
            <w:r w:rsidR="00D247AC" w:rsidRPr="00EA0DC7">
              <w:rPr>
                <w:rFonts w:eastAsia="Times New Roman" w:cs="Arial"/>
                <w:szCs w:val="24"/>
              </w:rPr>
              <w:t>2F.</w:t>
            </w:r>
            <w:r w:rsidRPr="00EA0DC7">
              <w:rPr>
                <w:rFonts w:eastAsia="Times New Roman" w:cs="Arial"/>
                <w:szCs w:val="24"/>
              </w:rPr>
              <w:t xml:space="preserve"> Model focus on each content of supervision sessions element</w:t>
            </w:r>
          </w:p>
        </w:tc>
      </w:tr>
      <w:tr w:rsidR="003F0CDB" w:rsidRPr="00EA0DC7" w14:paraId="4747D737" w14:textId="77777777" w:rsidTr="00B82F33">
        <w:trPr>
          <w:trHeight w:val="1134"/>
        </w:trPr>
        <w:tc>
          <w:tcPr>
            <w:tcW w:w="1843" w:type="dxa"/>
            <w:tcBorders>
              <w:top w:val="single" w:sz="4" w:space="0" w:color="auto"/>
              <w:left w:val="nil"/>
              <w:bottom w:val="single" w:sz="4" w:space="0" w:color="auto"/>
              <w:right w:val="nil"/>
            </w:tcBorders>
            <w:shd w:val="clear" w:color="auto" w:fill="auto"/>
            <w:noWrap/>
            <w:vAlign w:val="center"/>
            <w:hideMark/>
          </w:tcPr>
          <w:p w14:paraId="52713748" w14:textId="77777777" w:rsidR="003F0CDB" w:rsidRPr="00EA0DC7" w:rsidRDefault="003F0CDB" w:rsidP="00AB5FD6">
            <w:pPr>
              <w:spacing w:before="240" w:after="0" w:line="240" w:lineRule="auto"/>
              <w:jc w:val="center"/>
              <w:rPr>
                <w:rFonts w:eastAsia="Times New Roman" w:cs="Arial"/>
                <w:b/>
                <w:bCs/>
                <w:sz w:val="20"/>
                <w:szCs w:val="20"/>
              </w:rPr>
            </w:pPr>
          </w:p>
        </w:tc>
        <w:tc>
          <w:tcPr>
            <w:tcW w:w="2211" w:type="dxa"/>
            <w:tcBorders>
              <w:top w:val="single" w:sz="4" w:space="0" w:color="auto"/>
              <w:left w:val="nil"/>
              <w:bottom w:val="single" w:sz="4" w:space="0" w:color="auto"/>
              <w:right w:val="nil"/>
            </w:tcBorders>
            <w:shd w:val="clear" w:color="auto" w:fill="auto"/>
            <w:vAlign w:val="center"/>
            <w:hideMark/>
          </w:tcPr>
          <w:p w14:paraId="5C62A92F"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vAlign w:val="center"/>
            <w:hideMark/>
          </w:tcPr>
          <w:p w14:paraId="50015CB8"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vAlign w:val="center"/>
            <w:hideMark/>
          </w:tcPr>
          <w:p w14:paraId="5F4EE738"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Discussion of theories and reading of literature</w:t>
            </w:r>
          </w:p>
        </w:tc>
        <w:tc>
          <w:tcPr>
            <w:tcW w:w="1276" w:type="dxa"/>
            <w:tcBorders>
              <w:top w:val="single" w:sz="4" w:space="0" w:color="auto"/>
              <w:left w:val="nil"/>
              <w:bottom w:val="single" w:sz="4" w:space="0" w:color="auto"/>
              <w:right w:val="nil"/>
            </w:tcBorders>
            <w:vAlign w:val="center"/>
          </w:tcPr>
          <w:p w14:paraId="71092A27"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07A32012" w14:textId="68CF0279"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Live supervis</w:t>
            </w:r>
            <w:r w:rsidR="00B82F33" w:rsidRPr="00EA0DC7">
              <w:rPr>
                <w:rFonts w:eastAsia="Times New Roman" w:cs="Arial"/>
                <w:b/>
                <w:bCs/>
                <w:sz w:val="20"/>
                <w:szCs w:val="20"/>
              </w:rPr>
              <w:t>-</w:t>
            </w:r>
            <w:r w:rsidRPr="00EA0DC7">
              <w:rPr>
                <w:rFonts w:eastAsia="Times New Roman" w:cs="Arial"/>
                <w:b/>
                <w:bCs/>
                <w:sz w:val="20"/>
                <w:szCs w:val="20"/>
              </w:rPr>
              <w:t>ion/ observation</w:t>
            </w:r>
          </w:p>
        </w:tc>
        <w:tc>
          <w:tcPr>
            <w:tcW w:w="1276" w:type="dxa"/>
            <w:tcBorders>
              <w:top w:val="single" w:sz="4" w:space="0" w:color="auto"/>
              <w:left w:val="nil"/>
              <w:bottom w:val="single" w:sz="4" w:space="0" w:color="auto"/>
              <w:right w:val="nil"/>
            </w:tcBorders>
            <w:vAlign w:val="center"/>
          </w:tcPr>
          <w:p w14:paraId="1811F66F"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0427B407"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023230C3"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Enactment of therapy sessions/ role-play</w:t>
            </w:r>
          </w:p>
        </w:tc>
        <w:tc>
          <w:tcPr>
            <w:tcW w:w="1275" w:type="dxa"/>
            <w:gridSpan w:val="2"/>
            <w:tcBorders>
              <w:top w:val="single" w:sz="4" w:space="0" w:color="auto"/>
              <w:left w:val="nil"/>
              <w:bottom w:val="single" w:sz="4" w:space="0" w:color="auto"/>
              <w:right w:val="nil"/>
            </w:tcBorders>
            <w:vAlign w:val="center"/>
          </w:tcPr>
          <w:p w14:paraId="5A854F80" w14:textId="77777777" w:rsidR="003F0CDB" w:rsidRPr="00EA0DC7" w:rsidRDefault="003F0CDB" w:rsidP="00AB5FD6">
            <w:pPr>
              <w:spacing w:before="240" w:line="240" w:lineRule="auto"/>
              <w:jc w:val="center"/>
              <w:rPr>
                <w:rFonts w:eastAsia="Times New Roman" w:cs="Arial"/>
                <w:b/>
                <w:bCs/>
                <w:sz w:val="20"/>
                <w:szCs w:val="20"/>
              </w:rPr>
            </w:pPr>
            <w:r w:rsidRPr="00EA0DC7">
              <w:rPr>
                <w:rFonts w:eastAsia="Times New Roman" w:cs="Arial"/>
                <w:b/>
                <w:bCs/>
                <w:sz w:val="20"/>
                <w:szCs w:val="20"/>
              </w:rPr>
              <w:t>Supervisor using enquiry as learning technique</w:t>
            </w:r>
          </w:p>
        </w:tc>
      </w:tr>
      <w:tr w:rsidR="003F0CDB" w:rsidRPr="00EA0DC7" w14:paraId="3EA05904" w14:textId="77777777" w:rsidTr="00B82F33">
        <w:trPr>
          <w:trHeight w:val="283"/>
        </w:trPr>
        <w:tc>
          <w:tcPr>
            <w:tcW w:w="1843" w:type="dxa"/>
            <w:tcBorders>
              <w:top w:val="single" w:sz="4" w:space="0" w:color="auto"/>
              <w:left w:val="nil"/>
              <w:right w:val="nil"/>
              <w:tl2br w:val="single" w:sz="4" w:space="0" w:color="auto"/>
            </w:tcBorders>
            <w:shd w:val="clear" w:color="auto" w:fill="auto"/>
            <w:hideMark/>
          </w:tcPr>
          <w:p w14:paraId="2A18312C" w14:textId="77777777" w:rsidR="003F0CDB" w:rsidRPr="00EA0DC7" w:rsidRDefault="003F0CDB" w:rsidP="00AB5FD6">
            <w:pPr>
              <w:spacing w:before="240" w:after="0" w:line="240" w:lineRule="auto"/>
              <w:jc w:val="right"/>
              <w:rPr>
                <w:rFonts w:eastAsia="Times New Roman" w:cs="Arial"/>
                <w:b/>
                <w:sz w:val="20"/>
                <w:szCs w:val="20"/>
              </w:rPr>
            </w:pPr>
            <w:r w:rsidRPr="00EA0DC7">
              <w:rPr>
                <w:rFonts w:eastAsia="Times New Roman" w:cs="Arial"/>
                <w:b/>
                <w:sz w:val="20"/>
                <w:szCs w:val="20"/>
              </w:rPr>
              <w:t>No. of models</w:t>
            </w:r>
          </w:p>
          <w:p w14:paraId="7D2336CD" w14:textId="77777777" w:rsidR="003F0CDB" w:rsidRPr="00EA0DC7" w:rsidRDefault="003F0CDB" w:rsidP="00957911">
            <w:pPr>
              <w:spacing w:after="0" w:line="240" w:lineRule="auto"/>
              <w:jc w:val="right"/>
              <w:rPr>
                <w:rFonts w:eastAsia="Times New Roman" w:cs="Arial"/>
                <w:b/>
                <w:sz w:val="20"/>
                <w:szCs w:val="20"/>
              </w:rPr>
            </w:pPr>
            <w:r w:rsidRPr="00EA0DC7">
              <w:rPr>
                <w:rFonts w:eastAsia="Times New Roman" w:cs="Arial"/>
                <w:b/>
                <w:sz w:val="20"/>
                <w:szCs w:val="20"/>
              </w:rPr>
              <w:t>with</w:t>
            </w:r>
          </w:p>
          <w:p w14:paraId="4AFA6429" w14:textId="77777777" w:rsidR="003F0CDB" w:rsidRPr="00EA0DC7" w:rsidRDefault="003F0CDB" w:rsidP="00957911">
            <w:pPr>
              <w:spacing w:after="0" w:line="240" w:lineRule="auto"/>
              <w:jc w:val="right"/>
              <w:rPr>
                <w:rFonts w:eastAsia="Times New Roman" w:cs="Arial"/>
                <w:b/>
                <w:bCs/>
                <w:sz w:val="20"/>
                <w:szCs w:val="20"/>
              </w:rPr>
            </w:pPr>
            <w:r w:rsidRPr="00EA0DC7">
              <w:rPr>
                <w:rFonts w:eastAsia="Times New Roman" w:cs="Arial"/>
                <w:b/>
                <w:sz w:val="20"/>
                <w:szCs w:val="20"/>
              </w:rPr>
              <w:t>element</w:t>
            </w:r>
            <w:r w:rsidRPr="00EA0DC7">
              <w:rPr>
                <w:rFonts w:eastAsia="Times New Roman" w:cs="Arial"/>
                <w:b/>
                <w:bCs/>
                <w:sz w:val="20"/>
                <w:szCs w:val="20"/>
              </w:rPr>
              <w:t xml:space="preserve"> </w:t>
            </w:r>
          </w:p>
          <w:p w14:paraId="02E16552" w14:textId="77777777" w:rsidR="003F0CDB" w:rsidRPr="00EA0DC7" w:rsidRDefault="003F0CDB" w:rsidP="00957911">
            <w:pPr>
              <w:spacing w:after="0" w:line="240" w:lineRule="auto"/>
              <w:rPr>
                <w:rFonts w:eastAsia="Times New Roman" w:cs="Arial"/>
                <w:b/>
                <w:bCs/>
                <w:sz w:val="20"/>
                <w:szCs w:val="20"/>
              </w:rPr>
            </w:pPr>
            <w:r w:rsidRPr="00EA0DC7">
              <w:rPr>
                <w:rFonts w:eastAsia="Times New Roman" w:cs="Arial"/>
                <w:b/>
                <w:bCs/>
                <w:sz w:val="20"/>
                <w:szCs w:val="20"/>
              </w:rPr>
              <w:t>Model/</w:t>
            </w:r>
          </w:p>
          <w:p w14:paraId="1BF8A7E6" w14:textId="77777777" w:rsidR="003F0CDB" w:rsidRPr="00EA0DC7" w:rsidRDefault="003F0CDB" w:rsidP="00AB5FD6">
            <w:pPr>
              <w:spacing w:line="240" w:lineRule="auto"/>
              <w:rPr>
                <w:rFonts w:eastAsia="Times New Roman" w:cs="Arial"/>
                <w:b/>
                <w:bCs/>
                <w:sz w:val="20"/>
                <w:szCs w:val="20"/>
              </w:rPr>
            </w:pPr>
            <w:r w:rsidRPr="00EA0DC7">
              <w:rPr>
                <w:rFonts w:eastAsia="Times New Roman" w:cs="Arial"/>
                <w:b/>
                <w:bCs/>
                <w:sz w:val="20"/>
                <w:szCs w:val="20"/>
              </w:rPr>
              <w:t>approach</w:t>
            </w:r>
          </w:p>
        </w:tc>
        <w:tc>
          <w:tcPr>
            <w:tcW w:w="2211" w:type="dxa"/>
            <w:tcBorders>
              <w:top w:val="single" w:sz="4" w:space="0" w:color="auto"/>
              <w:left w:val="nil"/>
              <w:right w:val="nil"/>
            </w:tcBorders>
            <w:shd w:val="clear" w:color="auto" w:fill="auto"/>
            <w:vAlign w:val="center"/>
            <w:hideMark/>
          </w:tcPr>
          <w:p w14:paraId="2D4DE35F"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24</w:t>
            </w:r>
          </w:p>
          <w:p w14:paraId="20188290"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(46.15%)</w:t>
            </w:r>
          </w:p>
        </w:tc>
        <w:tc>
          <w:tcPr>
            <w:tcW w:w="1418" w:type="dxa"/>
            <w:tcBorders>
              <w:top w:val="single" w:sz="4" w:space="0" w:color="auto"/>
              <w:left w:val="nil"/>
              <w:right w:val="nil"/>
            </w:tcBorders>
            <w:shd w:val="clear" w:color="auto" w:fill="auto"/>
            <w:vAlign w:val="center"/>
            <w:hideMark/>
          </w:tcPr>
          <w:p w14:paraId="675599FD"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w:t>
            </w:r>
          </w:p>
          <w:p w14:paraId="5A016A48"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(5.77%)</w:t>
            </w:r>
          </w:p>
        </w:tc>
        <w:tc>
          <w:tcPr>
            <w:tcW w:w="1417" w:type="dxa"/>
            <w:tcBorders>
              <w:top w:val="single" w:sz="4" w:space="0" w:color="auto"/>
              <w:left w:val="nil"/>
              <w:right w:val="nil"/>
            </w:tcBorders>
            <w:shd w:val="clear" w:color="auto" w:fill="auto"/>
            <w:vAlign w:val="center"/>
            <w:hideMark/>
          </w:tcPr>
          <w:p w14:paraId="0357312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24</w:t>
            </w:r>
          </w:p>
          <w:p w14:paraId="4305C60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(46.15%)</w:t>
            </w:r>
          </w:p>
        </w:tc>
        <w:tc>
          <w:tcPr>
            <w:tcW w:w="1276" w:type="dxa"/>
            <w:tcBorders>
              <w:top w:val="single" w:sz="4" w:space="0" w:color="auto"/>
              <w:left w:val="nil"/>
              <w:right w:val="nil"/>
            </w:tcBorders>
            <w:vAlign w:val="center"/>
          </w:tcPr>
          <w:p w14:paraId="4F8B46CC"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15</w:t>
            </w:r>
          </w:p>
          <w:p w14:paraId="2D27DFCB"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(28.85%)</w:t>
            </w:r>
          </w:p>
        </w:tc>
        <w:tc>
          <w:tcPr>
            <w:tcW w:w="1134" w:type="dxa"/>
            <w:tcBorders>
              <w:top w:val="single" w:sz="4" w:space="0" w:color="auto"/>
              <w:left w:val="nil"/>
              <w:right w:val="nil"/>
            </w:tcBorders>
            <w:vAlign w:val="center"/>
          </w:tcPr>
          <w:p w14:paraId="6DC146DC"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20</w:t>
            </w:r>
          </w:p>
          <w:p w14:paraId="2AC85724"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(38.46%)</w:t>
            </w:r>
          </w:p>
        </w:tc>
        <w:tc>
          <w:tcPr>
            <w:tcW w:w="1276" w:type="dxa"/>
            <w:tcBorders>
              <w:top w:val="single" w:sz="4" w:space="0" w:color="auto"/>
              <w:left w:val="nil"/>
              <w:right w:val="nil"/>
            </w:tcBorders>
            <w:vAlign w:val="center"/>
          </w:tcPr>
          <w:p w14:paraId="62C3C53C"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34</w:t>
            </w:r>
          </w:p>
          <w:p w14:paraId="0B7281BE"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(65.38%)</w:t>
            </w:r>
          </w:p>
        </w:tc>
        <w:tc>
          <w:tcPr>
            <w:tcW w:w="1276" w:type="dxa"/>
            <w:tcBorders>
              <w:top w:val="single" w:sz="4" w:space="0" w:color="auto"/>
              <w:left w:val="nil"/>
              <w:right w:val="nil"/>
            </w:tcBorders>
            <w:vAlign w:val="center"/>
          </w:tcPr>
          <w:p w14:paraId="42E7FB90"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41</w:t>
            </w:r>
          </w:p>
          <w:p w14:paraId="58AA9D3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(78.85%)</w:t>
            </w:r>
          </w:p>
        </w:tc>
        <w:tc>
          <w:tcPr>
            <w:tcW w:w="1276" w:type="dxa"/>
            <w:tcBorders>
              <w:top w:val="single" w:sz="4" w:space="0" w:color="auto"/>
              <w:left w:val="nil"/>
              <w:right w:val="nil"/>
            </w:tcBorders>
            <w:vAlign w:val="center"/>
          </w:tcPr>
          <w:p w14:paraId="245E92B6"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24</w:t>
            </w:r>
          </w:p>
          <w:p w14:paraId="5B2F2562"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(46.15%)</w:t>
            </w:r>
          </w:p>
        </w:tc>
        <w:tc>
          <w:tcPr>
            <w:tcW w:w="1275" w:type="dxa"/>
            <w:gridSpan w:val="2"/>
            <w:tcBorders>
              <w:top w:val="single" w:sz="4" w:space="0" w:color="auto"/>
              <w:left w:val="nil"/>
              <w:right w:val="nil"/>
            </w:tcBorders>
            <w:vAlign w:val="center"/>
          </w:tcPr>
          <w:p w14:paraId="3ABA1591"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6</w:t>
            </w:r>
          </w:p>
          <w:p w14:paraId="0FDA23E9"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(11.54%)</w:t>
            </w:r>
          </w:p>
        </w:tc>
      </w:tr>
      <w:tr w:rsidR="003F0CDB" w:rsidRPr="00EA0DC7" w14:paraId="54360254" w14:textId="77777777" w:rsidTr="00B82F33">
        <w:trPr>
          <w:trHeight w:val="283"/>
        </w:trPr>
        <w:tc>
          <w:tcPr>
            <w:tcW w:w="1843" w:type="dxa"/>
            <w:tcBorders>
              <w:left w:val="nil"/>
              <w:bottom w:val="nil"/>
              <w:right w:val="nil"/>
            </w:tcBorders>
            <w:shd w:val="clear" w:color="auto" w:fill="auto"/>
            <w:hideMark/>
          </w:tcPr>
          <w:p w14:paraId="2883D13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Hogan (1964)</w:t>
            </w:r>
          </w:p>
        </w:tc>
        <w:tc>
          <w:tcPr>
            <w:tcW w:w="2211" w:type="dxa"/>
            <w:tcBorders>
              <w:left w:val="nil"/>
              <w:bottom w:val="nil"/>
              <w:right w:val="nil"/>
            </w:tcBorders>
            <w:shd w:val="clear" w:color="auto" w:fill="auto"/>
            <w:noWrap/>
            <w:vAlign w:val="center"/>
            <w:hideMark/>
          </w:tcPr>
          <w:p w14:paraId="63FDC787"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19DC67C1" w14:textId="77777777" w:rsidR="003F0CDB" w:rsidRPr="00EA0DC7" w:rsidRDefault="003F0CDB" w:rsidP="00957911">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37850532" w14:textId="77777777" w:rsidR="003F0CDB" w:rsidRPr="00EA0DC7" w:rsidRDefault="003F0CDB" w:rsidP="00957911">
            <w:pPr>
              <w:spacing w:line="240" w:lineRule="auto"/>
              <w:jc w:val="center"/>
              <w:rPr>
                <w:rFonts w:eastAsia="Times New Roman" w:cs="Arial"/>
                <w:sz w:val="20"/>
                <w:szCs w:val="20"/>
              </w:rPr>
            </w:pPr>
          </w:p>
        </w:tc>
        <w:tc>
          <w:tcPr>
            <w:tcW w:w="1276" w:type="dxa"/>
            <w:tcBorders>
              <w:left w:val="nil"/>
              <w:bottom w:val="nil"/>
              <w:right w:val="nil"/>
            </w:tcBorders>
            <w:vAlign w:val="center"/>
          </w:tcPr>
          <w:p w14:paraId="05251DD8"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left w:val="nil"/>
              <w:bottom w:val="nil"/>
              <w:right w:val="nil"/>
            </w:tcBorders>
            <w:vAlign w:val="center"/>
          </w:tcPr>
          <w:p w14:paraId="7BF6904D" w14:textId="77777777" w:rsidR="003F0CDB" w:rsidRPr="00EA0DC7" w:rsidRDefault="003F0CDB" w:rsidP="00957911">
            <w:pPr>
              <w:spacing w:line="240" w:lineRule="auto"/>
              <w:jc w:val="center"/>
              <w:rPr>
                <w:rFonts w:eastAsia="Times New Roman" w:cs="Arial"/>
                <w:sz w:val="20"/>
                <w:szCs w:val="20"/>
              </w:rPr>
            </w:pPr>
          </w:p>
        </w:tc>
        <w:tc>
          <w:tcPr>
            <w:tcW w:w="1276" w:type="dxa"/>
            <w:tcBorders>
              <w:left w:val="nil"/>
              <w:bottom w:val="nil"/>
              <w:right w:val="nil"/>
            </w:tcBorders>
            <w:vAlign w:val="center"/>
          </w:tcPr>
          <w:p w14:paraId="3D0AD9F3" w14:textId="77777777" w:rsidR="003F0CDB" w:rsidRPr="00EA0DC7" w:rsidRDefault="003F0CDB" w:rsidP="00957911">
            <w:pPr>
              <w:spacing w:line="240" w:lineRule="auto"/>
              <w:jc w:val="center"/>
              <w:rPr>
                <w:rFonts w:eastAsia="Times New Roman" w:cs="Arial"/>
                <w:sz w:val="20"/>
                <w:szCs w:val="20"/>
              </w:rPr>
            </w:pPr>
          </w:p>
        </w:tc>
        <w:tc>
          <w:tcPr>
            <w:tcW w:w="1276" w:type="dxa"/>
            <w:tcBorders>
              <w:left w:val="nil"/>
              <w:bottom w:val="nil"/>
              <w:right w:val="nil"/>
            </w:tcBorders>
            <w:vAlign w:val="center"/>
          </w:tcPr>
          <w:p w14:paraId="64582268" w14:textId="77777777" w:rsidR="003F0CDB" w:rsidRPr="00EA0DC7" w:rsidRDefault="003F0CDB" w:rsidP="00957911">
            <w:pPr>
              <w:spacing w:line="240" w:lineRule="auto"/>
              <w:jc w:val="center"/>
              <w:rPr>
                <w:rFonts w:eastAsia="Times New Roman" w:cs="Arial"/>
                <w:sz w:val="20"/>
                <w:szCs w:val="20"/>
              </w:rPr>
            </w:pPr>
          </w:p>
        </w:tc>
        <w:tc>
          <w:tcPr>
            <w:tcW w:w="1276" w:type="dxa"/>
            <w:tcBorders>
              <w:left w:val="nil"/>
              <w:bottom w:val="nil"/>
              <w:right w:val="nil"/>
            </w:tcBorders>
            <w:vAlign w:val="center"/>
          </w:tcPr>
          <w:p w14:paraId="242CD589" w14:textId="77777777" w:rsidR="003F0CDB" w:rsidRPr="00EA0DC7" w:rsidRDefault="003F0CDB" w:rsidP="00957911">
            <w:pPr>
              <w:spacing w:line="240" w:lineRule="auto"/>
              <w:jc w:val="center"/>
              <w:rPr>
                <w:rFonts w:eastAsia="Times New Roman" w:cs="Arial"/>
                <w:sz w:val="20"/>
                <w:szCs w:val="20"/>
              </w:rPr>
            </w:pPr>
          </w:p>
        </w:tc>
        <w:tc>
          <w:tcPr>
            <w:tcW w:w="1275" w:type="dxa"/>
            <w:gridSpan w:val="2"/>
            <w:tcBorders>
              <w:left w:val="nil"/>
              <w:bottom w:val="nil"/>
              <w:right w:val="nil"/>
            </w:tcBorders>
            <w:vAlign w:val="center"/>
          </w:tcPr>
          <w:p w14:paraId="6708B5DE" w14:textId="77777777" w:rsidR="003F0CDB" w:rsidRPr="00EA0DC7" w:rsidRDefault="003F0CDB" w:rsidP="00957911">
            <w:pPr>
              <w:spacing w:line="240" w:lineRule="auto"/>
              <w:jc w:val="center"/>
              <w:rPr>
                <w:rFonts w:eastAsia="Times New Roman" w:cs="Arial"/>
                <w:sz w:val="20"/>
                <w:szCs w:val="20"/>
              </w:rPr>
            </w:pPr>
          </w:p>
        </w:tc>
      </w:tr>
      <w:tr w:rsidR="003F0CDB" w:rsidRPr="00EA0DC7" w14:paraId="6B86D94C" w14:textId="77777777" w:rsidTr="00B82F33">
        <w:trPr>
          <w:trHeight w:val="283"/>
        </w:trPr>
        <w:tc>
          <w:tcPr>
            <w:tcW w:w="1843" w:type="dxa"/>
            <w:tcBorders>
              <w:top w:val="nil"/>
              <w:left w:val="nil"/>
              <w:bottom w:val="nil"/>
              <w:right w:val="nil"/>
            </w:tcBorders>
            <w:shd w:val="clear" w:color="auto" w:fill="auto"/>
            <w:hideMark/>
          </w:tcPr>
          <w:p w14:paraId="370433F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Ekstein &amp; Wallerstein (1972)</w:t>
            </w:r>
          </w:p>
        </w:tc>
        <w:tc>
          <w:tcPr>
            <w:tcW w:w="2211" w:type="dxa"/>
            <w:tcBorders>
              <w:top w:val="nil"/>
              <w:left w:val="nil"/>
              <w:bottom w:val="nil"/>
              <w:right w:val="nil"/>
            </w:tcBorders>
            <w:shd w:val="clear" w:color="auto" w:fill="auto"/>
            <w:noWrap/>
            <w:vAlign w:val="center"/>
            <w:hideMark/>
          </w:tcPr>
          <w:p w14:paraId="3749A62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1F78EF55" w14:textId="77777777" w:rsidR="003F0CDB" w:rsidRPr="00EA0DC7" w:rsidRDefault="003F0CDB" w:rsidP="00957911">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7D824154" w14:textId="77777777" w:rsidR="003F0CDB" w:rsidRPr="00EA0DC7" w:rsidRDefault="003F0CDB" w:rsidP="00957911">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09112F3A"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734D7359"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7D4F0EC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5CF69C11"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7BCE25CB" w14:textId="77777777" w:rsidR="003F0CDB" w:rsidRPr="00EA0DC7" w:rsidRDefault="003F0CDB" w:rsidP="00957911">
            <w:pPr>
              <w:spacing w:line="240" w:lineRule="auto"/>
              <w:jc w:val="center"/>
              <w:rPr>
                <w:rFonts w:eastAsia="Times New Roman" w:cs="Arial"/>
                <w:sz w:val="20"/>
                <w:szCs w:val="20"/>
              </w:rPr>
            </w:pPr>
          </w:p>
        </w:tc>
        <w:tc>
          <w:tcPr>
            <w:tcW w:w="1275" w:type="dxa"/>
            <w:gridSpan w:val="2"/>
            <w:tcBorders>
              <w:top w:val="nil"/>
              <w:left w:val="nil"/>
              <w:bottom w:val="nil"/>
              <w:right w:val="nil"/>
            </w:tcBorders>
            <w:vAlign w:val="center"/>
          </w:tcPr>
          <w:p w14:paraId="2E8CD2FC" w14:textId="77777777" w:rsidR="003F0CDB" w:rsidRPr="00EA0DC7" w:rsidRDefault="003F0CDB" w:rsidP="00957911">
            <w:pPr>
              <w:spacing w:line="240" w:lineRule="auto"/>
              <w:jc w:val="center"/>
              <w:rPr>
                <w:rFonts w:eastAsia="Times New Roman" w:cs="Arial"/>
                <w:sz w:val="20"/>
                <w:szCs w:val="20"/>
              </w:rPr>
            </w:pPr>
          </w:p>
        </w:tc>
      </w:tr>
      <w:tr w:rsidR="003F0CDB" w:rsidRPr="00EA0DC7" w14:paraId="1EAC688E" w14:textId="77777777" w:rsidTr="00B82F33">
        <w:trPr>
          <w:trHeight w:val="283"/>
        </w:trPr>
        <w:tc>
          <w:tcPr>
            <w:tcW w:w="1843" w:type="dxa"/>
            <w:tcBorders>
              <w:top w:val="nil"/>
              <w:left w:val="nil"/>
              <w:bottom w:val="nil"/>
              <w:right w:val="nil"/>
            </w:tcBorders>
            <w:shd w:val="clear" w:color="auto" w:fill="auto"/>
            <w:hideMark/>
          </w:tcPr>
          <w:p w14:paraId="2F4B2AF4"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Mueller &amp; Kell (1971)</w:t>
            </w:r>
          </w:p>
        </w:tc>
        <w:tc>
          <w:tcPr>
            <w:tcW w:w="2211" w:type="dxa"/>
            <w:tcBorders>
              <w:top w:val="nil"/>
              <w:left w:val="nil"/>
              <w:bottom w:val="nil"/>
              <w:right w:val="nil"/>
            </w:tcBorders>
            <w:shd w:val="clear" w:color="auto" w:fill="auto"/>
            <w:noWrap/>
            <w:vAlign w:val="center"/>
            <w:hideMark/>
          </w:tcPr>
          <w:p w14:paraId="71BB8D4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4328F228" w14:textId="77777777" w:rsidR="003F0CDB" w:rsidRPr="00EA0DC7" w:rsidRDefault="003F0CDB" w:rsidP="00957911">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14DEB616" w14:textId="77777777" w:rsidR="003F0CDB" w:rsidRPr="00EA0DC7" w:rsidRDefault="003F0CDB" w:rsidP="00957911">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3EFC1D65"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69007665" w14:textId="77777777" w:rsidR="003F0CDB" w:rsidRPr="00EA0DC7" w:rsidRDefault="003F0CDB" w:rsidP="00957911">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51CADE3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6EBB3EB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2062CE4D" w14:textId="77777777" w:rsidR="003F0CDB" w:rsidRPr="00EA0DC7" w:rsidRDefault="003F0CDB" w:rsidP="00957911">
            <w:pPr>
              <w:spacing w:line="240" w:lineRule="auto"/>
              <w:jc w:val="center"/>
              <w:rPr>
                <w:rFonts w:eastAsia="Times New Roman" w:cs="Arial"/>
                <w:sz w:val="20"/>
                <w:szCs w:val="20"/>
              </w:rPr>
            </w:pPr>
          </w:p>
        </w:tc>
        <w:tc>
          <w:tcPr>
            <w:tcW w:w="1275" w:type="dxa"/>
            <w:gridSpan w:val="2"/>
            <w:tcBorders>
              <w:top w:val="nil"/>
              <w:left w:val="nil"/>
              <w:bottom w:val="nil"/>
              <w:right w:val="nil"/>
            </w:tcBorders>
            <w:vAlign w:val="center"/>
          </w:tcPr>
          <w:p w14:paraId="09911A58" w14:textId="77777777" w:rsidR="003F0CDB" w:rsidRPr="00EA0DC7" w:rsidRDefault="003F0CDB" w:rsidP="00957911">
            <w:pPr>
              <w:spacing w:line="240" w:lineRule="auto"/>
              <w:jc w:val="center"/>
              <w:rPr>
                <w:rFonts w:eastAsia="Times New Roman" w:cs="Arial"/>
                <w:sz w:val="20"/>
                <w:szCs w:val="20"/>
              </w:rPr>
            </w:pPr>
          </w:p>
        </w:tc>
      </w:tr>
      <w:tr w:rsidR="003F0CDB" w:rsidRPr="00EA0DC7" w14:paraId="1E58173A" w14:textId="77777777" w:rsidTr="00B82F33">
        <w:trPr>
          <w:trHeight w:val="283"/>
        </w:trPr>
        <w:tc>
          <w:tcPr>
            <w:tcW w:w="1843" w:type="dxa"/>
            <w:tcBorders>
              <w:top w:val="nil"/>
              <w:left w:val="nil"/>
              <w:right w:val="nil"/>
            </w:tcBorders>
            <w:shd w:val="clear" w:color="auto" w:fill="auto"/>
            <w:hideMark/>
          </w:tcPr>
          <w:p w14:paraId="5733C71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Delaney (1972)</w:t>
            </w:r>
          </w:p>
        </w:tc>
        <w:tc>
          <w:tcPr>
            <w:tcW w:w="2211" w:type="dxa"/>
            <w:tcBorders>
              <w:top w:val="nil"/>
              <w:left w:val="nil"/>
              <w:right w:val="nil"/>
            </w:tcBorders>
            <w:shd w:val="clear" w:color="auto" w:fill="auto"/>
            <w:noWrap/>
            <w:vAlign w:val="center"/>
            <w:hideMark/>
          </w:tcPr>
          <w:p w14:paraId="786A477F"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2045DA89" w14:textId="77777777" w:rsidR="003F0CDB" w:rsidRPr="00EA0DC7" w:rsidRDefault="003F0CDB" w:rsidP="00957911">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32DD75F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75024C8E"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vAlign w:val="center"/>
          </w:tcPr>
          <w:p w14:paraId="743FD1A7"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4F5AED6D" w14:textId="77777777" w:rsidR="003F0CDB" w:rsidRPr="00EA0DC7" w:rsidRDefault="003F0CDB" w:rsidP="00957911">
            <w:pPr>
              <w:spacing w:line="240" w:lineRule="auto"/>
              <w:jc w:val="center"/>
              <w:rPr>
                <w:rFonts w:eastAsia="Times New Roman" w:cs="Arial"/>
                <w:sz w:val="20"/>
                <w:szCs w:val="20"/>
              </w:rPr>
            </w:pPr>
          </w:p>
        </w:tc>
        <w:tc>
          <w:tcPr>
            <w:tcW w:w="1276" w:type="dxa"/>
            <w:tcBorders>
              <w:top w:val="nil"/>
              <w:left w:val="nil"/>
              <w:right w:val="nil"/>
            </w:tcBorders>
            <w:vAlign w:val="center"/>
          </w:tcPr>
          <w:p w14:paraId="6E534EE1" w14:textId="77777777" w:rsidR="003F0CDB" w:rsidRPr="00EA0DC7" w:rsidRDefault="003F0CDB" w:rsidP="00957911">
            <w:pPr>
              <w:spacing w:line="240" w:lineRule="auto"/>
              <w:jc w:val="center"/>
              <w:rPr>
                <w:rFonts w:eastAsia="Times New Roman" w:cs="Arial"/>
                <w:sz w:val="20"/>
                <w:szCs w:val="20"/>
              </w:rPr>
            </w:pPr>
          </w:p>
        </w:tc>
        <w:tc>
          <w:tcPr>
            <w:tcW w:w="1276" w:type="dxa"/>
            <w:tcBorders>
              <w:top w:val="nil"/>
              <w:left w:val="nil"/>
              <w:right w:val="nil"/>
            </w:tcBorders>
            <w:vAlign w:val="center"/>
          </w:tcPr>
          <w:p w14:paraId="0D05F73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gridSpan w:val="2"/>
            <w:tcBorders>
              <w:top w:val="nil"/>
              <w:left w:val="nil"/>
              <w:right w:val="nil"/>
            </w:tcBorders>
            <w:vAlign w:val="center"/>
          </w:tcPr>
          <w:p w14:paraId="38EAAF69" w14:textId="77777777" w:rsidR="003F0CDB" w:rsidRPr="00EA0DC7" w:rsidRDefault="003F0CDB" w:rsidP="00957911">
            <w:pPr>
              <w:spacing w:line="240" w:lineRule="auto"/>
              <w:jc w:val="center"/>
              <w:rPr>
                <w:rFonts w:eastAsia="Times New Roman" w:cs="Arial"/>
                <w:sz w:val="20"/>
                <w:szCs w:val="20"/>
              </w:rPr>
            </w:pPr>
          </w:p>
        </w:tc>
      </w:tr>
      <w:tr w:rsidR="003F0CDB" w:rsidRPr="00EA0DC7" w14:paraId="21326E7D" w14:textId="77777777" w:rsidTr="00B82F33">
        <w:trPr>
          <w:trHeight w:val="283"/>
        </w:trPr>
        <w:tc>
          <w:tcPr>
            <w:tcW w:w="1843" w:type="dxa"/>
            <w:tcBorders>
              <w:top w:val="nil"/>
              <w:left w:val="nil"/>
              <w:right w:val="nil"/>
            </w:tcBorders>
            <w:shd w:val="clear" w:color="auto" w:fill="auto"/>
            <w:hideMark/>
          </w:tcPr>
          <w:p w14:paraId="347FDBD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Ard (1973)</w:t>
            </w:r>
          </w:p>
        </w:tc>
        <w:tc>
          <w:tcPr>
            <w:tcW w:w="2211" w:type="dxa"/>
            <w:tcBorders>
              <w:top w:val="nil"/>
              <w:left w:val="nil"/>
              <w:right w:val="nil"/>
            </w:tcBorders>
            <w:shd w:val="clear" w:color="auto" w:fill="auto"/>
            <w:noWrap/>
            <w:vAlign w:val="center"/>
            <w:hideMark/>
          </w:tcPr>
          <w:p w14:paraId="2822BEA6"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57F8A877" w14:textId="77777777" w:rsidR="003F0CDB" w:rsidRPr="00EA0DC7" w:rsidRDefault="003F0CDB" w:rsidP="00957911">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7963C5FA"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03AF057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6C71E452"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851172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09F2D6B8"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4423FB41" w14:textId="77777777" w:rsidR="003F0CDB" w:rsidRPr="00EA0DC7" w:rsidRDefault="003F0CDB" w:rsidP="00957911">
            <w:pPr>
              <w:spacing w:line="240" w:lineRule="auto"/>
              <w:jc w:val="center"/>
              <w:rPr>
                <w:rFonts w:eastAsia="Times New Roman" w:cs="Arial"/>
                <w:sz w:val="20"/>
                <w:szCs w:val="20"/>
              </w:rPr>
            </w:pPr>
          </w:p>
        </w:tc>
        <w:tc>
          <w:tcPr>
            <w:tcW w:w="1275" w:type="dxa"/>
            <w:gridSpan w:val="2"/>
            <w:tcBorders>
              <w:top w:val="nil"/>
              <w:left w:val="nil"/>
              <w:right w:val="nil"/>
            </w:tcBorders>
            <w:vAlign w:val="center"/>
          </w:tcPr>
          <w:p w14:paraId="336ABF1C" w14:textId="77777777" w:rsidR="003F0CDB" w:rsidRPr="00EA0DC7" w:rsidRDefault="003F0CDB" w:rsidP="00957911">
            <w:pPr>
              <w:spacing w:line="240" w:lineRule="auto"/>
              <w:jc w:val="center"/>
              <w:rPr>
                <w:rFonts w:eastAsia="Times New Roman" w:cs="Arial"/>
                <w:sz w:val="20"/>
                <w:szCs w:val="20"/>
              </w:rPr>
            </w:pPr>
          </w:p>
        </w:tc>
      </w:tr>
      <w:tr w:rsidR="003F0CDB" w:rsidRPr="00EA0DC7" w14:paraId="3BB53DE2" w14:textId="77777777" w:rsidTr="00B82F33">
        <w:trPr>
          <w:trHeight w:val="283"/>
        </w:trPr>
        <w:tc>
          <w:tcPr>
            <w:tcW w:w="1843" w:type="dxa"/>
            <w:tcBorders>
              <w:left w:val="nil"/>
              <w:bottom w:val="single" w:sz="4" w:space="0" w:color="auto"/>
              <w:right w:val="nil"/>
            </w:tcBorders>
            <w:shd w:val="clear" w:color="auto" w:fill="auto"/>
            <w:hideMark/>
          </w:tcPr>
          <w:p w14:paraId="26C578A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Bernard (1979)</w:t>
            </w:r>
          </w:p>
        </w:tc>
        <w:tc>
          <w:tcPr>
            <w:tcW w:w="2211" w:type="dxa"/>
            <w:tcBorders>
              <w:left w:val="nil"/>
              <w:bottom w:val="single" w:sz="4" w:space="0" w:color="auto"/>
              <w:right w:val="nil"/>
            </w:tcBorders>
            <w:shd w:val="clear" w:color="auto" w:fill="auto"/>
            <w:noWrap/>
            <w:vAlign w:val="center"/>
            <w:hideMark/>
          </w:tcPr>
          <w:p w14:paraId="00B3080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single" w:sz="4" w:space="0" w:color="auto"/>
              <w:right w:val="nil"/>
            </w:tcBorders>
            <w:shd w:val="clear" w:color="auto" w:fill="auto"/>
            <w:noWrap/>
            <w:vAlign w:val="center"/>
            <w:hideMark/>
          </w:tcPr>
          <w:p w14:paraId="6F468D3D" w14:textId="77777777" w:rsidR="003F0CDB" w:rsidRPr="00EA0DC7" w:rsidRDefault="003F0CDB" w:rsidP="00957911">
            <w:pPr>
              <w:spacing w:line="240" w:lineRule="auto"/>
              <w:jc w:val="center"/>
              <w:rPr>
                <w:rFonts w:eastAsia="Times New Roman" w:cs="Arial"/>
                <w:sz w:val="20"/>
                <w:szCs w:val="20"/>
              </w:rPr>
            </w:pPr>
          </w:p>
        </w:tc>
        <w:tc>
          <w:tcPr>
            <w:tcW w:w="1417" w:type="dxa"/>
            <w:tcBorders>
              <w:left w:val="nil"/>
              <w:bottom w:val="single" w:sz="4" w:space="0" w:color="auto"/>
              <w:right w:val="nil"/>
            </w:tcBorders>
            <w:shd w:val="clear" w:color="auto" w:fill="auto"/>
            <w:noWrap/>
            <w:vAlign w:val="center"/>
            <w:hideMark/>
          </w:tcPr>
          <w:p w14:paraId="00A54192"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5ED125F9"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single" w:sz="4" w:space="0" w:color="auto"/>
              <w:right w:val="nil"/>
            </w:tcBorders>
            <w:vAlign w:val="center"/>
          </w:tcPr>
          <w:p w14:paraId="18AABA8C" w14:textId="77777777" w:rsidR="003F0CDB" w:rsidRPr="00EA0DC7" w:rsidRDefault="003F0CDB" w:rsidP="00957911">
            <w:pPr>
              <w:spacing w:line="240" w:lineRule="auto"/>
              <w:jc w:val="center"/>
              <w:rPr>
                <w:rFonts w:eastAsia="Times New Roman" w:cs="Arial"/>
                <w:sz w:val="20"/>
                <w:szCs w:val="20"/>
              </w:rPr>
            </w:pPr>
          </w:p>
        </w:tc>
        <w:tc>
          <w:tcPr>
            <w:tcW w:w="1276" w:type="dxa"/>
            <w:tcBorders>
              <w:left w:val="nil"/>
              <w:bottom w:val="single" w:sz="4" w:space="0" w:color="auto"/>
              <w:right w:val="nil"/>
            </w:tcBorders>
            <w:vAlign w:val="center"/>
          </w:tcPr>
          <w:p w14:paraId="68C339D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248DE02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71DD91E8"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gridSpan w:val="2"/>
            <w:tcBorders>
              <w:left w:val="nil"/>
              <w:bottom w:val="single" w:sz="4" w:space="0" w:color="auto"/>
              <w:right w:val="nil"/>
            </w:tcBorders>
            <w:vAlign w:val="center"/>
          </w:tcPr>
          <w:p w14:paraId="5C336BA3" w14:textId="77777777" w:rsidR="003F0CDB" w:rsidRPr="00EA0DC7" w:rsidRDefault="003F0CDB" w:rsidP="00957911">
            <w:pPr>
              <w:spacing w:line="240" w:lineRule="auto"/>
              <w:jc w:val="center"/>
              <w:rPr>
                <w:rFonts w:eastAsia="Times New Roman" w:cs="Arial"/>
                <w:sz w:val="20"/>
                <w:szCs w:val="20"/>
              </w:rPr>
            </w:pPr>
          </w:p>
        </w:tc>
      </w:tr>
    </w:tbl>
    <w:p w14:paraId="7B4A043D" w14:textId="77777777" w:rsidR="00ED63E7" w:rsidRPr="00EA0DC7" w:rsidRDefault="00ED63E7" w:rsidP="001359B7">
      <w:pPr>
        <w:spacing w:before="240" w:line="240" w:lineRule="auto"/>
        <w:jc w:val="center"/>
        <w:rPr>
          <w:rFonts w:eastAsia="Times New Roman" w:cs="Arial"/>
          <w:b/>
          <w:sz w:val="20"/>
          <w:szCs w:val="20"/>
        </w:rPr>
        <w:sectPr w:rsidR="00ED63E7" w:rsidRPr="00EA0DC7" w:rsidSect="00B82F33">
          <w:type w:val="nextColumn"/>
          <w:pgSz w:w="16838" w:h="11906" w:orient="landscape"/>
          <w:pgMar w:top="1440" w:right="1440" w:bottom="2268" w:left="1440" w:header="709" w:footer="709" w:gutter="0"/>
          <w:cols w:space="708"/>
          <w:docGrid w:linePitch="360"/>
        </w:sectPr>
      </w:pPr>
    </w:p>
    <w:tbl>
      <w:tblPr>
        <w:tblW w:w="14401" w:type="dxa"/>
        <w:tblLayout w:type="fixed"/>
        <w:tblLook w:val="04A0" w:firstRow="1" w:lastRow="0" w:firstColumn="1" w:lastColumn="0" w:noHBand="0" w:noVBand="1"/>
      </w:tblPr>
      <w:tblGrid>
        <w:gridCol w:w="1843"/>
        <w:gridCol w:w="2211"/>
        <w:gridCol w:w="1418"/>
        <w:gridCol w:w="1417"/>
        <w:gridCol w:w="1275"/>
        <w:gridCol w:w="1134"/>
        <w:gridCol w:w="1276"/>
        <w:gridCol w:w="1276"/>
        <w:gridCol w:w="1276"/>
        <w:gridCol w:w="1275"/>
      </w:tblGrid>
      <w:tr w:rsidR="001359B7" w:rsidRPr="00EA0DC7" w14:paraId="085BA281" w14:textId="77777777" w:rsidTr="00B82F33">
        <w:trPr>
          <w:trHeight w:val="283"/>
        </w:trPr>
        <w:tc>
          <w:tcPr>
            <w:tcW w:w="1843" w:type="dxa"/>
            <w:tcBorders>
              <w:top w:val="single" w:sz="4" w:space="0" w:color="auto"/>
              <w:left w:val="nil"/>
              <w:bottom w:val="single" w:sz="4" w:space="0" w:color="auto"/>
              <w:right w:val="nil"/>
            </w:tcBorders>
            <w:shd w:val="clear" w:color="auto" w:fill="auto"/>
            <w:vAlign w:val="center"/>
          </w:tcPr>
          <w:p w14:paraId="60DE3BCF" w14:textId="0EAF6F35" w:rsidR="001359B7" w:rsidRPr="00EA0DC7" w:rsidRDefault="001359B7" w:rsidP="001359B7">
            <w:pPr>
              <w:spacing w:before="240" w:line="240" w:lineRule="auto"/>
              <w:jc w:val="center"/>
              <w:rPr>
                <w:rFonts w:eastAsia="Times New Roman" w:cs="Arial"/>
                <w:b/>
                <w:sz w:val="20"/>
                <w:szCs w:val="20"/>
              </w:rPr>
            </w:pPr>
            <w:r w:rsidRPr="00EA0DC7">
              <w:rPr>
                <w:rFonts w:eastAsia="Times New Roman" w:cs="Arial"/>
                <w:b/>
                <w:sz w:val="20"/>
                <w:szCs w:val="20"/>
              </w:rPr>
              <w:lastRenderedPageBreak/>
              <w:t>Model/ approach</w:t>
            </w:r>
          </w:p>
        </w:tc>
        <w:tc>
          <w:tcPr>
            <w:tcW w:w="2211" w:type="dxa"/>
            <w:tcBorders>
              <w:top w:val="single" w:sz="4" w:space="0" w:color="auto"/>
              <w:left w:val="nil"/>
              <w:bottom w:val="single" w:sz="4" w:space="0" w:color="auto"/>
              <w:right w:val="nil"/>
            </w:tcBorders>
            <w:shd w:val="clear" w:color="auto" w:fill="auto"/>
            <w:noWrap/>
            <w:vAlign w:val="center"/>
          </w:tcPr>
          <w:p w14:paraId="48A95708" w14:textId="20C794FC"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noWrap/>
            <w:vAlign w:val="center"/>
          </w:tcPr>
          <w:p w14:paraId="237C97CA" w14:textId="23AB45D0"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noWrap/>
            <w:vAlign w:val="center"/>
          </w:tcPr>
          <w:p w14:paraId="7DD7D79A" w14:textId="7CA2143A"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Discussion of theories and reading of literature</w:t>
            </w:r>
          </w:p>
        </w:tc>
        <w:tc>
          <w:tcPr>
            <w:tcW w:w="1275" w:type="dxa"/>
            <w:tcBorders>
              <w:top w:val="single" w:sz="4" w:space="0" w:color="auto"/>
              <w:left w:val="nil"/>
              <w:bottom w:val="single" w:sz="4" w:space="0" w:color="auto"/>
              <w:right w:val="nil"/>
            </w:tcBorders>
            <w:vAlign w:val="center"/>
          </w:tcPr>
          <w:p w14:paraId="5C772A20" w14:textId="70EEE2D6"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6297FF24" w14:textId="3961BFAC"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Live supervis</w:t>
            </w:r>
            <w:r w:rsidR="00B82F33" w:rsidRPr="00EA0DC7">
              <w:rPr>
                <w:rFonts w:eastAsia="Times New Roman" w:cs="Arial"/>
                <w:b/>
                <w:bCs/>
                <w:sz w:val="20"/>
                <w:szCs w:val="20"/>
              </w:rPr>
              <w:t>-</w:t>
            </w:r>
            <w:r w:rsidRPr="00EA0DC7">
              <w:rPr>
                <w:rFonts w:eastAsia="Times New Roman" w:cs="Arial"/>
                <w:b/>
                <w:bCs/>
                <w:sz w:val="20"/>
                <w:szCs w:val="20"/>
              </w:rPr>
              <w:t>ion/ observation</w:t>
            </w:r>
          </w:p>
        </w:tc>
        <w:tc>
          <w:tcPr>
            <w:tcW w:w="1276" w:type="dxa"/>
            <w:tcBorders>
              <w:top w:val="single" w:sz="4" w:space="0" w:color="auto"/>
              <w:left w:val="nil"/>
              <w:bottom w:val="single" w:sz="4" w:space="0" w:color="auto"/>
              <w:right w:val="nil"/>
            </w:tcBorders>
            <w:vAlign w:val="center"/>
          </w:tcPr>
          <w:p w14:paraId="7C23E908" w14:textId="521AEDAD"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08AFD9C3" w14:textId="6E1CEDD8"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5D41B912" w14:textId="66DD7C2A"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Enactment of therapy sessions/ role-play</w:t>
            </w:r>
          </w:p>
        </w:tc>
        <w:tc>
          <w:tcPr>
            <w:tcW w:w="1275" w:type="dxa"/>
            <w:tcBorders>
              <w:top w:val="single" w:sz="4" w:space="0" w:color="auto"/>
              <w:left w:val="nil"/>
              <w:bottom w:val="single" w:sz="4" w:space="0" w:color="auto"/>
              <w:right w:val="nil"/>
            </w:tcBorders>
            <w:vAlign w:val="center"/>
          </w:tcPr>
          <w:p w14:paraId="3D65E053" w14:textId="59F14B78" w:rsidR="001359B7" w:rsidRPr="00EA0DC7" w:rsidRDefault="001359B7" w:rsidP="001359B7">
            <w:pPr>
              <w:spacing w:before="240" w:line="240" w:lineRule="auto"/>
              <w:jc w:val="center"/>
              <w:rPr>
                <w:rFonts w:eastAsia="Times New Roman" w:cs="Arial"/>
                <w:sz w:val="20"/>
                <w:szCs w:val="20"/>
              </w:rPr>
            </w:pPr>
            <w:r w:rsidRPr="00EA0DC7">
              <w:rPr>
                <w:rFonts w:eastAsia="Times New Roman" w:cs="Arial"/>
                <w:b/>
                <w:bCs/>
                <w:sz w:val="20"/>
                <w:szCs w:val="20"/>
              </w:rPr>
              <w:t>Supervisor using enquiry as learning technique</w:t>
            </w:r>
          </w:p>
        </w:tc>
      </w:tr>
      <w:tr w:rsidR="001359B7" w:rsidRPr="00EA0DC7" w14:paraId="444A7E85" w14:textId="77777777" w:rsidTr="00B82F33">
        <w:trPr>
          <w:trHeight w:val="283"/>
        </w:trPr>
        <w:tc>
          <w:tcPr>
            <w:tcW w:w="1843" w:type="dxa"/>
            <w:tcBorders>
              <w:top w:val="single" w:sz="4" w:space="0" w:color="auto"/>
              <w:left w:val="nil"/>
              <w:right w:val="nil"/>
            </w:tcBorders>
            <w:shd w:val="clear" w:color="auto" w:fill="auto"/>
            <w:hideMark/>
          </w:tcPr>
          <w:p w14:paraId="3313CFA2" w14:textId="77777777" w:rsidR="001359B7" w:rsidRPr="00EA0DC7" w:rsidRDefault="001359B7" w:rsidP="00B82F33">
            <w:pPr>
              <w:spacing w:line="240" w:lineRule="auto"/>
              <w:jc w:val="left"/>
              <w:rPr>
                <w:rFonts w:eastAsia="Times New Roman" w:cs="Arial"/>
                <w:sz w:val="20"/>
                <w:szCs w:val="20"/>
              </w:rPr>
            </w:pPr>
            <w:r w:rsidRPr="00EA0DC7">
              <w:rPr>
                <w:rFonts w:eastAsia="Times New Roman" w:cs="Arial"/>
                <w:sz w:val="20"/>
                <w:szCs w:val="20"/>
              </w:rPr>
              <w:t>Littrell et al. (1979)</w:t>
            </w:r>
          </w:p>
        </w:tc>
        <w:tc>
          <w:tcPr>
            <w:tcW w:w="2211" w:type="dxa"/>
            <w:tcBorders>
              <w:top w:val="single" w:sz="4" w:space="0" w:color="auto"/>
              <w:left w:val="nil"/>
              <w:right w:val="nil"/>
            </w:tcBorders>
            <w:shd w:val="clear" w:color="auto" w:fill="auto"/>
            <w:noWrap/>
            <w:vAlign w:val="center"/>
            <w:hideMark/>
          </w:tcPr>
          <w:p w14:paraId="1A114D19" w14:textId="77777777" w:rsidR="001359B7" w:rsidRPr="00EA0DC7" w:rsidRDefault="001359B7" w:rsidP="00B82F33">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single" w:sz="4" w:space="0" w:color="auto"/>
              <w:left w:val="nil"/>
              <w:right w:val="nil"/>
            </w:tcBorders>
            <w:shd w:val="clear" w:color="auto" w:fill="auto"/>
            <w:noWrap/>
            <w:vAlign w:val="center"/>
            <w:hideMark/>
          </w:tcPr>
          <w:p w14:paraId="24C78A5B" w14:textId="77777777" w:rsidR="001359B7" w:rsidRPr="00EA0DC7" w:rsidRDefault="001359B7" w:rsidP="00B82F33">
            <w:pPr>
              <w:spacing w:line="240" w:lineRule="auto"/>
              <w:jc w:val="center"/>
              <w:rPr>
                <w:rFonts w:eastAsia="Times New Roman" w:cs="Arial"/>
                <w:sz w:val="20"/>
                <w:szCs w:val="20"/>
              </w:rPr>
            </w:pPr>
          </w:p>
        </w:tc>
        <w:tc>
          <w:tcPr>
            <w:tcW w:w="1417" w:type="dxa"/>
            <w:tcBorders>
              <w:top w:val="single" w:sz="4" w:space="0" w:color="auto"/>
              <w:left w:val="nil"/>
              <w:right w:val="nil"/>
            </w:tcBorders>
            <w:shd w:val="clear" w:color="auto" w:fill="auto"/>
            <w:noWrap/>
            <w:vAlign w:val="center"/>
            <w:hideMark/>
          </w:tcPr>
          <w:p w14:paraId="16138979" w14:textId="77777777" w:rsidR="001359B7" w:rsidRPr="00EA0DC7" w:rsidRDefault="001359B7" w:rsidP="00B82F33">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single" w:sz="4" w:space="0" w:color="auto"/>
              <w:left w:val="nil"/>
              <w:right w:val="nil"/>
            </w:tcBorders>
            <w:vAlign w:val="center"/>
          </w:tcPr>
          <w:p w14:paraId="068D9438" w14:textId="77777777" w:rsidR="001359B7" w:rsidRPr="00EA0DC7" w:rsidRDefault="001359B7" w:rsidP="00B82F33">
            <w:pPr>
              <w:spacing w:line="240" w:lineRule="auto"/>
              <w:jc w:val="center"/>
              <w:rPr>
                <w:rFonts w:eastAsia="Times New Roman" w:cs="Arial"/>
                <w:sz w:val="20"/>
                <w:szCs w:val="20"/>
              </w:rPr>
            </w:pPr>
          </w:p>
        </w:tc>
        <w:tc>
          <w:tcPr>
            <w:tcW w:w="1134" w:type="dxa"/>
            <w:tcBorders>
              <w:top w:val="single" w:sz="4" w:space="0" w:color="auto"/>
              <w:left w:val="nil"/>
              <w:right w:val="nil"/>
            </w:tcBorders>
            <w:vAlign w:val="center"/>
          </w:tcPr>
          <w:p w14:paraId="007BD0BC" w14:textId="77777777" w:rsidR="001359B7" w:rsidRPr="00EA0DC7" w:rsidRDefault="001359B7" w:rsidP="00B82F33">
            <w:pPr>
              <w:spacing w:line="240" w:lineRule="auto"/>
              <w:jc w:val="center"/>
              <w:rPr>
                <w:rFonts w:eastAsia="Times New Roman" w:cs="Arial"/>
                <w:sz w:val="20"/>
                <w:szCs w:val="20"/>
              </w:rPr>
            </w:pPr>
          </w:p>
        </w:tc>
        <w:tc>
          <w:tcPr>
            <w:tcW w:w="1276" w:type="dxa"/>
            <w:tcBorders>
              <w:top w:val="single" w:sz="4" w:space="0" w:color="auto"/>
              <w:left w:val="nil"/>
              <w:right w:val="nil"/>
            </w:tcBorders>
            <w:vAlign w:val="center"/>
          </w:tcPr>
          <w:p w14:paraId="29036C1A" w14:textId="77777777" w:rsidR="001359B7" w:rsidRPr="00EA0DC7" w:rsidRDefault="001359B7" w:rsidP="00B82F33">
            <w:pPr>
              <w:spacing w:line="240" w:lineRule="auto"/>
              <w:jc w:val="center"/>
              <w:rPr>
                <w:rFonts w:eastAsia="Times New Roman" w:cs="Arial"/>
                <w:sz w:val="20"/>
                <w:szCs w:val="20"/>
              </w:rPr>
            </w:pPr>
          </w:p>
        </w:tc>
        <w:tc>
          <w:tcPr>
            <w:tcW w:w="1276" w:type="dxa"/>
            <w:tcBorders>
              <w:top w:val="single" w:sz="4" w:space="0" w:color="auto"/>
              <w:left w:val="nil"/>
              <w:right w:val="nil"/>
            </w:tcBorders>
            <w:vAlign w:val="center"/>
          </w:tcPr>
          <w:p w14:paraId="0356F6F2" w14:textId="77777777" w:rsidR="001359B7" w:rsidRPr="00EA0DC7" w:rsidRDefault="001359B7" w:rsidP="00B82F33">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right w:val="nil"/>
            </w:tcBorders>
            <w:vAlign w:val="center"/>
          </w:tcPr>
          <w:p w14:paraId="3A4C4432" w14:textId="77777777" w:rsidR="001359B7" w:rsidRPr="00EA0DC7" w:rsidRDefault="001359B7" w:rsidP="00B82F33">
            <w:pPr>
              <w:spacing w:line="240" w:lineRule="auto"/>
              <w:jc w:val="center"/>
              <w:rPr>
                <w:rFonts w:eastAsia="Times New Roman" w:cs="Arial"/>
                <w:sz w:val="20"/>
                <w:szCs w:val="20"/>
              </w:rPr>
            </w:pPr>
          </w:p>
        </w:tc>
        <w:tc>
          <w:tcPr>
            <w:tcW w:w="1275" w:type="dxa"/>
            <w:tcBorders>
              <w:top w:val="single" w:sz="4" w:space="0" w:color="auto"/>
              <w:left w:val="nil"/>
              <w:right w:val="nil"/>
            </w:tcBorders>
            <w:vAlign w:val="center"/>
          </w:tcPr>
          <w:p w14:paraId="1AE0FCAF" w14:textId="77777777" w:rsidR="001359B7" w:rsidRPr="00EA0DC7" w:rsidRDefault="001359B7" w:rsidP="00B82F33">
            <w:pPr>
              <w:spacing w:line="240" w:lineRule="auto"/>
              <w:jc w:val="center"/>
              <w:rPr>
                <w:rFonts w:eastAsia="Times New Roman" w:cs="Arial"/>
                <w:sz w:val="20"/>
                <w:szCs w:val="20"/>
              </w:rPr>
            </w:pPr>
          </w:p>
        </w:tc>
      </w:tr>
      <w:tr w:rsidR="001359B7" w:rsidRPr="00EA0DC7" w14:paraId="111DDA36" w14:textId="77777777" w:rsidTr="00B82F33">
        <w:trPr>
          <w:trHeight w:val="80"/>
        </w:trPr>
        <w:tc>
          <w:tcPr>
            <w:tcW w:w="1843" w:type="dxa"/>
            <w:tcBorders>
              <w:left w:val="nil"/>
              <w:right w:val="nil"/>
            </w:tcBorders>
            <w:shd w:val="clear" w:color="auto" w:fill="auto"/>
            <w:hideMark/>
          </w:tcPr>
          <w:p w14:paraId="78E48FF3"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Langs (1980)</w:t>
            </w:r>
          </w:p>
        </w:tc>
        <w:tc>
          <w:tcPr>
            <w:tcW w:w="2211" w:type="dxa"/>
            <w:tcBorders>
              <w:left w:val="nil"/>
              <w:right w:val="nil"/>
            </w:tcBorders>
            <w:shd w:val="clear" w:color="auto" w:fill="auto"/>
            <w:noWrap/>
            <w:vAlign w:val="center"/>
            <w:hideMark/>
          </w:tcPr>
          <w:p w14:paraId="73736319"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right w:val="nil"/>
            </w:tcBorders>
            <w:shd w:val="clear" w:color="auto" w:fill="auto"/>
            <w:noWrap/>
            <w:vAlign w:val="center"/>
            <w:hideMark/>
          </w:tcPr>
          <w:p w14:paraId="2CAD9FCF"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1BD88711"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right w:val="nil"/>
            </w:tcBorders>
            <w:vAlign w:val="center"/>
          </w:tcPr>
          <w:p w14:paraId="5CC259DC"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right w:val="nil"/>
            </w:tcBorders>
            <w:vAlign w:val="center"/>
          </w:tcPr>
          <w:p w14:paraId="26FE4017"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02ED6CCE"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6973C20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18E739F3"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right w:val="nil"/>
            </w:tcBorders>
            <w:vAlign w:val="center"/>
          </w:tcPr>
          <w:p w14:paraId="79A6DA9E" w14:textId="77777777" w:rsidR="001359B7" w:rsidRPr="00EA0DC7" w:rsidRDefault="001359B7" w:rsidP="001359B7">
            <w:pPr>
              <w:spacing w:line="240" w:lineRule="auto"/>
              <w:jc w:val="center"/>
              <w:rPr>
                <w:rFonts w:eastAsia="Times New Roman" w:cs="Arial"/>
                <w:sz w:val="20"/>
                <w:szCs w:val="20"/>
              </w:rPr>
            </w:pPr>
          </w:p>
        </w:tc>
      </w:tr>
      <w:tr w:rsidR="001359B7" w:rsidRPr="00EA0DC7" w14:paraId="78C7AFAD" w14:textId="77777777" w:rsidTr="00B82F33">
        <w:trPr>
          <w:trHeight w:val="283"/>
        </w:trPr>
        <w:tc>
          <w:tcPr>
            <w:tcW w:w="1843" w:type="dxa"/>
            <w:tcBorders>
              <w:top w:val="nil"/>
              <w:left w:val="nil"/>
              <w:right w:val="nil"/>
            </w:tcBorders>
            <w:shd w:val="clear" w:color="auto" w:fill="auto"/>
            <w:hideMark/>
          </w:tcPr>
          <w:p w14:paraId="4148F201"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Rice (1980)</w:t>
            </w:r>
          </w:p>
        </w:tc>
        <w:tc>
          <w:tcPr>
            <w:tcW w:w="2211" w:type="dxa"/>
            <w:tcBorders>
              <w:top w:val="nil"/>
              <w:left w:val="nil"/>
              <w:right w:val="nil"/>
            </w:tcBorders>
            <w:shd w:val="clear" w:color="auto" w:fill="auto"/>
            <w:noWrap/>
            <w:vAlign w:val="center"/>
            <w:hideMark/>
          </w:tcPr>
          <w:p w14:paraId="2678E688"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0730C4E7"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74FE8F0E"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64C314AE"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2AFD3626"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4F13089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83DC9A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56DA6A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3A9ECA67" w14:textId="77777777" w:rsidR="001359B7" w:rsidRPr="00EA0DC7" w:rsidRDefault="001359B7" w:rsidP="001359B7">
            <w:pPr>
              <w:spacing w:line="240" w:lineRule="auto"/>
              <w:jc w:val="center"/>
              <w:rPr>
                <w:rFonts w:eastAsia="Times New Roman" w:cs="Arial"/>
                <w:sz w:val="20"/>
                <w:szCs w:val="20"/>
              </w:rPr>
            </w:pPr>
          </w:p>
        </w:tc>
      </w:tr>
      <w:tr w:rsidR="001359B7" w:rsidRPr="00EA0DC7" w14:paraId="217AC424" w14:textId="77777777" w:rsidTr="00B82F33">
        <w:trPr>
          <w:trHeight w:val="283"/>
        </w:trPr>
        <w:tc>
          <w:tcPr>
            <w:tcW w:w="1843" w:type="dxa"/>
            <w:tcBorders>
              <w:left w:val="nil"/>
              <w:bottom w:val="nil"/>
              <w:right w:val="nil"/>
            </w:tcBorders>
            <w:shd w:val="clear" w:color="auto" w:fill="auto"/>
            <w:hideMark/>
          </w:tcPr>
          <w:p w14:paraId="2CB87A95"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Linehan (1980)</w:t>
            </w:r>
          </w:p>
        </w:tc>
        <w:tc>
          <w:tcPr>
            <w:tcW w:w="2211" w:type="dxa"/>
            <w:tcBorders>
              <w:left w:val="nil"/>
              <w:bottom w:val="nil"/>
              <w:right w:val="nil"/>
            </w:tcBorders>
            <w:shd w:val="clear" w:color="auto" w:fill="auto"/>
            <w:noWrap/>
            <w:vAlign w:val="center"/>
            <w:hideMark/>
          </w:tcPr>
          <w:p w14:paraId="3C43734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nil"/>
              <w:right w:val="nil"/>
            </w:tcBorders>
            <w:shd w:val="clear" w:color="auto" w:fill="auto"/>
            <w:noWrap/>
            <w:vAlign w:val="center"/>
            <w:hideMark/>
          </w:tcPr>
          <w:p w14:paraId="02AB54A0"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01DA3713"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2B7F892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left w:val="nil"/>
              <w:bottom w:val="nil"/>
              <w:right w:val="nil"/>
            </w:tcBorders>
            <w:vAlign w:val="center"/>
          </w:tcPr>
          <w:p w14:paraId="56BE79C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6453ACB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7915393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3E40422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vAlign w:val="center"/>
          </w:tcPr>
          <w:p w14:paraId="4235B558" w14:textId="77777777" w:rsidR="001359B7" w:rsidRPr="00EA0DC7" w:rsidRDefault="001359B7" w:rsidP="001359B7">
            <w:pPr>
              <w:spacing w:line="240" w:lineRule="auto"/>
              <w:jc w:val="center"/>
              <w:rPr>
                <w:rFonts w:eastAsia="Times New Roman" w:cs="Arial"/>
                <w:sz w:val="20"/>
                <w:szCs w:val="20"/>
              </w:rPr>
            </w:pPr>
          </w:p>
        </w:tc>
      </w:tr>
      <w:tr w:rsidR="001359B7" w:rsidRPr="00EA0DC7" w14:paraId="580DDED0" w14:textId="77777777" w:rsidTr="00B82F33">
        <w:trPr>
          <w:trHeight w:val="283"/>
        </w:trPr>
        <w:tc>
          <w:tcPr>
            <w:tcW w:w="1843" w:type="dxa"/>
            <w:tcBorders>
              <w:top w:val="nil"/>
              <w:left w:val="nil"/>
              <w:right w:val="nil"/>
            </w:tcBorders>
            <w:shd w:val="clear" w:color="auto" w:fill="auto"/>
            <w:hideMark/>
          </w:tcPr>
          <w:p w14:paraId="7DC36461"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Beier &amp; Young (1980)</w:t>
            </w:r>
          </w:p>
        </w:tc>
        <w:tc>
          <w:tcPr>
            <w:tcW w:w="2211" w:type="dxa"/>
            <w:tcBorders>
              <w:top w:val="nil"/>
              <w:left w:val="nil"/>
              <w:right w:val="nil"/>
            </w:tcBorders>
            <w:shd w:val="clear" w:color="auto" w:fill="auto"/>
            <w:noWrap/>
            <w:vAlign w:val="center"/>
            <w:hideMark/>
          </w:tcPr>
          <w:p w14:paraId="4BEECC22"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231A0799"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38A24ADB"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451E77F8"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3CED38B7"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73A5933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20E149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1392D96"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6996C4EE" w14:textId="77777777" w:rsidR="001359B7" w:rsidRPr="00EA0DC7" w:rsidRDefault="001359B7" w:rsidP="001359B7">
            <w:pPr>
              <w:spacing w:line="240" w:lineRule="auto"/>
              <w:jc w:val="center"/>
              <w:rPr>
                <w:rFonts w:eastAsia="Times New Roman" w:cs="Arial"/>
                <w:sz w:val="20"/>
                <w:szCs w:val="20"/>
              </w:rPr>
            </w:pPr>
          </w:p>
        </w:tc>
      </w:tr>
      <w:tr w:rsidR="001359B7" w:rsidRPr="00EA0DC7" w14:paraId="194D8C73" w14:textId="77777777" w:rsidTr="00B82F33">
        <w:trPr>
          <w:trHeight w:val="129"/>
        </w:trPr>
        <w:tc>
          <w:tcPr>
            <w:tcW w:w="1843" w:type="dxa"/>
            <w:tcBorders>
              <w:top w:val="nil"/>
              <w:left w:val="nil"/>
              <w:right w:val="nil"/>
            </w:tcBorders>
            <w:shd w:val="clear" w:color="auto" w:fill="auto"/>
            <w:hideMark/>
          </w:tcPr>
          <w:p w14:paraId="2729B12C"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Stoltenberg (1981)</w:t>
            </w:r>
          </w:p>
        </w:tc>
        <w:tc>
          <w:tcPr>
            <w:tcW w:w="2211" w:type="dxa"/>
            <w:tcBorders>
              <w:top w:val="nil"/>
              <w:left w:val="nil"/>
              <w:right w:val="nil"/>
            </w:tcBorders>
            <w:shd w:val="clear" w:color="auto" w:fill="auto"/>
            <w:noWrap/>
            <w:vAlign w:val="center"/>
            <w:hideMark/>
          </w:tcPr>
          <w:p w14:paraId="057EB623"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691E0553"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3FBF2C3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2410763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26936728"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7FE9413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27708EF"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1B9E96B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2E088E73" w14:textId="77777777" w:rsidR="001359B7" w:rsidRPr="00EA0DC7" w:rsidRDefault="001359B7" w:rsidP="001359B7">
            <w:pPr>
              <w:spacing w:line="240" w:lineRule="auto"/>
              <w:jc w:val="center"/>
              <w:rPr>
                <w:rFonts w:eastAsia="Times New Roman" w:cs="Arial"/>
                <w:sz w:val="20"/>
                <w:szCs w:val="20"/>
              </w:rPr>
            </w:pPr>
          </w:p>
        </w:tc>
      </w:tr>
      <w:tr w:rsidR="001359B7" w:rsidRPr="00EA0DC7" w14:paraId="4329937B" w14:textId="77777777" w:rsidTr="00B82F33">
        <w:trPr>
          <w:trHeight w:val="70"/>
        </w:trPr>
        <w:tc>
          <w:tcPr>
            <w:tcW w:w="1843" w:type="dxa"/>
            <w:tcBorders>
              <w:left w:val="nil"/>
              <w:right w:val="nil"/>
            </w:tcBorders>
            <w:shd w:val="clear" w:color="auto" w:fill="auto"/>
            <w:hideMark/>
          </w:tcPr>
          <w:p w14:paraId="4F11D3DF"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Loganbill et al. (1982)</w:t>
            </w:r>
          </w:p>
        </w:tc>
        <w:tc>
          <w:tcPr>
            <w:tcW w:w="2211" w:type="dxa"/>
            <w:tcBorders>
              <w:left w:val="nil"/>
              <w:right w:val="nil"/>
            </w:tcBorders>
            <w:shd w:val="clear" w:color="auto" w:fill="auto"/>
            <w:noWrap/>
            <w:vAlign w:val="center"/>
            <w:hideMark/>
          </w:tcPr>
          <w:p w14:paraId="79F9DF69"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right w:val="nil"/>
            </w:tcBorders>
            <w:shd w:val="clear" w:color="auto" w:fill="auto"/>
            <w:noWrap/>
            <w:vAlign w:val="center"/>
            <w:hideMark/>
          </w:tcPr>
          <w:p w14:paraId="01FCB157"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562C033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71832533"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right w:val="nil"/>
            </w:tcBorders>
            <w:vAlign w:val="center"/>
          </w:tcPr>
          <w:p w14:paraId="4F37016C"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0C3E7BA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541A9354"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1A92D94E"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right w:val="nil"/>
            </w:tcBorders>
            <w:vAlign w:val="center"/>
          </w:tcPr>
          <w:p w14:paraId="0EA74C5F" w14:textId="77777777" w:rsidR="001359B7" w:rsidRPr="00EA0DC7" w:rsidRDefault="001359B7" w:rsidP="001359B7">
            <w:pPr>
              <w:spacing w:line="240" w:lineRule="auto"/>
              <w:jc w:val="center"/>
              <w:rPr>
                <w:rFonts w:eastAsia="Times New Roman" w:cs="Arial"/>
                <w:sz w:val="20"/>
                <w:szCs w:val="20"/>
              </w:rPr>
            </w:pPr>
          </w:p>
        </w:tc>
      </w:tr>
      <w:tr w:rsidR="001359B7" w:rsidRPr="00EA0DC7" w14:paraId="2C634F75" w14:textId="77777777" w:rsidTr="00B82F33">
        <w:trPr>
          <w:trHeight w:val="283"/>
        </w:trPr>
        <w:tc>
          <w:tcPr>
            <w:tcW w:w="1843" w:type="dxa"/>
            <w:tcBorders>
              <w:left w:val="nil"/>
              <w:right w:val="nil"/>
            </w:tcBorders>
            <w:shd w:val="clear" w:color="auto" w:fill="auto"/>
            <w:hideMark/>
          </w:tcPr>
          <w:p w14:paraId="2D0BADA7"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Yogev (1982)</w:t>
            </w:r>
          </w:p>
        </w:tc>
        <w:tc>
          <w:tcPr>
            <w:tcW w:w="2211" w:type="dxa"/>
            <w:tcBorders>
              <w:left w:val="nil"/>
              <w:right w:val="nil"/>
            </w:tcBorders>
            <w:shd w:val="clear" w:color="auto" w:fill="auto"/>
            <w:noWrap/>
            <w:vAlign w:val="center"/>
            <w:hideMark/>
          </w:tcPr>
          <w:p w14:paraId="34119C96"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22B0F3D2"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79868425"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38887CDF"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nil"/>
              <w:right w:val="nil"/>
            </w:tcBorders>
            <w:vAlign w:val="center"/>
          </w:tcPr>
          <w:p w14:paraId="672B538C"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04310837"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6814DE1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0399672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vAlign w:val="center"/>
          </w:tcPr>
          <w:p w14:paraId="2F174FF6" w14:textId="77777777" w:rsidR="001359B7" w:rsidRPr="00EA0DC7" w:rsidRDefault="001359B7" w:rsidP="001359B7">
            <w:pPr>
              <w:spacing w:line="240" w:lineRule="auto"/>
              <w:jc w:val="center"/>
              <w:rPr>
                <w:rFonts w:eastAsia="Times New Roman" w:cs="Arial"/>
                <w:sz w:val="20"/>
                <w:szCs w:val="20"/>
              </w:rPr>
            </w:pPr>
          </w:p>
        </w:tc>
      </w:tr>
      <w:tr w:rsidR="001359B7" w:rsidRPr="00EA0DC7" w14:paraId="525C68A7" w14:textId="77777777" w:rsidTr="00B82F33">
        <w:trPr>
          <w:trHeight w:val="283"/>
        </w:trPr>
        <w:tc>
          <w:tcPr>
            <w:tcW w:w="1843" w:type="dxa"/>
            <w:shd w:val="clear" w:color="auto" w:fill="auto"/>
            <w:hideMark/>
          </w:tcPr>
          <w:p w14:paraId="78EC1318"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Blocher (1983)</w:t>
            </w:r>
          </w:p>
        </w:tc>
        <w:tc>
          <w:tcPr>
            <w:tcW w:w="2211" w:type="dxa"/>
            <w:shd w:val="clear" w:color="auto" w:fill="auto"/>
            <w:noWrap/>
            <w:vAlign w:val="center"/>
            <w:hideMark/>
          </w:tcPr>
          <w:p w14:paraId="13A56686"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4B5ADE3F"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780D003C"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25CEE679"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0D6C805C"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1684F91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06543BD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6887D309"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3DB7E1C0" w14:textId="77777777" w:rsidR="001359B7" w:rsidRPr="00EA0DC7" w:rsidRDefault="001359B7" w:rsidP="001359B7">
            <w:pPr>
              <w:spacing w:line="240" w:lineRule="auto"/>
              <w:jc w:val="center"/>
              <w:rPr>
                <w:rFonts w:eastAsia="Times New Roman" w:cs="Arial"/>
                <w:sz w:val="20"/>
                <w:szCs w:val="20"/>
              </w:rPr>
            </w:pPr>
          </w:p>
        </w:tc>
      </w:tr>
      <w:tr w:rsidR="001359B7" w:rsidRPr="00EA0DC7" w14:paraId="6E433E20" w14:textId="77777777" w:rsidTr="00B82F33">
        <w:trPr>
          <w:trHeight w:val="283"/>
        </w:trPr>
        <w:tc>
          <w:tcPr>
            <w:tcW w:w="1843" w:type="dxa"/>
            <w:shd w:val="clear" w:color="auto" w:fill="auto"/>
          </w:tcPr>
          <w:p w14:paraId="3E27A9B5"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Bordin (1983)</w:t>
            </w:r>
          </w:p>
        </w:tc>
        <w:tc>
          <w:tcPr>
            <w:tcW w:w="2211" w:type="dxa"/>
            <w:shd w:val="clear" w:color="auto" w:fill="auto"/>
            <w:vAlign w:val="center"/>
          </w:tcPr>
          <w:p w14:paraId="12A652D5"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1C47333"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3884196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3ECEA4BC"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18929BD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4B721F6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742BECD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5429CAF2"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625B93D5" w14:textId="77777777" w:rsidR="001359B7" w:rsidRPr="00EA0DC7" w:rsidRDefault="001359B7" w:rsidP="001359B7">
            <w:pPr>
              <w:spacing w:line="240" w:lineRule="auto"/>
              <w:jc w:val="center"/>
              <w:rPr>
                <w:rFonts w:eastAsia="Times New Roman" w:cs="Arial"/>
                <w:sz w:val="20"/>
                <w:szCs w:val="20"/>
              </w:rPr>
            </w:pPr>
          </w:p>
        </w:tc>
      </w:tr>
      <w:tr w:rsidR="001359B7" w:rsidRPr="00EA0DC7" w14:paraId="1E5B56C0" w14:textId="77777777" w:rsidTr="00B82F33">
        <w:trPr>
          <w:trHeight w:val="283"/>
        </w:trPr>
        <w:tc>
          <w:tcPr>
            <w:tcW w:w="1843" w:type="dxa"/>
            <w:tcBorders>
              <w:left w:val="nil"/>
              <w:right w:val="nil"/>
            </w:tcBorders>
            <w:shd w:val="clear" w:color="auto" w:fill="auto"/>
            <w:hideMark/>
          </w:tcPr>
          <w:p w14:paraId="24B3331C"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Hosford &amp; Barmann (1983)</w:t>
            </w:r>
          </w:p>
        </w:tc>
        <w:tc>
          <w:tcPr>
            <w:tcW w:w="2211" w:type="dxa"/>
            <w:tcBorders>
              <w:left w:val="nil"/>
              <w:right w:val="nil"/>
            </w:tcBorders>
            <w:shd w:val="clear" w:color="auto" w:fill="auto"/>
            <w:noWrap/>
            <w:vAlign w:val="center"/>
            <w:hideMark/>
          </w:tcPr>
          <w:p w14:paraId="09BC78CA"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E729907"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2D656B8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26D9CBB1"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0C68160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1020C98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54E01D7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4D7BE9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53B6941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53A1D47D" w14:textId="77777777" w:rsidTr="00B82F33">
        <w:trPr>
          <w:trHeight w:val="283"/>
        </w:trPr>
        <w:tc>
          <w:tcPr>
            <w:tcW w:w="1843" w:type="dxa"/>
            <w:tcBorders>
              <w:left w:val="nil"/>
              <w:bottom w:val="single" w:sz="4" w:space="0" w:color="auto"/>
              <w:right w:val="nil"/>
            </w:tcBorders>
            <w:shd w:val="clear" w:color="auto" w:fill="auto"/>
            <w:hideMark/>
          </w:tcPr>
          <w:p w14:paraId="311BBFE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Patterson (1983)</w:t>
            </w:r>
          </w:p>
        </w:tc>
        <w:tc>
          <w:tcPr>
            <w:tcW w:w="2211" w:type="dxa"/>
            <w:tcBorders>
              <w:left w:val="nil"/>
              <w:bottom w:val="single" w:sz="4" w:space="0" w:color="auto"/>
              <w:right w:val="nil"/>
            </w:tcBorders>
            <w:shd w:val="clear" w:color="auto" w:fill="auto"/>
            <w:noWrap/>
            <w:vAlign w:val="center"/>
            <w:hideMark/>
          </w:tcPr>
          <w:p w14:paraId="109E6EBE"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bottom w:val="single" w:sz="4" w:space="0" w:color="auto"/>
              <w:right w:val="nil"/>
            </w:tcBorders>
            <w:shd w:val="clear" w:color="auto" w:fill="auto"/>
            <w:noWrap/>
            <w:vAlign w:val="center"/>
            <w:hideMark/>
          </w:tcPr>
          <w:p w14:paraId="290B36B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left w:val="nil"/>
              <w:bottom w:val="single" w:sz="4" w:space="0" w:color="auto"/>
              <w:right w:val="nil"/>
            </w:tcBorders>
            <w:shd w:val="clear" w:color="auto" w:fill="auto"/>
            <w:noWrap/>
            <w:vAlign w:val="center"/>
            <w:hideMark/>
          </w:tcPr>
          <w:p w14:paraId="2E3F774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single" w:sz="4" w:space="0" w:color="auto"/>
              <w:right w:val="nil"/>
            </w:tcBorders>
            <w:vAlign w:val="center"/>
          </w:tcPr>
          <w:p w14:paraId="53CED1DA"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single" w:sz="4" w:space="0" w:color="auto"/>
              <w:right w:val="nil"/>
            </w:tcBorders>
            <w:vAlign w:val="center"/>
          </w:tcPr>
          <w:p w14:paraId="40557ED9"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single" w:sz="4" w:space="0" w:color="auto"/>
              <w:right w:val="nil"/>
            </w:tcBorders>
            <w:vAlign w:val="center"/>
          </w:tcPr>
          <w:p w14:paraId="2AF01ED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58DB763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7654107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single" w:sz="4" w:space="0" w:color="auto"/>
              <w:right w:val="nil"/>
            </w:tcBorders>
            <w:vAlign w:val="center"/>
          </w:tcPr>
          <w:p w14:paraId="1207E326" w14:textId="77777777" w:rsidR="001359B7" w:rsidRPr="00EA0DC7" w:rsidRDefault="001359B7" w:rsidP="001359B7">
            <w:pPr>
              <w:spacing w:line="240" w:lineRule="auto"/>
              <w:jc w:val="center"/>
              <w:rPr>
                <w:rFonts w:eastAsia="Times New Roman" w:cs="Arial"/>
                <w:sz w:val="20"/>
                <w:szCs w:val="20"/>
              </w:rPr>
            </w:pPr>
          </w:p>
        </w:tc>
      </w:tr>
    </w:tbl>
    <w:p w14:paraId="513684E9" w14:textId="77777777" w:rsidR="00ED63E7" w:rsidRPr="00EA0DC7" w:rsidRDefault="00ED63E7" w:rsidP="00ED63E7">
      <w:pPr>
        <w:spacing w:before="240" w:line="240" w:lineRule="auto"/>
        <w:jc w:val="center"/>
        <w:rPr>
          <w:rFonts w:eastAsia="Times New Roman" w:cs="Arial"/>
          <w:b/>
          <w:sz w:val="20"/>
          <w:szCs w:val="20"/>
        </w:rPr>
        <w:sectPr w:rsidR="00ED63E7" w:rsidRPr="00EA0DC7" w:rsidSect="00B82F33">
          <w:type w:val="nextColumn"/>
          <w:pgSz w:w="16838" w:h="11906" w:orient="landscape"/>
          <w:pgMar w:top="2268" w:right="1440" w:bottom="1440" w:left="1440" w:header="709" w:footer="709" w:gutter="0"/>
          <w:cols w:space="708"/>
          <w:docGrid w:linePitch="360"/>
        </w:sectPr>
      </w:pPr>
    </w:p>
    <w:tbl>
      <w:tblPr>
        <w:tblW w:w="14401" w:type="dxa"/>
        <w:tblLayout w:type="fixed"/>
        <w:tblLook w:val="04A0" w:firstRow="1" w:lastRow="0" w:firstColumn="1" w:lastColumn="0" w:noHBand="0" w:noVBand="1"/>
      </w:tblPr>
      <w:tblGrid>
        <w:gridCol w:w="1843"/>
        <w:gridCol w:w="2211"/>
        <w:gridCol w:w="1418"/>
        <w:gridCol w:w="1417"/>
        <w:gridCol w:w="1275"/>
        <w:gridCol w:w="1134"/>
        <w:gridCol w:w="1276"/>
        <w:gridCol w:w="1276"/>
        <w:gridCol w:w="1276"/>
        <w:gridCol w:w="1275"/>
      </w:tblGrid>
      <w:tr w:rsidR="00ED63E7" w:rsidRPr="00EA0DC7" w14:paraId="1745B344" w14:textId="77777777" w:rsidTr="00B82F33">
        <w:trPr>
          <w:trHeight w:val="283"/>
        </w:trPr>
        <w:tc>
          <w:tcPr>
            <w:tcW w:w="1843" w:type="dxa"/>
            <w:tcBorders>
              <w:top w:val="single" w:sz="4" w:space="0" w:color="auto"/>
              <w:left w:val="nil"/>
              <w:bottom w:val="single" w:sz="4" w:space="0" w:color="auto"/>
              <w:right w:val="nil"/>
            </w:tcBorders>
            <w:shd w:val="clear" w:color="auto" w:fill="auto"/>
            <w:vAlign w:val="center"/>
          </w:tcPr>
          <w:p w14:paraId="63D368F0" w14:textId="68C7B9F9"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sz w:val="20"/>
                <w:szCs w:val="20"/>
              </w:rPr>
              <w:lastRenderedPageBreak/>
              <w:t>Model/ approach</w:t>
            </w:r>
          </w:p>
        </w:tc>
        <w:tc>
          <w:tcPr>
            <w:tcW w:w="2211" w:type="dxa"/>
            <w:tcBorders>
              <w:top w:val="single" w:sz="4" w:space="0" w:color="auto"/>
              <w:left w:val="nil"/>
              <w:bottom w:val="single" w:sz="4" w:space="0" w:color="auto"/>
              <w:right w:val="nil"/>
            </w:tcBorders>
            <w:shd w:val="clear" w:color="auto" w:fill="auto"/>
            <w:noWrap/>
            <w:vAlign w:val="center"/>
          </w:tcPr>
          <w:p w14:paraId="406DA564" w14:textId="7528C922"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noWrap/>
            <w:vAlign w:val="center"/>
          </w:tcPr>
          <w:p w14:paraId="496EBDE0" w14:textId="38B91D41"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noWrap/>
            <w:vAlign w:val="center"/>
          </w:tcPr>
          <w:p w14:paraId="38771E55" w14:textId="30A422D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Discussion of theories and reading of literature</w:t>
            </w:r>
          </w:p>
        </w:tc>
        <w:tc>
          <w:tcPr>
            <w:tcW w:w="1275" w:type="dxa"/>
            <w:tcBorders>
              <w:top w:val="single" w:sz="4" w:space="0" w:color="auto"/>
              <w:left w:val="nil"/>
              <w:bottom w:val="single" w:sz="4" w:space="0" w:color="auto"/>
              <w:right w:val="nil"/>
            </w:tcBorders>
            <w:vAlign w:val="center"/>
          </w:tcPr>
          <w:p w14:paraId="4CD36231" w14:textId="23D9CFAD"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646ADE4C" w14:textId="01140780"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Live supervis</w:t>
            </w:r>
            <w:r w:rsidR="00B82F33" w:rsidRPr="00EA0DC7">
              <w:rPr>
                <w:rFonts w:eastAsia="Times New Roman" w:cs="Arial"/>
                <w:b/>
                <w:bCs/>
                <w:sz w:val="20"/>
                <w:szCs w:val="20"/>
              </w:rPr>
              <w:t>-</w:t>
            </w:r>
            <w:r w:rsidRPr="00EA0DC7">
              <w:rPr>
                <w:rFonts w:eastAsia="Times New Roman" w:cs="Arial"/>
                <w:b/>
                <w:bCs/>
                <w:sz w:val="20"/>
                <w:szCs w:val="20"/>
              </w:rPr>
              <w:t>ion/ observation</w:t>
            </w:r>
          </w:p>
        </w:tc>
        <w:tc>
          <w:tcPr>
            <w:tcW w:w="1276" w:type="dxa"/>
            <w:tcBorders>
              <w:top w:val="single" w:sz="4" w:space="0" w:color="auto"/>
              <w:left w:val="nil"/>
              <w:bottom w:val="single" w:sz="4" w:space="0" w:color="auto"/>
              <w:right w:val="nil"/>
            </w:tcBorders>
            <w:vAlign w:val="center"/>
          </w:tcPr>
          <w:p w14:paraId="72DEE40C" w14:textId="1BE2845B"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6BDF836A" w14:textId="5BFC6535"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78C15870" w14:textId="7CC38D66"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Enactment of therapy sessions/ role-play</w:t>
            </w:r>
          </w:p>
        </w:tc>
        <w:tc>
          <w:tcPr>
            <w:tcW w:w="1275" w:type="dxa"/>
            <w:tcBorders>
              <w:top w:val="single" w:sz="4" w:space="0" w:color="auto"/>
              <w:left w:val="nil"/>
              <w:bottom w:val="single" w:sz="4" w:space="0" w:color="auto"/>
              <w:right w:val="nil"/>
            </w:tcBorders>
            <w:vAlign w:val="center"/>
          </w:tcPr>
          <w:p w14:paraId="2C6AC649" w14:textId="75147883"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Supervisor using enquiry as learning technique</w:t>
            </w:r>
          </w:p>
        </w:tc>
      </w:tr>
      <w:tr w:rsidR="001359B7" w:rsidRPr="00EA0DC7" w14:paraId="6A6344D1" w14:textId="77777777" w:rsidTr="00B82F33">
        <w:trPr>
          <w:trHeight w:val="283"/>
        </w:trPr>
        <w:tc>
          <w:tcPr>
            <w:tcW w:w="1843" w:type="dxa"/>
            <w:tcBorders>
              <w:top w:val="single" w:sz="4" w:space="0" w:color="auto"/>
              <w:left w:val="nil"/>
              <w:bottom w:val="nil"/>
              <w:right w:val="nil"/>
            </w:tcBorders>
            <w:shd w:val="clear" w:color="auto" w:fill="auto"/>
            <w:hideMark/>
          </w:tcPr>
          <w:p w14:paraId="02619548" w14:textId="77777777" w:rsidR="001359B7" w:rsidRPr="00EA0DC7" w:rsidRDefault="001359B7" w:rsidP="00ED63E7">
            <w:pPr>
              <w:spacing w:before="240" w:line="240" w:lineRule="auto"/>
              <w:jc w:val="left"/>
              <w:rPr>
                <w:rFonts w:eastAsia="Times New Roman" w:cs="Arial"/>
                <w:sz w:val="20"/>
                <w:szCs w:val="20"/>
              </w:rPr>
            </w:pPr>
            <w:r w:rsidRPr="00EA0DC7">
              <w:rPr>
                <w:rFonts w:eastAsia="Times New Roman" w:cs="Arial"/>
                <w:sz w:val="20"/>
                <w:szCs w:val="20"/>
              </w:rPr>
              <w:t>Wessler &amp; Ellis (1983)</w:t>
            </w:r>
          </w:p>
        </w:tc>
        <w:tc>
          <w:tcPr>
            <w:tcW w:w="2211" w:type="dxa"/>
            <w:tcBorders>
              <w:top w:val="single" w:sz="4" w:space="0" w:color="auto"/>
              <w:left w:val="nil"/>
              <w:bottom w:val="nil"/>
              <w:right w:val="nil"/>
            </w:tcBorders>
            <w:shd w:val="clear" w:color="auto" w:fill="auto"/>
            <w:noWrap/>
            <w:vAlign w:val="center"/>
            <w:hideMark/>
          </w:tcPr>
          <w:p w14:paraId="74A8A4C6" w14:textId="77777777" w:rsidR="001359B7" w:rsidRPr="00EA0DC7" w:rsidRDefault="001359B7" w:rsidP="00ED63E7">
            <w:pPr>
              <w:spacing w:before="240" w:line="240" w:lineRule="auto"/>
              <w:jc w:val="center"/>
              <w:rPr>
                <w:rFonts w:eastAsia="Times New Roman" w:cs="Arial"/>
                <w:sz w:val="20"/>
                <w:szCs w:val="20"/>
              </w:rPr>
            </w:pPr>
          </w:p>
        </w:tc>
        <w:tc>
          <w:tcPr>
            <w:tcW w:w="1418" w:type="dxa"/>
            <w:tcBorders>
              <w:top w:val="single" w:sz="4" w:space="0" w:color="auto"/>
              <w:left w:val="nil"/>
              <w:bottom w:val="nil"/>
              <w:right w:val="nil"/>
            </w:tcBorders>
            <w:shd w:val="clear" w:color="auto" w:fill="auto"/>
            <w:noWrap/>
            <w:vAlign w:val="center"/>
            <w:hideMark/>
          </w:tcPr>
          <w:p w14:paraId="04C633ED" w14:textId="77777777" w:rsidR="001359B7" w:rsidRPr="00EA0DC7" w:rsidRDefault="001359B7" w:rsidP="00ED63E7">
            <w:pPr>
              <w:spacing w:before="240" w:line="240" w:lineRule="auto"/>
              <w:jc w:val="center"/>
              <w:rPr>
                <w:rFonts w:eastAsia="Times New Roman" w:cs="Arial"/>
                <w:sz w:val="20"/>
                <w:szCs w:val="20"/>
              </w:rPr>
            </w:pPr>
          </w:p>
        </w:tc>
        <w:tc>
          <w:tcPr>
            <w:tcW w:w="1417" w:type="dxa"/>
            <w:tcBorders>
              <w:top w:val="single" w:sz="4" w:space="0" w:color="auto"/>
              <w:left w:val="nil"/>
              <w:bottom w:val="nil"/>
              <w:right w:val="nil"/>
            </w:tcBorders>
            <w:shd w:val="clear" w:color="auto" w:fill="auto"/>
            <w:noWrap/>
            <w:vAlign w:val="center"/>
            <w:hideMark/>
          </w:tcPr>
          <w:p w14:paraId="42C2B62E"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single" w:sz="4" w:space="0" w:color="auto"/>
              <w:left w:val="nil"/>
              <w:bottom w:val="nil"/>
              <w:right w:val="nil"/>
            </w:tcBorders>
            <w:vAlign w:val="center"/>
          </w:tcPr>
          <w:p w14:paraId="42D3ED8F" w14:textId="77777777" w:rsidR="001359B7" w:rsidRPr="00EA0DC7" w:rsidRDefault="001359B7" w:rsidP="00ED63E7">
            <w:pPr>
              <w:spacing w:before="240" w:line="240" w:lineRule="auto"/>
              <w:jc w:val="center"/>
              <w:rPr>
                <w:rFonts w:eastAsia="Times New Roman" w:cs="Arial"/>
                <w:sz w:val="20"/>
                <w:szCs w:val="20"/>
              </w:rPr>
            </w:pPr>
          </w:p>
        </w:tc>
        <w:tc>
          <w:tcPr>
            <w:tcW w:w="1134" w:type="dxa"/>
            <w:tcBorders>
              <w:top w:val="single" w:sz="4" w:space="0" w:color="auto"/>
              <w:left w:val="nil"/>
              <w:bottom w:val="nil"/>
              <w:right w:val="nil"/>
            </w:tcBorders>
            <w:vAlign w:val="center"/>
          </w:tcPr>
          <w:p w14:paraId="574D6189"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bottom w:val="nil"/>
              <w:right w:val="nil"/>
            </w:tcBorders>
            <w:vAlign w:val="center"/>
          </w:tcPr>
          <w:p w14:paraId="4EA3B5C3"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bottom w:val="nil"/>
              <w:right w:val="nil"/>
            </w:tcBorders>
            <w:vAlign w:val="center"/>
          </w:tcPr>
          <w:p w14:paraId="7980D061"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bottom w:val="nil"/>
              <w:right w:val="nil"/>
            </w:tcBorders>
            <w:vAlign w:val="center"/>
          </w:tcPr>
          <w:p w14:paraId="5DC71192"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single" w:sz="4" w:space="0" w:color="auto"/>
              <w:left w:val="nil"/>
              <w:bottom w:val="nil"/>
              <w:right w:val="nil"/>
            </w:tcBorders>
            <w:vAlign w:val="center"/>
          </w:tcPr>
          <w:p w14:paraId="38FA0374" w14:textId="77777777" w:rsidR="001359B7" w:rsidRPr="00EA0DC7" w:rsidRDefault="001359B7" w:rsidP="00ED63E7">
            <w:pPr>
              <w:spacing w:before="240" w:line="240" w:lineRule="auto"/>
              <w:jc w:val="center"/>
              <w:rPr>
                <w:rFonts w:eastAsia="Times New Roman" w:cs="Arial"/>
                <w:sz w:val="20"/>
                <w:szCs w:val="20"/>
              </w:rPr>
            </w:pPr>
          </w:p>
        </w:tc>
      </w:tr>
      <w:tr w:rsidR="001359B7" w:rsidRPr="00EA0DC7" w14:paraId="7F7F6026" w14:textId="77777777" w:rsidTr="00B82F33">
        <w:trPr>
          <w:trHeight w:val="283"/>
        </w:trPr>
        <w:tc>
          <w:tcPr>
            <w:tcW w:w="1843" w:type="dxa"/>
            <w:tcBorders>
              <w:top w:val="nil"/>
              <w:left w:val="nil"/>
              <w:bottom w:val="nil"/>
              <w:right w:val="nil"/>
            </w:tcBorders>
            <w:shd w:val="clear" w:color="auto" w:fill="auto"/>
            <w:hideMark/>
          </w:tcPr>
          <w:p w14:paraId="7D53F14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Connell (1984)</w:t>
            </w:r>
          </w:p>
        </w:tc>
        <w:tc>
          <w:tcPr>
            <w:tcW w:w="2211" w:type="dxa"/>
            <w:tcBorders>
              <w:top w:val="nil"/>
              <w:left w:val="nil"/>
              <w:bottom w:val="nil"/>
              <w:right w:val="nil"/>
            </w:tcBorders>
            <w:shd w:val="clear" w:color="auto" w:fill="auto"/>
            <w:noWrap/>
            <w:vAlign w:val="center"/>
            <w:hideMark/>
          </w:tcPr>
          <w:p w14:paraId="185CD59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3C7BBC2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nil"/>
              <w:left w:val="nil"/>
              <w:bottom w:val="nil"/>
              <w:right w:val="nil"/>
            </w:tcBorders>
            <w:shd w:val="clear" w:color="auto" w:fill="auto"/>
            <w:noWrap/>
            <w:vAlign w:val="center"/>
            <w:hideMark/>
          </w:tcPr>
          <w:p w14:paraId="71EF09DF"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7A5AB60E"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050735A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00A1A67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547C5E4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4238A57A"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123111AA" w14:textId="77777777" w:rsidR="001359B7" w:rsidRPr="00EA0DC7" w:rsidRDefault="001359B7" w:rsidP="001359B7">
            <w:pPr>
              <w:spacing w:line="240" w:lineRule="auto"/>
              <w:jc w:val="center"/>
              <w:rPr>
                <w:rFonts w:eastAsia="Times New Roman" w:cs="Arial"/>
                <w:sz w:val="20"/>
                <w:szCs w:val="20"/>
              </w:rPr>
            </w:pPr>
          </w:p>
        </w:tc>
      </w:tr>
      <w:tr w:rsidR="001359B7" w:rsidRPr="00EA0DC7" w14:paraId="6DB1BC5F" w14:textId="77777777" w:rsidTr="00B82F33">
        <w:trPr>
          <w:trHeight w:val="283"/>
        </w:trPr>
        <w:tc>
          <w:tcPr>
            <w:tcW w:w="1843" w:type="dxa"/>
            <w:tcBorders>
              <w:top w:val="nil"/>
              <w:left w:val="nil"/>
              <w:right w:val="nil"/>
            </w:tcBorders>
            <w:shd w:val="clear" w:color="auto" w:fill="auto"/>
            <w:hideMark/>
          </w:tcPr>
          <w:p w14:paraId="54989740"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Grater (1985)</w:t>
            </w:r>
          </w:p>
        </w:tc>
        <w:tc>
          <w:tcPr>
            <w:tcW w:w="2211" w:type="dxa"/>
            <w:tcBorders>
              <w:top w:val="nil"/>
              <w:left w:val="nil"/>
              <w:right w:val="nil"/>
            </w:tcBorders>
            <w:shd w:val="clear" w:color="auto" w:fill="auto"/>
            <w:noWrap/>
            <w:vAlign w:val="center"/>
            <w:hideMark/>
          </w:tcPr>
          <w:p w14:paraId="7CEF5F6B"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062C7EAA"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7403FDB8"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5829845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4BC7BBD3"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487D77E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106DA22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58F16AD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409D4D78" w14:textId="77777777" w:rsidR="001359B7" w:rsidRPr="00EA0DC7" w:rsidRDefault="001359B7" w:rsidP="001359B7">
            <w:pPr>
              <w:spacing w:line="240" w:lineRule="auto"/>
              <w:jc w:val="center"/>
              <w:rPr>
                <w:rFonts w:eastAsia="Times New Roman" w:cs="Arial"/>
                <w:sz w:val="20"/>
                <w:szCs w:val="20"/>
              </w:rPr>
            </w:pPr>
          </w:p>
        </w:tc>
      </w:tr>
      <w:tr w:rsidR="001359B7" w:rsidRPr="00EA0DC7" w14:paraId="50E5607B" w14:textId="77777777" w:rsidTr="00B82F33">
        <w:trPr>
          <w:trHeight w:val="283"/>
        </w:trPr>
        <w:tc>
          <w:tcPr>
            <w:tcW w:w="1843" w:type="dxa"/>
            <w:tcBorders>
              <w:left w:val="nil"/>
              <w:bottom w:val="nil"/>
              <w:right w:val="nil"/>
            </w:tcBorders>
            <w:shd w:val="clear" w:color="auto" w:fill="auto"/>
            <w:hideMark/>
          </w:tcPr>
          <w:p w14:paraId="0E2F7BB7"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Friedmand &amp; Kaslow (1986)</w:t>
            </w:r>
          </w:p>
        </w:tc>
        <w:tc>
          <w:tcPr>
            <w:tcW w:w="2211" w:type="dxa"/>
            <w:tcBorders>
              <w:left w:val="nil"/>
              <w:bottom w:val="nil"/>
              <w:right w:val="nil"/>
            </w:tcBorders>
            <w:shd w:val="clear" w:color="auto" w:fill="auto"/>
            <w:noWrap/>
            <w:vAlign w:val="center"/>
            <w:hideMark/>
          </w:tcPr>
          <w:p w14:paraId="4EA9C24B"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618F9488"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5C4204B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vAlign w:val="center"/>
          </w:tcPr>
          <w:p w14:paraId="6BBBBC1E"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nil"/>
              <w:right w:val="nil"/>
            </w:tcBorders>
            <w:vAlign w:val="center"/>
          </w:tcPr>
          <w:p w14:paraId="1C2CAA5C"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78904EC7"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532B33CF"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3B6F6E6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vAlign w:val="center"/>
          </w:tcPr>
          <w:p w14:paraId="3CEC50D2" w14:textId="77777777" w:rsidR="001359B7" w:rsidRPr="00EA0DC7" w:rsidRDefault="001359B7" w:rsidP="001359B7">
            <w:pPr>
              <w:spacing w:line="240" w:lineRule="auto"/>
              <w:jc w:val="center"/>
              <w:rPr>
                <w:rFonts w:eastAsia="Times New Roman" w:cs="Arial"/>
                <w:sz w:val="20"/>
                <w:szCs w:val="20"/>
              </w:rPr>
            </w:pPr>
          </w:p>
        </w:tc>
      </w:tr>
      <w:tr w:rsidR="001359B7" w:rsidRPr="00EA0DC7" w14:paraId="46AFE837" w14:textId="77777777" w:rsidTr="00B82F33">
        <w:trPr>
          <w:trHeight w:val="283"/>
        </w:trPr>
        <w:tc>
          <w:tcPr>
            <w:tcW w:w="1843" w:type="dxa"/>
            <w:tcBorders>
              <w:top w:val="nil"/>
              <w:left w:val="nil"/>
              <w:bottom w:val="nil"/>
              <w:right w:val="nil"/>
            </w:tcBorders>
            <w:shd w:val="clear" w:color="auto" w:fill="auto"/>
            <w:hideMark/>
          </w:tcPr>
          <w:p w14:paraId="0AB32082"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Hess (1986)</w:t>
            </w:r>
          </w:p>
        </w:tc>
        <w:tc>
          <w:tcPr>
            <w:tcW w:w="2211" w:type="dxa"/>
            <w:tcBorders>
              <w:top w:val="nil"/>
              <w:left w:val="nil"/>
              <w:bottom w:val="nil"/>
              <w:right w:val="nil"/>
            </w:tcBorders>
            <w:shd w:val="clear" w:color="auto" w:fill="auto"/>
            <w:noWrap/>
            <w:vAlign w:val="center"/>
            <w:hideMark/>
          </w:tcPr>
          <w:p w14:paraId="14F2DC31"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43F609C9"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50E23085"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106C499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bottom w:val="nil"/>
              <w:right w:val="nil"/>
            </w:tcBorders>
            <w:vAlign w:val="center"/>
          </w:tcPr>
          <w:p w14:paraId="2550EA12"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2C308CCE"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5D9693A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74AA4454"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430C373D" w14:textId="77777777" w:rsidR="001359B7" w:rsidRPr="00EA0DC7" w:rsidRDefault="001359B7" w:rsidP="001359B7">
            <w:pPr>
              <w:spacing w:line="240" w:lineRule="auto"/>
              <w:jc w:val="center"/>
              <w:rPr>
                <w:rFonts w:eastAsia="Times New Roman" w:cs="Arial"/>
                <w:sz w:val="20"/>
                <w:szCs w:val="20"/>
              </w:rPr>
            </w:pPr>
          </w:p>
        </w:tc>
      </w:tr>
      <w:tr w:rsidR="001359B7" w:rsidRPr="00EA0DC7" w14:paraId="3E65E656" w14:textId="77777777" w:rsidTr="00B82F33">
        <w:trPr>
          <w:trHeight w:val="283"/>
        </w:trPr>
        <w:tc>
          <w:tcPr>
            <w:tcW w:w="1843" w:type="dxa"/>
            <w:tcBorders>
              <w:top w:val="nil"/>
              <w:left w:val="nil"/>
              <w:bottom w:val="nil"/>
              <w:right w:val="nil"/>
            </w:tcBorders>
            <w:shd w:val="clear" w:color="auto" w:fill="auto"/>
            <w:hideMark/>
          </w:tcPr>
          <w:p w14:paraId="656C63A4"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Stoltenberg &amp; Delworth (1987)</w:t>
            </w:r>
          </w:p>
        </w:tc>
        <w:tc>
          <w:tcPr>
            <w:tcW w:w="2211" w:type="dxa"/>
            <w:tcBorders>
              <w:top w:val="nil"/>
              <w:left w:val="nil"/>
              <w:bottom w:val="nil"/>
              <w:right w:val="nil"/>
            </w:tcBorders>
            <w:shd w:val="clear" w:color="auto" w:fill="auto"/>
            <w:noWrap/>
            <w:vAlign w:val="center"/>
            <w:hideMark/>
          </w:tcPr>
          <w:p w14:paraId="0A37665E"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0A5EEB2F"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7671250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vAlign w:val="center"/>
          </w:tcPr>
          <w:p w14:paraId="6DA6EEF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bottom w:val="nil"/>
              <w:right w:val="nil"/>
            </w:tcBorders>
            <w:vAlign w:val="center"/>
          </w:tcPr>
          <w:p w14:paraId="382A36C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46850B7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7914FE5C"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356F097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vAlign w:val="center"/>
          </w:tcPr>
          <w:p w14:paraId="7FCB8979" w14:textId="77777777" w:rsidR="001359B7" w:rsidRPr="00EA0DC7" w:rsidRDefault="001359B7" w:rsidP="001359B7">
            <w:pPr>
              <w:spacing w:line="240" w:lineRule="auto"/>
              <w:jc w:val="center"/>
              <w:rPr>
                <w:rFonts w:eastAsia="Times New Roman" w:cs="Arial"/>
                <w:sz w:val="20"/>
                <w:szCs w:val="20"/>
              </w:rPr>
            </w:pPr>
          </w:p>
        </w:tc>
      </w:tr>
      <w:tr w:rsidR="001359B7" w:rsidRPr="00EA0DC7" w14:paraId="48EA58A8" w14:textId="77777777" w:rsidTr="00B82F33">
        <w:trPr>
          <w:trHeight w:val="283"/>
        </w:trPr>
        <w:tc>
          <w:tcPr>
            <w:tcW w:w="1843" w:type="dxa"/>
            <w:tcBorders>
              <w:top w:val="nil"/>
              <w:left w:val="nil"/>
              <w:right w:val="nil"/>
            </w:tcBorders>
            <w:shd w:val="clear" w:color="auto" w:fill="auto"/>
            <w:hideMark/>
          </w:tcPr>
          <w:p w14:paraId="664242FD"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Ault-Riche (1988)</w:t>
            </w:r>
          </w:p>
        </w:tc>
        <w:tc>
          <w:tcPr>
            <w:tcW w:w="2211" w:type="dxa"/>
            <w:tcBorders>
              <w:top w:val="nil"/>
              <w:left w:val="nil"/>
              <w:right w:val="nil"/>
            </w:tcBorders>
            <w:shd w:val="clear" w:color="auto" w:fill="auto"/>
            <w:noWrap/>
            <w:vAlign w:val="center"/>
            <w:hideMark/>
          </w:tcPr>
          <w:p w14:paraId="1710C445"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7946552B"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1A3E451D"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61EE31F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0A00A98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56755C9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F6EDD6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0B31C278"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0EFE32AA" w14:textId="77777777" w:rsidR="001359B7" w:rsidRPr="00EA0DC7" w:rsidRDefault="001359B7" w:rsidP="001359B7">
            <w:pPr>
              <w:spacing w:line="240" w:lineRule="auto"/>
              <w:jc w:val="center"/>
              <w:rPr>
                <w:rFonts w:eastAsia="Times New Roman" w:cs="Arial"/>
                <w:sz w:val="20"/>
                <w:szCs w:val="20"/>
              </w:rPr>
            </w:pPr>
          </w:p>
        </w:tc>
      </w:tr>
      <w:tr w:rsidR="001359B7" w:rsidRPr="00EA0DC7" w14:paraId="2E1BA625" w14:textId="77777777" w:rsidTr="00B82F33">
        <w:trPr>
          <w:trHeight w:val="283"/>
        </w:trPr>
        <w:tc>
          <w:tcPr>
            <w:tcW w:w="1843" w:type="dxa"/>
            <w:tcBorders>
              <w:top w:val="nil"/>
              <w:left w:val="nil"/>
              <w:right w:val="nil"/>
            </w:tcBorders>
            <w:shd w:val="clear" w:color="auto" w:fill="auto"/>
            <w:hideMark/>
          </w:tcPr>
          <w:p w14:paraId="61580803"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Watkins (1990)</w:t>
            </w:r>
          </w:p>
        </w:tc>
        <w:tc>
          <w:tcPr>
            <w:tcW w:w="2211" w:type="dxa"/>
            <w:tcBorders>
              <w:top w:val="nil"/>
              <w:left w:val="nil"/>
              <w:right w:val="nil"/>
            </w:tcBorders>
            <w:shd w:val="clear" w:color="auto" w:fill="auto"/>
            <w:noWrap/>
            <w:vAlign w:val="center"/>
            <w:hideMark/>
          </w:tcPr>
          <w:p w14:paraId="093832E9"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4C05C3A0"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142EA6B2"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5CBDBEC6"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764C9009"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723EAEDD"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69C74F64"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1E3D99F4"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3C47EB53" w14:textId="77777777" w:rsidR="001359B7" w:rsidRPr="00EA0DC7" w:rsidRDefault="001359B7" w:rsidP="001359B7">
            <w:pPr>
              <w:spacing w:line="240" w:lineRule="auto"/>
              <w:jc w:val="center"/>
              <w:rPr>
                <w:rFonts w:eastAsia="Times New Roman" w:cs="Arial"/>
                <w:sz w:val="20"/>
                <w:szCs w:val="20"/>
              </w:rPr>
            </w:pPr>
          </w:p>
        </w:tc>
      </w:tr>
      <w:tr w:rsidR="001359B7" w:rsidRPr="00EA0DC7" w14:paraId="008D6DAE" w14:textId="77777777" w:rsidTr="00B82F33">
        <w:trPr>
          <w:trHeight w:val="80"/>
        </w:trPr>
        <w:tc>
          <w:tcPr>
            <w:tcW w:w="1843" w:type="dxa"/>
            <w:tcBorders>
              <w:left w:val="nil"/>
              <w:right w:val="nil"/>
            </w:tcBorders>
            <w:shd w:val="clear" w:color="auto" w:fill="auto"/>
            <w:hideMark/>
          </w:tcPr>
          <w:p w14:paraId="75C1AED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Wetchler (1990)</w:t>
            </w:r>
          </w:p>
        </w:tc>
        <w:tc>
          <w:tcPr>
            <w:tcW w:w="2211" w:type="dxa"/>
            <w:tcBorders>
              <w:left w:val="nil"/>
              <w:right w:val="nil"/>
            </w:tcBorders>
            <w:shd w:val="clear" w:color="auto" w:fill="auto"/>
            <w:noWrap/>
            <w:vAlign w:val="center"/>
            <w:hideMark/>
          </w:tcPr>
          <w:p w14:paraId="225E0A7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right w:val="nil"/>
            </w:tcBorders>
            <w:shd w:val="clear" w:color="auto" w:fill="auto"/>
            <w:noWrap/>
            <w:vAlign w:val="center"/>
            <w:hideMark/>
          </w:tcPr>
          <w:p w14:paraId="0CC410EF"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58CA5FE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66CE6B99"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right w:val="nil"/>
            </w:tcBorders>
            <w:vAlign w:val="center"/>
          </w:tcPr>
          <w:p w14:paraId="1802B36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3AA8988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70F082C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55D50EC9"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right w:val="nil"/>
            </w:tcBorders>
            <w:vAlign w:val="center"/>
          </w:tcPr>
          <w:p w14:paraId="69A52BC7" w14:textId="77777777" w:rsidR="001359B7" w:rsidRPr="00EA0DC7" w:rsidRDefault="001359B7" w:rsidP="001359B7">
            <w:pPr>
              <w:spacing w:line="240" w:lineRule="auto"/>
              <w:jc w:val="center"/>
              <w:rPr>
                <w:rFonts w:eastAsia="Times New Roman" w:cs="Arial"/>
                <w:sz w:val="20"/>
                <w:szCs w:val="20"/>
              </w:rPr>
            </w:pPr>
          </w:p>
        </w:tc>
      </w:tr>
      <w:tr w:rsidR="001359B7" w:rsidRPr="00EA0DC7" w14:paraId="4FF01B98" w14:textId="77777777" w:rsidTr="00B82F33">
        <w:trPr>
          <w:trHeight w:val="283"/>
        </w:trPr>
        <w:tc>
          <w:tcPr>
            <w:tcW w:w="1843" w:type="dxa"/>
            <w:tcBorders>
              <w:left w:val="nil"/>
              <w:right w:val="nil"/>
            </w:tcBorders>
            <w:shd w:val="clear" w:color="auto" w:fill="auto"/>
            <w:hideMark/>
          </w:tcPr>
          <w:p w14:paraId="4CB54D67"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Mead (1990)</w:t>
            </w:r>
          </w:p>
        </w:tc>
        <w:tc>
          <w:tcPr>
            <w:tcW w:w="2211" w:type="dxa"/>
            <w:tcBorders>
              <w:left w:val="nil"/>
              <w:right w:val="nil"/>
            </w:tcBorders>
            <w:shd w:val="clear" w:color="auto" w:fill="auto"/>
            <w:noWrap/>
            <w:vAlign w:val="center"/>
            <w:hideMark/>
          </w:tcPr>
          <w:p w14:paraId="6267542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right w:val="nil"/>
            </w:tcBorders>
            <w:shd w:val="clear" w:color="auto" w:fill="auto"/>
            <w:noWrap/>
            <w:vAlign w:val="center"/>
            <w:hideMark/>
          </w:tcPr>
          <w:p w14:paraId="3114BC34"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0384F4C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1EAF40A0"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right w:val="nil"/>
            </w:tcBorders>
            <w:vAlign w:val="center"/>
          </w:tcPr>
          <w:p w14:paraId="444EF4C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2411F23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5F85824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1FE4431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12EE02D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7DE6F83F" w14:textId="77777777" w:rsidTr="00B82F33">
        <w:trPr>
          <w:trHeight w:val="283"/>
        </w:trPr>
        <w:tc>
          <w:tcPr>
            <w:tcW w:w="1843" w:type="dxa"/>
            <w:tcBorders>
              <w:left w:val="nil"/>
              <w:bottom w:val="single" w:sz="4" w:space="0" w:color="auto"/>
              <w:right w:val="nil"/>
            </w:tcBorders>
            <w:shd w:val="clear" w:color="auto" w:fill="auto"/>
            <w:hideMark/>
          </w:tcPr>
          <w:p w14:paraId="495F6B1D"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Hawkins &amp; Shohet (1993)</w:t>
            </w:r>
          </w:p>
        </w:tc>
        <w:tc>
          <w:tcPr>
            <w:tcW w:w="2211" w:type="dxa"/>
            <w:tcBorders>
              <w:left w:val="nil"/>
              <w:bottom w:val="single" w:sz="4" w:space="0" w:color="auto"/>
              <w:right w:val="nil"/>
            </w:tcBorders>
            <w:shd w:val="clear" w:color="auto" w:fill="auto"/>
            <w:noWrap/>
            <w:vAlign w:val="center"/>
            <w:hideMark/>
          </w:tcPr>
          <w:p w14:paraId="6C9D09A7"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bottom w:val="single" w:sz="4" w:space="0" w:color="auto"/>
              <w:right w:val="nil"/>
            </w:tcBorders>
            <w:shd w:val="clear" w:color="auto" w:fill="auto"/>
            <w:noWrap/>
            <w:vAlign w:val="center"/>
            <w:hideMark/>
          </w:tcPr>
          <w:p w14:paraId="5F884EDE"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single" w:sz="4" w:space="0" w:color="auto"/>
              <w:right w:val="nil"/>
            </w:tcBorders>
            <w:shd w:val="clear" w:color="auto" w:fill="auto"/>
            <w:noWrap/>
            <w:vAlign w:val="center"/>
            <w:hideMark/>
          </w:tcPr>
          <w:p w14:paraId="0B467697"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single" w:sz="4" w:space="0" w:color="auto"/>
              <w:right w:val="nil"/>
            </w:tcBorders>
            <w:vAlign w:val="center"/>
          </w:tcPr>
          <w:p w14:paraId="29402D76"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single" w:sz="4" w:space="0" w:color="auto"/>
              <w:right w:val="nil"/>
            </w:tcBorders>
            <w:vAlign w:val="center"/>
          </w:tcPr>
          <w:p w14:paraId="1E1CE0F6"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single" w:sz="4" w:space="0" w:color="auto"/>
              <w:right w:val="nil"/>
            </w:tcBorders>
            <w:vAlign w:val="center"/>
          </w:tcPr>
          <w:p w14:paraId="54EEEFB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6D6F421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6046EA1B"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single" w:sz="4" w:space="0" w:color="auto"/>
              <w:right w:val="nil"/>
            </w:tcBorders>
            <w:vAlign w:val="center"/>
          </w:tcPr>
          <w:p w14:paraId="1B8FFCEE" w14:textId="77777777" w:rsidR="001359B7" w:rsidRPr="00EA0DC7" w:rsidRDefault="001359B7" w:rsidP="001359B7">
            <w:pPr>
              <w:spacing w:line="240" w:lineRule="auto"/>
              <w:jc w:val="center"/>
              <w:rPr>
                <w:rFonts w:eastAsia="Times New Roman" w:cs="Arial"/>
                <w:sz w:val="20"/>
                <w:szCs w:val="20"/>
              </w:rPr>
            </w:pPr>
          </w:p>
        </w:tc>
      </w:tr>
    </w:tbl>
    <w:p w14:paraId="4A9ABB5A" w14:textId="77777777" w:rsidR="00ED63E7" w:rsidRPr="00EA0DC7" w:rsidRDefault="00ED63E7" w:rsidP="00ED63E7">
      <w:pPr>
        <w:spacing w:before="240" w:line="240" w:lineRule="auto"/>
        <w:jc w:val="center"/>
        <w:rPr>
          <w:rFonts w:eastAsia="Times New Roman" w:cs="Arial"/>
          <w:b/>
          <w:sz w:val="20"/>
          <w:szCs w:val="20"/>
        </w:rPr>
        <w:sectPr w:rsidR="00ED63E7" w:rsidRPr="00EA0DC7" w:rsidSect="00B82F33">
          <w:pgSz w:w="16838" w:h="11906" w:orient="landscape"/>
          <w:pgMar w:top="1440" w:right="1440" w:bottom="2268" w:left="1440" w:header="709" w:footer="709" w:gutter="0"/>
          <w:cols w:space="708"/>
          <w:docGrid w:linePitch="360"/>
        </w:sectPr>
      </w:pPr>
    </w:p>
    <w:tbl>
      <w:tblPr>
        <w:tblW w:w="14401" w:type="dxa"/>
        <w:tblLayout w:type="fixed"/>
        <w:tblLook w:val="04A0" w:firstRow="1" w:lastRow="0" w:firstColumn="1" w:lastColumn="0" w:noHBand="0" w:noVBand="1"/>
      </w:tblPr>
      <w:tblGrid>
        <w:gridCol w:w="1843"/>
        <w:gridCol w:w="2211"/>
        <w:gridCol w:w="1418"/>
        <w:gridCol w:w="1417"/>
        <w:gridCol w:w="1275"/>
        <w:gridCol w:w="1134"/>
        <w:gridCol w:w="1276"/>
        <w:gridCol w:w="1276"/>
        <w:gridCol w:w="1276"/>
        <w:gridCol w:w="1275"/>
      </w:tblGrid>
      <w:tr w:rsidR="00ED63E7" w:rsidRPr="00EA0DC7" w14:paraId="0DC2D5A8" w14:textId="77777777" w:rsidTr="00B82F33">
        <w:trPr>
          <w:trHeight w:val="283"/>
        </w:trPr>
        <w:tc>
          <w:tcPr>
            <w:tcW w:w="1843" w:type="dxa"/>
            <w:tcBorders>
              <w:top w:val="single" w:sz="4" w:space="0" w:color="auto"/>
              <w:left w:val="nil"/>
              <w:bottom w:val="single" w:sz="4" w:space="0" w:color="auto"/>
              <w:right w:val="nil"/>
            </w:tcBorders>
            <w:shd w:val="clear" w:color="auto" w:fill="auto"/>
            <w:vAlign w:val="center"/>
          </w:tcPr>
          <w:p w14:paraId="601FACF7" w14:textId="7475145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sz w:val="20"/>
                <w:szCs w:val="20"/>
              </w:rPr>
              <w:lastRenderedPageBreak/>
              <w:t>Model/ approach</w:t>
            </w:r>
          </w:p>
        </w:tc>
        <w:tc>
          <w:tcPr>
            <w:tcW w:w="2211" w:type="dxa"/>
            <w:tcBorders>
              <w:top w:val="single" w:sz="4" w:space="0" w:color="auto"/>
              <w:left w:val="nil"/>
              <w:bottom w:val="single" w:sz="4" w:space="0" w:color="auto"/>
              <w:right w:val="nil"/>
            </w:tcBorders>
            <w:shd w:val="clear" w:color="auto" w:fill="auto"/>
            <w:noWrap/>
            <w:vAlign w:val="center"/>
          </w:tcPr>
          <w:p w14:paraId="3A3B609D" w14:textId="37936238"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noWrap/>
            <w:vAlign w:val="center"/>
          </w:tcPr>
          <w:p w14:paraId="12F63B8F" w14:textId="2C2BD32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noWrap/>
            <w:vAlign w:val="center"/>
          </w:tcPr>
          <w:p w14:paraId="0B578C3C" w14:textId="2850BD6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Discussion of theories and reading of literature</w:t>
            </w:r>
          </w:p>
        </w:tc>
        <w:tc>
          <w:tcPr>
            <w:tcW w:w="1275" w:type="dxa"/>
            <w:tcBorders>
              <w:top w:val="single" w:sz="4" w:space="0" w:color="auto"/>
              <w:left w:val="nil"/>
              <w:bottom w:val="single" w:sz="4" w:space="0" w:color="auto"/>
              <w:right w:val="nil"/>
            </w:tcBorders>
            <w:vAlign w:val="center"/>
          </w:tcPr>
          <w:p w14:paraId="38AB7E83" w14:textId="3C7F461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26214195" w14:textId="783DFC10"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Live supervis</w:t>
            </w:r>
            <w:r w:rsidR="00B82F33" w:rsidRPr="00EA0DC7">
              <w:rPr>
                <w:rFonts w:eastAsia="Times New Roman" w:cs="Arial"/>
                <w:b/>
                <w:bCs/>
                <w:sz w:val="20"/>
                <w:szCs w:val="20"/>
              </w:rPr>
              <w:t>-</w:t>
            </w:r>
            <w:r w:rsidRPr="00EA0DC7">
              <w:rPr>
                <w:rFonts w:eastAsia="Times New Roman" w:cs="Arial"/>
                <w:b/>
                <w:bCs/>
                <w:sz w:val="20"/>
                <w:szCs w:val="20"/>
              </w:rPr>
              <w:t>ion/ observation</w:t>
            </w:r>
          </w:p>
        </w:tc>
        <w:tc>
          <w:tcPr>
            <w:tcW w:w="1276" w:type="dxa"/>
            <w:tcBorders>
              <w:top w:val="single" w:sz="4" w:space="0" w:color="auto"/>
              <w:left w:val="nil"/>
              <w:bottom w:val="single" w:sz="4" w:space="0" w:color="auto"/>
              <w:right w:val="nil"/>
            </w:tcBorders>
            <w:vAlign w:val="center"/>
          </w:tcPr>
          <w:p w14:paraId="64DDAA5F" w14:textId="1D625859"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26DDF606" w14:textId="60E419C8"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2C341328" w14:textId="29BE0A7D"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Enactment of therapy sessions/ role-play</w:t>
            </w:r>
          </w:p>
        </w:tc>
        <w:tc>
          <w:tcPr>
            <w:tcW w:w="1275" w:type="dxa"/>
            <w:tcBorders>
              <w:top w:val="single" w:sz="4" w:space="0" w:color="auto"/>
              <w:left w:val="nil"/>
              <w:bottom w:val="single" w:sz="4" w:space="0" w:color="auto"/>
              <w:right w:val="nil"/>
            </w:tcBorders>
            <w:vAlign w:val="center"/>
          </w:tcPr>
          <w:p w14:paraId="64CFAA3D" w14:textId="7AA52869"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Supervisor using enquiry as learning technique</w:t>
            </w:r>
          </w:p>
        </w:tc>
      </w:tr>
      <w:tr w:rsidR="001359B7" w:rsidRPr="00EA0DC7" w14:paraId="2347625B" w14:textId="77777777" w:rsidTr="00B82F33">
        <w:trPr>
          <w:trHeight w:val="283"/>
        </w:trPr>
        <w:tc>
          <w:tcPr>
            <w:tcW w:w="1843" w:type="dxa"/>
            <w:tcBorders>
              <w:top w:val="single" w:sz="4" w:space="0" w:color="auto"/>
              <w:left w:val="nil"/>
              <w:bottom w:val="nil"/>
              <w:right w:val="nil"/>
            </w:tcBorders>
            <w:shd w:val="clear" w:color="auto" w:fill="auto"/>
            <w:hideMark/>
          </w:tcPr>
          <w:p w14:paraId="20CE7529" w14:textId="77777777" w:rsidR="001359B7" w:rsidRPr="00EA0DC7" w:rsidRDefault="001359B7" w:rsidP="00ED63E7">
            <w:pPr>
              <w:spacing w:before="240" w:line="240" w:lineRule="auto"/>
              <w:jc w:val="left"/>
              <w:rPr>
                <w:rFonts w:eastAsia="Times New Roman" w:cs="Arial"/>
                <w:sz w:val="20"/>
                <w:szCs w:val="20"/>
              </w:rPr>
            </w:pPr>
            <w:r w:rsidRPr="00EA0DC7">
              <w:rPr>
                <w:rFonts w:eastAsia="Times New Roman" w:cs="Arial"/>
                <w:sz w:val="20"/>
                <w:szCs w:val="20"/>
              </w:rPr>
              <w:t>Rodenhauser (1994)</w:t>
            </w:r>
          </w:p>
        </w:tc>
        <w:tc>
          <w:tcPr>
            <w:tcW w:w="2211" w:type="dxa"/>
            <w:tcBorders>
              <w:top w:val="single" w:sz="4" w:space="0" w:color="auto"/>
              <w:left w:val="nil"/>
              <w:bottom w:val="nil"/>
              <w:right w:val="nil"/>
            </w:tcBorders>
            <w:shd w:val="clear" w:color="auto" w:fill="auto"/>
            <w:noWrap/>
            <w:vAlign w:val="center"/>
            <w:hideMark/>
          </w:tcPr>
          <w:p w14:paraId="2B716B81" w14:textId="77777777" w:rsidR="001359B7" w:rsidRPr="00EA0DC7" w:rsidRDefault="001359B7" w:rsidP="00ED63E7">
            <w:pPr>
              <w:spacing w:before="240" w:line="240" w:lineRule="auto"/>
              <w:jc w:val="center"/>
              <w:rPr>
                <w:rFonts w:eastAsia="Times New Roman" w:cs="Arial"/>
                <w:sz w:val="20"/>
                <w:szCs w:val="20"/>
              </w:rPr>
            </w:pPr>
          </w:p>
        </w:tc>
        <w:tc>
          <w:tcPr>
            <w:tcW w:w="1418" w:type="dxa"/>
            <w:tcBorders>
              <w:top w:val="single" w:sz="4" w:space="0" w:color="auto"/>
              <w:left w:val="nil"/>
              <w:bottom w:val="nil"/>
              <w:right w:val="nil"/>
            </w:tcBorders>
            <w:shd w:val="clear" w:color="auto" w:fill="auto"/>
            <w:noWrap/>
            <w:vAlign w:val="center"/>
            <w:hideMark/>
          </w:tcPr>
          <w:p w14:paraId="393603E3" w14:textId="77777777" w:rsidR="001359B7" w:rsidRPr="00EA0DC7" w:rsidRDefault="001359B7" w:rsidP="00ED63E7">
            <w:pPr>
              <w:spacing w:before="240" w:line="240" w:lineRule="auto"/>
              <w:jc w:val="center"/>
              <w:rPr>
                <w:rFonts w:eastAsia="Times New Roman" w:cs="Arial"/>
                <w:sz w:val="20"/>
                <w:szCs w:val="20"/>
              </w:rPr>
            </w:pPr>
          </w:p>
        </w:tc>
        <w:tc>
          <w:tcPr>
            <w:tcW w:w="1417" w:type="dxa"/>
            <w:tcBorders>
              <w:top w:val="single" w:sz="4" w:space="0" w:color="auto"/>
              <w:left w:val="nil"/>
              <w:bottom w:val="nil"/>
              <w:right w:val="nil"/>
            </w:tcBorders>
            <w:shd w:val="clear" w:color="auto" w:fill="auto"/>
            <w:noWrap/>
            <w:vAlign w:val="center"/>
            <w:hideMark/>
          </w:tcPr>
          <w:p w14:paraId="683FF501" w14:textId="77777777" w:rsidR="001359B7" w:rsidRPr="00EA0DC7" w:rsidRDefault="001359B7" w:rsidP="00ED63E7">
            <w:pPr>
              <w:spacing w:before="240" w:line="240" w:lineRule="auto"/>
              <w:jc w:val="center"/>
              <w:rPr>
                <w:rFonts w:eastAsia="Times New Roman" w:cs="Arial"/>
                <w:sz w:val="20"/>
                <w:szCs w:val="20"/>
              </w:rPr>
            </w:pPr>
          </w:p>
        </w:tc>
        <w:tc>
          <w:tcPr>
            <w:tcW w:w="1275" w:type="dxa"/>
            <w:tcBorders>
              <w:top w:val="single" w:sz="4" w:space="0" w:color="auto"/>
              <w:left w:val="nil"/>
              <w:bottom w:val="nil"/>
              <w:right w:val="nil"/>
            </w:tcBorders>
            <w:vAlign w:val="center"/>
          </w:tcPr>
          <w:p w14:paraId="78A70386" w14:textId="77777777" w:rsidR="001359B7" w:rsidRPr="00EA0DC7" w:rsidRDefault="001359B7" w:rsidP="00ED63E7">
            <w:pPr>
              <w:spacing w:before="240" w:line="240" w:lineRule="auto"/>
              <w:jc w:val="center"/>
              <w:rPr>
                <w:rFonts w:eastAsia="Times New Roman" w:cs="Arial"/>
                <w:sz w:val="20"/>
                <w:szCs w:val="20"/>
              </w:rPr>
            </w:pPr>
          </w:p>
        </w:tc>
        <w:tc>
          <w:tcPr>
            <w:tcW w:w="1134" w:type="dxa"/>
            <w:tcBorders>
              <w:top w:val="single" w:sz="4" w:space="0" w:color="auto"/>
              <w:left w:val="nil"/>
              <w:bottom w:val="nil"/>
              <w:right w:val="nil"/>
            </w:tcBorders>
            <w:vAlign w:val="center"/>
          </w:tcPr>
          <w:p w14:paraId="3A3F158E" w14:textId="77777777" w:rsidR="001359B7" w:rsidRPr="00EA0DC7" w:rsidRDefault="001359B7" w:rsidP="00ED63E7">
            <w:pPr>
              <w:spacing w:before="240" w:line="240" w:lineRule="auto"/>
              <w:jc w:val="center"/>
              <w:rPr>
                <w:rFonts w:eastAsia="Times New Roman" w:cs="Arial"/>
                <w:sz w:val="20"/>
                <w:szCs w:val="20"/>
              </w:rPr>
            </w:pPr>
          </w:p>
        </w:tc>
        <w:tc>
          <w:tcPr>
            <w:tcW w:w="1276" w:type="dxa"/>
            <w:tcBorders>
              <w:top w:val="single" w:sz="4" w:space="0" w:color="auto"/>
              <w:left w:val="nil"/>
              <w:bottom w:val="nil"/>
              <w:right w:val="nil"/>
            </w:tcBorders>
            <w:vAlign w:val="center"/>
          </w:tcPr>
          <w:p w14:paraId="212AB564" w14:textId="77777777" w:rsidR="001359B7" w:rsidRPr="00EA0DC7" w:rsidRDefault="001359B7" w:rsidP="00ED63E7">
            <w:pPr>
              <w:spacing w:before="240" w:line="240" w:lineRule="auto"/>
              <w:jc w:val="center"/>
              <w:rPr>
                <w:rFonts w:eastAsia="Times New Roman" w:cs="Arial"/>
                <w:sz w:val="20"/>
                <w:szCs w:val="20"/>
              </w:rPr>
            </w:pPr>
          </w:p>
        </w:tc>
        <w:tc>
          <w:tcPr>
            <w:tcW w:w="1276" w:type="dxa"/>
            <w:tcBorders>
              <w:top w:val="single" w:sz="4" w:space="0" w:color="auto"/>
              <w:left w:val="nil"/>
              <w:bottom w:val="nil"/>
              <w:right w:val="nil"/>
            </w:tcBorders>
            <w:vAlign w:val="center"/>
          </w:tcPr>
          <w:p w14:paraId="7E7D77C5" w14:textId="77777777" w:rsidR="001359B7" w:rsidRPr="00EA0DC7" w:rsidRDefault="001359B7" w:rsidP="00ED63E7">
            <w:pPr>
              <w:spacing w:before="240" w:line="240" w:lineRule="auto"/>
              <w:jc w:val="center"/>
              <w:rPr>
                <w:rFonts w:eastAsia="Times New Roman" w:cs="Arial"/>
                <w:sz w:val="20"/>
                <w:szCs w:val="20"/>
              </w:rPr>
            </w:pPr>
          </w:p>
        </w:tc>
        <w:tc>
          <w:tcPr>
            <w:tcW w:w="1276" w:type="dxa"/>
            <w:tcBorders>
              <w:top w:val="single" w:sz="4" w:space="0" w:color="auto"/>
              <w:left w:val="nil"/>
              <w:bottom w:val="nil"/>
              <w:right w:val="nil"/>
            </w:tcBorders>
            <w:vAlign w:val="center"/>
          </w:tcPr>
          <w:p w14:paraId="2E68B47B" w14:textId="77777777" w:rsidR="001359B7" w:rsidRPr="00EA0DC7" w:rsidRDefault="001359B7" w:rsidP="00ED63E7">
            <w:pPr>
              <w:spacing w:before="240" w:line="240" w:lineRule="auto"/>
              <w:jc w:val="center"/>
              <w:rPr>
                <w:rFonts w:eastAsia="Times New Roman" w:cs="Arial"/>
                <w:sz w:val="20"/>
                <w:szCs w:val="20"/>
              </w:rPr>
            </w:pPr>
          </w:p>
        </w:tc>
        <w:tc>
          <w:tcPr>
            <w:tcW w:w="1275" w:type="dxa"/>
            <w:tcBorders>
              <w:top w:val="single" w:sz="4" w:space="0" w:color="auto"/>
              <w:left w:val="nil"/>
              <w:bottom w:val="nil"/>
              <w:right w:val="nil"/>
            </w:tcBorders>
            <w:vAlign w:val="center"/>
          </w:tcPr>
          <w:p w14:paraId="01E0AC87" w14:textId="77777777" w:rsidR="001359B7" w:rsidRPr="00EA0DC7" w:rsidRDefault="001359B7" w:rsidP="00ED63E7">
            <w:pPr>
              <w:spacing w:before="240" w:line="240" w:lineRule="auto"/>
              <w:jc w:val="center"/>
              <w:rPr>
                <w:rFonts w:eastAsia="Times New Roman" w:cs="Arial"/>
                <w:sz w:val="20"/>
                <w:szCs w:val="20"/>
              </w:rPr>
            </w:pPr>
          </w:p>
        </w:tc>
      </w:tr>
      <w:tr w:rsidR="001359B7" w:rsidRPr="00EA0DC7" w14:paraId="2D4BDA88" w14:textId="77777777" w:rsidTr="00B82F33">
        <w:trPr>
          <w:trHeight w:val="283"/>
        </w:trPr>
        <w:tc>
          <w:tcPr>
            <w:tcW w:w="1843" w:type="dxa"/>
            <w:tcBorders>
              <w:top w:val="nil"/>
              <w:left w:val="nil"/>
              <w:bottom w:val="nil"/>
              <w:right w:val="nil"/>
            </w:tcBorders>
            <w:shd w:val="clear" w:color="auto" w:fill="auto"/>
            <w:hideMark/>
          </w:tcPr>
          <w:p w14:paraId="0494F017"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Thomas (1994)</w:t>
            </w:r>
          </w:p>
        </w:tc>
        <w:tc>
          <w:tcPr>
            <w:tcW w:w="2211" w:type="dxa"/>
            <w:tcBorders>
              <w:top w:val="nil"/>
              <w:left w:val="nil"/>
              <w:bottom w:val="nil"/>
              <w:right w:val="nil"/>
            </w:tcBorders>
            <w:shd w:val="clear" w:color="auto" w:fill="auto"/>
            <w:noWrap/>
            <w:vAlign w:val="center"/>
            <w:hideMark/>
          </w:tcPr>
          <w:p w14:paraId="60CB613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755D8A64"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2093117F"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4512EFA8"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0280D48E"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2366FADE"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40B2E1BB"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298A8D90"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4365A3DB" w14:textId="77777777" w:rsidR="001359B7" w:rsidRPr="00EA0DC7" w:rsidRDefault="001359B7" w:rsidP="001359B7">
            <w:pPr>
              <w:spacing w:line="240" w:lineRule="auto"/>
              <w:jc w:val="center"/>
              <w:rPr>
                <w:rFonts w:eastAsia="Times New Roman" w:cs="Arial"/>
                <w:sz w:val="20"/>
                <w:szCs w:val="20"/>
              </w:rPr>
            </w:pPr>
          </w:p>
        </w:tc>
      </w:tr>
      <w:tr w:rsidR="001359B7" w:rsidRPr="00EA0DC7" w14:paraId="2F91266E" w14:textId="77777777" w:rsidTr="00B82F33">
        <w:trPr>
          <w:trHeight w:val="283"/>
        </w:trPr>
        <w:tc>
          <w:tcPr>
            <w:tcW w:w="1843" w:type="dxa"/>
            <w:tcBorders>
              <w:top w:val="nil"/>
              <w:left w:val="nil"/>
              <w:right w:val="nil"/>
            </w:tcBorders>
            <w:shd w:val="clear" w:color="auto" w:fill="auto"/>
            <w:hideMark/>
          </w:tcPr>
          <w:p w14:paraId="520B624E"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Rigazio-DiGilio &amp; Anderson (1994)</w:t>
            </w:r>
          </w:p>
        </w:tc>
        <w:tc>
          <w:tcPr>
            <w:tcW w:w="2211" w:type="dxa"/>
            <w:tcBorders>
              <w:top w:val="nil"/>
              <w:left w:val="nil"/>
              <w:right w:val="nil"/>
            </w:tcBorders>
            <w:shd w:val="clear" w:color="auto" w:fill="auto"/>
            <w:noWrap/>
            <w:vAlign w:val="center"/>
            <w:hideMark/>
          </w:tcPr>
          <w:p w14:paraId="19C72E71"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094D724E"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7B26D83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1C420443"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2BAA341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B9C2CB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716C5FB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59FE2C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41CB4E8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68199D02" w14:textId="77777777" w:rsidTr="00B82F33">
        <w:trPr>
          <w:trHeight w:val="283"/>
        </w:trPr>
        <w:tc>
          <w:tcPr>
            <w:tcW w:w="1843" w:type="dxa"/>
            <w:tcBorders>
              <w:top w:val="nil"/>
              <w:left w:val="nil"/>
              <w:right w:val="nil"/>
            </w:tcBorders>
            <w:shd w:val="clear" w:color="auto" w:fill="auto"/>
            <w:hideMark/>
          </w:tcPr>
          <w:p w14:paraId="6E7C0E11"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Holloway (1995)</w:t>
            </w:r>
          </w:p>
        </w:tc>
        <w:tc>
          <w:tcPr>
            <w:tcW w:w="2211" w:type="dxa"/>
            <w:tcBorders>
              <w:top w:val="nil"/>
              <w:left w:val="nil"/>
              <w:right w:val="nil"/>
            </w:tcBorders>
            <w:shd w:val="clear" w:color="auto" w:fill="auto"/>
            <w:noWrap/>
            <w:vAlign w:val="center"/>
            <w:hideMark/>
          </w:tcPr>
          <w:p w14:paraId="2834A6A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06EA0D8B"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5C163BCD"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5C010B0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2F11DAEC"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5B086A7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CE97C8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545AEEF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3F8EE5FB" w14:textId="77777777" w:rsidR="001359B7" w:rsidRPr="00EA0DC7" w:rsidRDefault="001359B7" w:rsidP="001359B7">
            <w:pPr>
              <w:spacing w:line="240" w:lineRule="auto"/>
              <w:jc w:val="center"/>
              <w:rPr>
                <w:rFonts w:eastAsia="Times New Roman" w:cs="Arial"/>
                <w:sz w:val="20"/>
                <w:szCs w:val="20"/>
              </w:rPr>
            </w:pPr>
          </w:p>
        </w:tc>
      </w:tr>
      <w:tr w:rsidR="001359B7" w:rsidRPr="00EA0DC7" w14:paraId="4DD3A53C" w14:textId="77777777" w:rsidTr="00B82F33">
        <w:trPr>
          <w:trHeight w:val="283"/>
        </w:trPr>
        <w:tc>
          <w:tcPr>
            <w:tcW w:w="1843" w:type="dxa"/>
            <w:tcBorders>
              <w:left w:val="nil"/>
              <w:bottom w:val="nil"/>
              <w:right w:val="nil"/>
            </w:tcBorders>
            <w:shd w:val="clear" w:color="auto" w:fill="auto"/>
            <w:hideMark/>
          </w:tcPr>
          <w:p w14:paraId="1F646058"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Hipp &amp; Munson (1995)</w:t>
            </w:r>
          </w:p>
        </w:tc>
        <w:tc>
          <w:tcPr>
            <w:tcW w:w="2211" w:type="dxa"/>
            <w:tcBorders>
              <w:left w:val="nil"/>
              <w:bottom w:val="nil"/>
              <w:right w:val="nil"/>
            </w:tcBorders>
            <w:shd w:val="clear" w:color="auto" w:fill="auto"/>
            <w:noWrap/>
            <w:vAlign w:val="center"/>
            <w:hideMark/>
          </w:tcPr>
          <w:p w14:paraId="68D0DCF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nil"/>
              <w:right w:val="nil"/>
            </w:tcBorders>
            <w:shd w:val="clear" w:color="auto" w:fill="auto"/>
            <w:noWrap/>
            <w:vAlign w:val="center"/>
            <w:hideMark/>
          </w:tcPr>
          <w:p w14:paraId="2FBAF1FD"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31E23819"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4E8EF1F8"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nil"/>
              <w:right w:val="nil"/>
            </w:tcBorders>
            <w:vAlign w:val="center"/>
          </w:tcPr>
          <w:p w14:paraId="5CE59D98"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6FDBBCA3"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5BE0B30C"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5641BAAF"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32A3B7EC" w14:textId="77777777" w:rsidR="001359B7" w:rsidRPr="00EA0DC7" w:rsidRDefault="001359B7" w:rsidP="001359B7">
            <w:pPr>
              <w:spacing w:line="240" w:lineRule="auto"/>
              <w:jc w:val="center"/>
              <w:rPr>
                <w:rFonts w:eastAsia="Times New Roman" w:cs="Arial"/>
                <w:sz w:val="20"/>
                <w:szCs w:val="20"/>
              </w:rPr>
            </w:pPr>
          </w:p>
        </w:tc>
      </w:tr>
      <w:tr w:rsidR="001359B7" w:rsidRPr="00EA0DC7" w14:paraId="6452511F" w14:textId="77777777" w:rsidTr="00B82F33">
        <w:trPr>
          <w:trHeight w:val="283"/>
        </w:trPr>
        <w:tc>
          <w:tcPr>
            <w:tcW w:w="1843" w:type="dxa"/>
            <w:tcBorders>
              <w:top w:val="nil"/>
              <w:left w:val="nil"/>
              <w:right w:val="nil"/>
            </w:tcBorders>
            <w:shd w:val="clear" w:color="auto" w:fill="auto"/>
            <w:hideMark/>
          </w:tcPr>
          <w:p w14:paraId="4B76DA18"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Carroll (1996)</w:t>
            </w:r>
          </w:p>
        </w:tc>
        <w:tc>
          <w:tcPr>
            <w:tcW w:w="2211" w:type="dxa"/>
            <w:tcBorders>
              <w:top w:val="nil"/>
              <w:left w:val="nil"/>
              <w:right w:val="nil"/>
            </w:tcBorders>
            <w:shd w:val="clear" w:color="auto" w:fill="auto"/>
            <w:noWrap/>
            <w:vAlign w:val="center"/>
            <w:hideMark/>
          </w:tcPr>
          <w:p w14:paraId="2999A8C1"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06EBCC62"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1F0C7E0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3D4BB5C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1C884D1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402F42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705D52D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4740A1D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158D2F0A" w14:textId="77777777" w:rsidR="001359B7" w:rsidRPr="00EA0DC7" w:rsidRDefault="001359B7" w:rsidP="001359B7">
            <w:pPr>
              <w:spacing w:line="240" w:lineRule="auto"/>
              <w:jc w:val="center"/>
              <w:rPr>
                <w:rFonts w:eastAsia="Times New Roman" w:cs="Arial"/>
                <w:sz w:val="20"/>
                <w:szCs w:val="20"/>
              </w:rPr>
            </w:pPr>
          </w:p>
        </w:tc>
      </w:tr>
      <w:tr w:rsidR="001359B7" w:rsidRPr="00EA0DC7" w14:paraId="30E3BB0A" w14:textId="77777777" w:rsidTr="00B82F33">
        <w:trPr>
          <w:trHeight w:val="283"/>
        </w:trPr>
        <w:tc>
          <w:tcPr>
            <w:tcW w:w="1843" w:type="dxa"/>
            <w:tcBorders>
              <w:top w:val="nil"/>
              <w:left w:val="nil"/>
              <w:right w:val="nil"/>
            </w:tcBorders>
            <w:shd w:val="clear" w:color="auto" w:fill="auto"/>
            <w:hideMark/>
          </w:tcPr>
          <w:p w14:paraId="44FEFED5"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Carroll (1996)</w:t>
            </w:r>
          </w:p>
        </w:tc>
        <w:tc>
          <w:tcPr>
            <w:tcW w:w="2211" w:type="dxa"/>
            <w:tcBorders>
              <w:top w:val="nil"/>
              <w:left w:val="nil"/>
              <w:right w:val="nil"/>
            </w:tcBorders>
            <w:shd w:val="clear" w:color="auto" w:fill="auto"/>
            <w:noWrap/>
            <w:vAlign w:val="center"/>
            <w:hideMark/>
          </w:tcPr>
          <w:p w14:paraId="058312C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107487F5"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61907ACC"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7EC3D82B"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3A48F7B0"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1C52DD6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204705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F559A3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420ABC39" w14:textId="77777777" w:rsidR="001359B7" w:rsidRPr="00EA0DC7" w:rsidRDefault="001359B7" w:rsidP="001359B7">
            <w:pPr>
              <w:spacing w:line="240" w:lineRule="auto"/>
              <w:jc w:val="center"/>
              <w:rPr>
                <w:rFonts w:eastAsia="Times New Roman" w:cs="Arial"/>
                <w:sz w:val="20"/>
                <w:szCs w:val="20"/>
              </w:rPr>
            </w:pPr>
          </w:p>
        </w:tc>
      </w:tr>
      <w:tr w:rsidR="001359B7" w:rsidRPr="00EA0DC7" w14:paraId="149C2B52" w14:textId="77777777" w:rsidTr="00B82F33">
        <w:trPr>
          <w:trHeight w:val="283"/>
        </w:trPr>
        <w:tc>
          <w:tcPr>
            <w:tcW w:w="1843" w:type="dxa"/>
            <w:tcBorders>
              <w:left w:val="nil"/>
              <w:bottom w:val="nil"/>
              <w:right w:val="nil"/>
            </w:tcBorders>
            <w:shd w:val="clear" w:color="auto" w:fill="auto"/>
            <w:hideMark/>
          </w:tcPr>
          <w:p w14:paraId="2B8B2A6D"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Haber (1996)</w:t>
            </w:r>
          </w:p>
        </w:tc>
        <w:tc>
          <w:tcPr>
            <w:tcW w:w="2211" w:type="dxa"/>
            <w:tcBorders>
              <w:left w:val="nil"/>
              <w:bottom w:val="nil"/>
              <w:right w:val="nil"/>
            </w:tcBorders>
            <w:shd w:val="clear" w:color="auto" w:fill="auto"/>
            <w:noWrap/>
            <w:vAlign w:val="center"/>
            <w:hideMark/>
          </w:tcPr>
          <w:p w14:paraId="14E76F7E"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0DACEABA"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3DB58CA8"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78E1CD83"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nil"/>
              <w:right w:val="nil"/>
            </w:tcBorders>
            <w:vAlign w:val="center"/>
          </w:tcPr>
          <w:p w14:paraId="09961B8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5EAB6E3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71AF780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nil"/>
              <w:right w:val="nil"/>
            </w:tcBorders>
            <w:vAlign w:val="center"/>
          </w:tcPr>
          <w:p w14:paraId="739CE57B"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nil"/>
              <w:right w:val="nil"/>
            </w:tcBorders>
            <w:vAlign w:val="center"/>
          </w:tcPr>
          <w:p w14:paraId="651C9565" w14:textId="77777777" w:rsidR="001359B7" w:rsidRPr="00EA0DC7" w:rsidRDefault="001359B7" w:rsidP="001359B7">
            <w:pPr>
              <w:spacing w:line="240" w:lineRule="auto"/>
              <w:jc w:val="center"/>
              <w:rPr>
                <w:rFonts w:eastAsia="Times New Roman" w:cs="Arial"/>
                <w:sz w:val="20"/>
                <w:szCs w:val="20"/>
              </w:rPr>
            </w:pPr>
          </w:p>
        </w:tc>
      </w:tr>
      <w:tr w:rsidR="001359B7" w:rsidRPr="00EA0DC7" w14:paraId="46342262" w14:textId="77777777" w:rsidTr="00B82F33">
        <w:trPr>
          <w:trHeight w:val="283"/>
        </w:trPr>
        <w:tc>
          <w:tcPr>
            <w:tcW w:w="1843" w:type="dxa"/>
            <w:tcBorders>
              <w:top w:val="nil"/>
              <w:left w:val="nil"/>
              <w:bottom w:val="nil"/>
              <w:right w:val="nil"/>
            </w:tcBorders>
            <w:shd w:val="clear" w:color="auto" w:fill="auto"/>
            <w:hideMark/>
          </w:tcPr>
          <w:p w14:paraId="4636A448"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Liese &amp; Beck (1997)</w:t>
            </w:r>
          </w:p>
        </w:tc>
        <w:tc>
          <w:tcPr>
            <w:tcW w:w="2211" w:type="dxa"/>
            <w:tcBorders>
              <w:top w:val="nil"/>
              <w:left w:val="nil"/>
              <w:bottom w:val="nil"/>
              <w:right w:val="nil"/>
            </w:tcBorders>
            <w:shd w:val="clear" w:color="auto" w:fill="auto"/>
            <w:noWrap/>
            <w:vAlign w:val="center"/>
            <w:hideMark/>
          </w:tcPr>
          <w:p w14:paraId="3949408A"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4A3DB491"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3C44EEA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vAlign w:val="center"/>
          </w:tcPr>
          <w:p w14:paraId="3B8342B2"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35A286F3"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371FDB6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5C3141C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68B4778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vAlign w:val="center"/>
          </w:tcPr>
          <w:p w14:paraId="6E5B78BF" w14:textId="77777777" w:rsidR="001359B7" w:rsidRPr="00EA0DC7" w:rsidRDefault="001359B7" w:rsidP="001359B7">
            <w:pPr>
              <w:spacing w:line="240" w:lineRule="auto"/>
              <w:jc w:val="center"/>
              <w:rPr>
                <w:rFonts w:eastAsia="Times New Roman" w:cs="Arial"/>
                <w:sz w:val="20"/>
                <w:szCs w:val="20"/>
              </w:rPr>
            </w:pPr>
          </w:p>
        </w:tc>
      </w:tr>
      <w:tr w:rsidR="001359B7" w:rsidRPr="00EA0DC7" w14:paraId="69BBFC63" w14:textId="77777777" w:rsidTr="00B82F33">
        <w:trPr>
          <w:trHeight w:val="283"/>
        </w:trPr>
        <w:tc>
          <w:tcPr>
            <w:tcW w:w="1843" w:type="dxa"/>
            <w:tcBorders>
              <w:top w:val="nil"/>
              <w:left w:val="nil"/>
              <w:bottom w:val="nil"/>
              <w:right w:val="nil"/>
            </w:tcBorders>
            <w:shd w:val="clear" w:color="auto" w:fill="auto"/>
            <w:hideMark/>
          </w:tcPr>
          <w:p w14:paraId="5917F220"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Ward &amp; House (1998)</w:t>
            </w:r>
          </w:p>
        </w:tc>
        <w:tc>
          <w:tcPr>
            <w:tcW w:w="2211" w:type="dxa"/>
            <w:tcBorders>
              <w:top w:val="nil"/>
              <w:left w:val="nil"/>
              <w:bottom w:val="nil"/>
              <w:right w:val="nil"/>
            </w:tcBorders>
            <w:shd w:val="clear" w:color="auto" w:fill="auto"/>
            <w:noWrap/>
            <w:vAlign w:val="center"/>
            <w:hideMark/>
          </w:tcPr>
          <w:p w14:paraId="06B09E61"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40B8A02B"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05E55C8E"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4B1C5946"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1999BA48"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398C2C8E"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nil"/>
              <w:right w:val="nil"/>
            </w:tcBorders>
            <w:vAlign w:val="center"/>
          </w:tcPr>
          <w:p w14:paraId="5196199A"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066116DE"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55B70808" w14:textId="77777777" w:rsidR="001359B7" w:rsidRPr="00EA0DC7" w:rsidRDefault="001359B7" w:rsidP="001359B7">
            <w:pPr>
              <w:spacing w:line="240" w:lineRule="auto"/>
              <w:jc w:val="center"/>
              <w:rPr>
                <w:rFonts w:eastAsia="Times New Roman" w:cs="Arial"/>
                <w:sz w:val="20"/>
                <w:szCs w:val="20"/>
              </w:rPr>
            </w:pPr>
          </w:p>
        </w:tc>
      </w:tr>
      <w:tr w:rsidR="001359B7" w:rsidRPr="00EA0DC7" w14:paraId="37830FE6" w14:textId="77777777" w:rsidTr="00B82F33">
        <w:trPr>
          <w:trHeight w:val="283"/>
        </w:trPr>
        <w:tc>
          <w:tcPr>
            <w:tcW w:w="1843" w:type="dxa"/>
            <w:tcBorders>
              <w:top w:val="nil"/>
              <w:left w:val="nil"/>
              <w:bottom w:val="single" w:sz="4" w:space="0" w:color="auto"/>
              <w:right w:val="nil"/>
            </w:tcBorders>
            <w:shd w:val="clear" w:color="auto" w:fill="auto"/>
            <w:hideMark/>
          </w:tcPr>
          <w:p w14:paraId="6BCE47DD"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Bob (1999)</w:t>
            </w:r>
          </w:p>
        </w:tc>
        <w:tc>
          <w:tcPr>
            <w:tcW w:w="2211" w:type="dxa"/>
            <w:tcBorders>
              <w:top w:val="nil"/>
              <w:left w:val="nil"/>
              <w:bottom w:val="single" w:sz="4" w:space="0" w:color="auto"/>
              <w:right w:val="nil"/>
            </w:tcBorders>
            <w:shd w:val="clear" w:color="auto" w:fill="auto"/>
            <w:noWrap/>
            <w:vAlign w:val="center"/>
            <w:hideMark/>
          </w:tcPr>
          <w:p w14:paraId="63A7EAAF"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single" w:sz="4" w:space="0" w:color="auto"/>
              <w:right w:val="nil"/>
            </w:tcBorders>
            <w:shd w:val="clear" w:color="auto" w:fill="auto"/>
            <w:noWrap/>
            <w:vAlign w:val="center"/>
            <w:hideMark/>
          </w:tcPr>
          <w:p w14:paraId="3BE33017"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single" w:sz="4" w:space="0" w:color="auto"/>
              <w:right w:val="nil"/>
            </w:tcBorders>
            <w:shd w:val="clear" w:color="auto" w:fill="auto"/>
            <w:noWrap/>
            <w:vAlign w:val="center"/>
            <w:hideMark/>
          </w:tcPr>
          <w:p w14:paraId="15B8A724"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single" w:sz="4" w:space="0" w:color="auto"/>
              <w:right w:val="nil"/>
            </w:tcBorders>
            <w:vAlign w:val="center"/>
          </w:tcPr>
          <w:p w14:paraId="67F0E02D"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single" w:sz="4" w:space="0" w:color="auto"/>
              <w:right w:val="nil"/>
            </w:tcBorders>
            <w:vAlign w:val="center"/>
          </w:tcPr>
          <w:p w14:paraId="1ED4FEDC"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single" w:sz="4" w:space="0" w:color="auto"/>
              <w:right w:val="nil"/>
            </w:tcBorders>
            <w:vAlign w:val="center"/>
          </w:tcPr>
          <w:p w14:paraId="6C41EF99"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single" w:sz="4" w:space="0" w:color="auto"/>
              <w:right w:val="nil"/>
            </w:tcBorders>
            <w:vAlign w:val="center"/>
          </w:tcPr>
          <w:p w14:paraId="3891AAD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single" w:sz="4" w:space="0" w:color="auto"/>
              <w:right w:val="nil"/>
            </w:tcBorders>
            <w:vAlign w:val="center"/>
          </w:tcPr>
          <w:p w14:paraId="475376BC"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single" w:sz="4" w:space="0" w:color="auto"/>
              <w:right w:val="nil"/>
            </w:tcBorders>
            <w:vAlign w:val="center"/>
          </w:tcPr>
          <w:p w14:paraId="67FEDD77" w14:textId="77777777" w:rsidR="001359B7" w:rsidRPr="00EA0DC7" w:rsidRDefault="001359B7" w:rsidP="001359B7">
            <w:pPr>
              <w:spacing w:line="240" w:lineRule="auto"/>
              <w:jc w:val="center"/>
              <w:rPr>
                <w:rFonts w:eastAsia="Times New Roman" w:cs="Arial"/>
                <w:sz w:val="20"/>
                <w:szCs w:val="20"/>
              </w:rPr>
            </w:pPr>
          </w:p>
        </w:tc>
      </w:tr>
    </w:tbl>
    <w:p w14:paraId="2E8EC9DB" w14:textId="77777777" w:rsidR="00ED63E7" w:rsidRPr="00EA0DC7" w:rsidRDefault="00ED63E7" w:rsidP="00ED63E7">
      <w:pPr>
        <w:spacing w:before="240" w:line="240" w:lineRule="auto"/>
        <w:jc w:val="center"/>
        <w:rPr>
          <w:rFonts w:eastAsia="Times New Roman" w:cs="Arial"/>
          <w:b/>
          <w:sz w:val="20"/>
          <w:szCs w:val="20"/>
        </w:rPr>
        <w:sectPr w:rsidR="00ED63E7" w:rsidRPr="00EA0DC7" w:rsidSect="00B82F33">
          <w:pgSz w:w="16838" w:h="11906" w:orient="landscape"/>
          <w:pgMar w:top="2268" w:right="1440" w:bottom="1440" w:left="1440" w:header="709" w:footer="709" w:gutter="0"/>
          <w:cols w:space="708"/>
          <w:docGrid w:linePitch="360"/>
        </w:sectPr>
      </w:pPr>
    </w:p>
    <w:tbl>
      <w:tblPr>
        <w:tblW w:w="14401" w:type="dxa"/>
        <w:tblLayout w:type="fixed"/>
        <w:tblLook w:val="04A0" w:firstRow="1" w:lastRow="0" w:firstColumn="1" w:lastColumn="0" w:noHBand="0" w:noVBand="1"/>
      </w:tblPr>
      <w:tblGrid>
        <w:gridCol w:w="1843"/>
        <w:gridCol w:w="2211"/>
        <w:gridCol w:w="1418"/>
        <w:gridCol w:w="1417"/>
        <w:gridCol w:w="1275"/>
        <w:gridCol w:w="1134"/>
        <w:gridCol w:w="1276"/>
        <w:gridCol w:w="1276"/>
        <w:gridCol w:w="1276"/>
        <w:gridCol w:w="1275"/>
      </w:tblGrid>
      <w:tr w:rsidR="00ED63E7" w:rsidRPr="00EA0DC7" w14:paraId="74E26A25" w14:textId="77777777" w:rsidTr="00B82F33">
        <w:trPr>
          <w:trHeight w:val="283"/>
        </w:trPr>
        <w:tc>
          <w:tcPr>
            <w:tcW w:w="1843" w:type="dxa"/>
            <w:tcBorders>
              <w:top w:val="single" w:sz="4" w:space="0" w:color="auto"/>
              <w:left w:val="nil"/>
              <w:bottom w:val="single" w:sz="4" w:space="0" w:color="auto"/>
              <w:right w:val="nil"/>
            </w:tcBorders>
            <w:shd w:val="clear" w:color="auto" w:fill="auto"/>
            <w:vAlign w:val="center"/>
          </w:tcPr>
          <w:p w14:paraId="46F51B72" w14:textId="34B8BF47"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sz w:val="20"/>
                <w:szCs w:val="20"/>
              </w:rPr>
              <w:lastRenderedPageBreak/>
              <w:t>Model/ approach</w:t>
            </w:r>
          </w:p>
        </w:tc>
        <w:tc>
          <w:tcPr>
            <w:tcW w:w="2211" w:type="dxa"/>
            <w:tcBorders>
              <w:top w:val="single" w:sz="4" w:space="0" w:color="auto"/>
              <w:left w:val="nil"/>
              <w:bottom w:val="single" w:sz="4" w:space="0" w:color="auto"/>
              <w:right w:val="nil"/>
            </w:tcBorders>
            <w:shd w:val="clear" w:color="auto" w:fill="auto"/>
            <w:noWrap/>
            <w:vAlign w:val="center"/>
          </w:tcPr>
          <w:p w14:paraId="442ACC1D" w14:textId="1ACE7EEF"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noWrap/>
            <w:vAlign w:val="center"/>
          </w:tcPr>
          <w:p w14:paraId="38E55D5C" w14:textId="7EE84B58"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noWrap/>
            <w:vAlign w:val="center"/>
          </w:tcPr>
          <w:p w14:paraId="523B70AE" w14:textId="309F7BD6"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Discussion of theories and reading of literature</w:t>
            </w:r>
          </w:p>
        </w:tc>
        <w:tc>
          <w:tcPr>
            <w:tcW w:w="1275" w:type="dxa"/>
            <w:tcBorders>
              <w:top w:val="single" w:sz="4" w:space="0" w:color="auto"/>
              <w:left w:val="nil"/>
              <w:bottom w:val="single" w:sz="4" w:space="0" w:color="auto"/>
              <w:right w:val="nil"/>
            </w:tcBorders>
            <w:vAlign w:val="center"/>
          </w:tcPr>
          <w:p w14:paraId="4D5EB062" w14:textId="715E86CC"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44A16C07" w14:textId="63237C00"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Live supervis</w:t>
            </w:r>
            <w:r w:rsidR="00B82F33" w:rsidRPr="00EA0DC7">
              <w:rPr>
                <w:rFonts w:eastAsia="Times New Roman" w:cs="Arial"/>
                <w:b/>
                <w:bCs/>
                <w:sz w:val="20"/>
                <w:szCs w:val="20"/>
              </w:rPr>
              <w:t>-</w:t>
            </w:r>
            <w:r w:rsidRPr="00EA0DC7">
              <w:rPr>
                <w:rFonts w:eastAsia="Times New Roman" w:cs="Arial"/>
                <w:b/>
                <w:bCs/>
                <w:sz w:val="20"/>
                <w:szCs w:val="20"/>
              </w:rPr>
              <w:t>ion/ observation</w:t>
            </w:r>
          </w:p>
        </w:tc>
        <w:tc>
          <w:tcPr>
            <w:tcW w:w="1276" w:type="dxa"/>
            <w:tcBorders>
              <w:top w:val="single" w:sz="4" w:space="0" w:color="auto"/>
              <w:left w:val="nil"/>
              <w:bottom w:val="single" w:sz="4" w:space="0" w:color="auto"/>
              <w:right w:val="nil"/>
            </w:tcBorders>
            <w:vAlign w:val="center"/>
          </w:tcPr>
          <w:p w14:paraId="7FBA2CDE" w14:textId="36C9B9E1"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2458492B" w14:textId="73ECB2B8"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69FBCEA9" w14:textId="5A912FB5"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Enactment of therapy sessions/ role-play</w:t>
            </w:r>
          </w:p>
        </w:tc>
        <w:tc>
          <w:tcPr>
            <w:tcW w:w="1275" w:type="dxa"/>
            <w:tcBorders>
              <w:top w:val="single" w:sz="4" w:space="0" w:color="auto"/>
              <w:left w:val="nil"/>
              <w:bottom w:val="single" w:sz="4" w:space="0" w:color="auto"/>
              <w:right w:val="nil"/>
            </w:tcBorders>
            <w:vAlign w:val="center"/>
          </w:tcPr>
          <w:p w14:paraId="7C3413A4" w14:textId="0EE01E21"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Supervisor using enquiry as learning technique</w:t>
            </w:r>
          </w:p>
        </w:tc>
      </w:tr>
      <w:tr w:rsidR="001359B7" w:rsidRPr="00EA0DC7" w14:paraId="0055D0BD" w14:textId="77777777" w:rsidTr="00B82F33">
        <w:trPr>
          <w:trHeight w:val="283"/>
        </w:trPr>
        <w:tc>
          <w:tcPr>
            <w:tcW w:w="1843" w:type="dxa"/>
            <w:tcBorders>
              <w:top w:val="single" w:sz="4" w:space="0" w:color="auto"/>
              <w:left w:val="nil"/>
              <w:right w:val="nil"/>
            </w:tcBorders>
            <w:shd w:val="clear" w:color="auto" w:fill="auto"/>
            <w:hideMark/>
          </w:tcPr>
          <w:p w14:paraId="3A05B316" w14:textId="77777777" w:rsidR="001359B7" w:rsidRPr="00EA0DC7" w:rsidRDefault="001359B7" w:rsidP="00B82F33">
            <w:pPr>
              <w:spacing w:line="240" w:lineRule="auto"/>
              <w:jc w:val="left"/>
              <w:rPr>
                <w:rFonts w:eastAsia="Times New Roman" w:cs="Arial"/>
                <w:sz w:val="20"/>
                <w:szCs w:val="20"/>
              </w:rPr>
            </w:pPr>
            <w:r w:rsidRPr="00EA0DC7">
              <w:rPr>
                <w:rFonts w:eastAsia="Times New Roman" w:cs="Arial"/>
                <w:sz w:val="20"/>
                <w:szCs w:val="20"/>
              </w:rPr>
              <w:t>Nelson &amp; Johnson (1999)</w:t>
            </w:r>
          </w:p>
        </w:tc>
        <w:tc>
          <w:tcPr>
            <w:tcW w:w="2211" w:type="dxa"/>
            <w:tcBorders>
              <w:top w:val="single" w:sz="4" w:space="0" w:color="auto"/>
              <w:left w:val="nil"/>
              <w:right w:val="nil"/>
            </w:tcBorders>
            <w:shd w:val="clear" w:color="auto" w:fill="auto"/>
            <w:noWrap/>
            <w:vAlign w:val="center"/>
            <w:hideMark/>
          </w:tcPr>
          <w:p w14:paraId="07B4263E" w14:textId="77777777" w:rsidR="001359B7" w:rsidRPr="00EA0DC7" w:rsidRDefault="001359B7" w:rsidP="00B82F33">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single" w:sz="4" w:space="0" w:color="auto"/>
              <w:left w:val="nil"/>
              <w:right w:val="nil"/>
            </w:tcBorders>
            <w:shd w:val="clear" w:color="auto" w:fill="auto"/>
            <w:noWrap/>
            <w:vAlign w:val="center"/>
            <w:hideMark/>
          </w:tcPr>
          <w:p w14:paraId="252BC46F" w14:textId="77777777" w:rsidR="001359B7" w:rsidRPr="00EA0DC7" w:rsidRDefault="001359B7" w:rsidP="00B82F33">
            <w:pPr>
              <w:spacing w:line="240" w:lineRule="auto"/>
              <w:jc w:val="center"/>
              <w:rPr>
                <w:rFonts w:eastAsia="Times New Roman" w:cs="Arial"/>
                <w:sz w:val="20"/>
                <w:szCs w:val="20"/>
              </w:rPr>
            </w:pPr>
          </w:p>
        </w:tc>
        <w:tc>
          <w:tcPr>
            <w:tcW w:w="1417" w:type="dxa"/>
            <w:tcBorders>
              <w:top w:val="single" w:sz="4" w:space="0" w:color="auto"/>
              <w:left w:val="nil"/>
              <w:right w:val="nil"/>
            </w:tcBorders>
            <w:shd w:val="clear" w:color="auto" w:fill="auto"/>
            <w:noWrap/>
            <w:vAlign w:val="center"/>
            <w:hideMark/>
          </w:tcPr>
          <w:p w14:paraId="1B1B9ABD" w14:textId="77777777" w:rsidR="001359B7" w:rsidRPr="00EA0DC7" w:rsidRDefault="001359B7" w:rsidP="00B82F33">
            <w:pPr>
              <w:spacing w:line="240" w:lineRule="auto"/>
              <w:jc w:val="center"/>
              <w:rPr>
                <w:rFonts w:eastAsia="Times New Roman" w:cs="Arial"/>
                <w:sz w:val="20"/>
                <w:szCs w:val="20"/>
              </w:rPr>
            </w:pPr>
          </w:p>
        </w:tc>
        <w:tc>
          <w:tcPr>
            <w:tcW w:w="1275" w:type="dxa"/>
            <w:tcBorders>
              <w:top w:val="single" w:sz="4" w:space="0" w:color="auto"/>
              <w:left w:val="nil"/>
              <w:right w:val="nil"/>
            </w:tcBorders>
            <w:vAlign w:val="center"/>
          </w:tcPr>
          <w:p w14:paraId="0D0BF1EC" w14:textId="77777777" w:rsidR="001359B7" w:rsidRPr="00EA0DC7" w:rsidRDefault="001359B7" w:rsidP="00B82F33">
            <w:pPr>
              <w:spacing w:line="240" w:lineRule="auto"/>
              <w:jc w:val="center"/>
              <w:rPr>
                <w:rFonts w:eastAsia="Times New Roman" w:cs="Arial"/>
                <w:sz w:val="20"/>
                <w:szCs w:val="20"/>
              </w:rPr>
            </w:pPr>
          </w:p>
        </w:tc>
        <w:tc>
          <w:tcPr>
            <w:tcW w:w="1134" w:type="dxa"/>
            <w:tcBorders>
              <w:top w:val="single" w:sz="4" w:space="0" w:color="auto"/>
              <w:left w:val="nil"/>
              <w:right w:val="nil"/>
            </w:tcBorders>
            <w:vAlign w:val="center"/>
          </w:tcPr>
          <w:p w14:paraId="1E4C9320" w14:textId="77777777" w:rsidR="001359B7" w:rsidRPr="00EA0DC7" w:rsidRDefault="001359B7" w:rsidP="00B82F33">
            <w:pPr>
              <w:spacing w:line="240" w:lineRule="auto"/>
              <w:jc w:val="center"/>
              <w:rPr>
                <w:rFonts w:eastAsia="Times New Roman" w:cs="Arial"/>
                <w:sz w:val="20"/>
                <w:szCs w:val="20"/>
              </w:rPr>
            </w:pPr>
          </w:p>
        </w:tc>
        <w:tc>
          <w:tcPr>
            <w:tcW w:w="1276" w:type="dxa"/>
            <w:tcBorders>
              <w:top w:val="single" w:sz="4" w:space="0" w:color="auto"/>
              <w:left w:val="nil"/>
              <w:right w:val="nil"/>
            </w:tcBorders>
            <w:vAlign w:val="center"/>
          </w:tcPr>
          <w:p w14:paraId="7AB4E26D" w14:textId="77777777" w:rsidR="001359B7" w:rsidRPr="00EA0DC7" w:rsidRDefault="001359B7" w:rsidP="00B82F33">
            <w:pPr>
              <w:spacing w:line="240" w:lineRule="auto"/>
              <w:jc w:val="center"/>
              <w:rPr>
                <w:rFonts w:eastAsia="Times New Roman" w:cs="Arial"/>
                <w:sz w:val="20"/>
                <w:szCs w:val="20"/>
              </w:rPr>
            </w:pPr>
          </w:p>
        </w:tc>
        <w:tc>
          <w:tcPr>
            <w:tcW w:w="1276" w:type="dxa"/>
            <w:tcBorders>
              <w:top w:val="single" w:sz="4" w:space="0" w:color="auto"/>
              <w:left w:val="nil"/>
              <w:right w:val="nil"/>
            </w:tcBorders>
            <w:vAlign w:val="center"/>
          </w:tcPr>
          <w:p w14:paraId="085F6B75" w14:textId="77777777" w:rsidR="001359B7" w:rsidRPr="00EA0DC7" w:rsidRDefault="001359B7" w:rsidP="00B82F33">
            <w:pPr>
              <w:spacing w:line="240" w:lineRule="auto"/>
              <w:jc w:val="center"/>
              <w:rPr>
                <w:rFonts w:eastAsia="Times New Roman" w:cs="Arial"/>
                <w:sz w:val="20"/>
                <w:szCs w:val="20"/>
              </w:rPr>
            </w:pPr>
          </w:p>
        </w:tc>
        <w:tc>
          <w:tcPr>
            <w:tcW w:w="1276" w:type="dxa"/>
            <w:tcBorders>
              <w:top w:val="single" w:sz="4" w:space="0" w:color="auto"/>
              <w:left w:val="nil"/>
              <w:right w:val="nil"/>
            </w:tcBorders>
            <w:vAlign w:val="center"/>
          </w:tcPr>
          <w:p w14:paraId="4FAA24B8" w14:textId="77777777" w:rsidR="001359B7" w:rsidRPr="00EA0DC7" w:rsidRDefault="001359B7" w:rsidP="00B82F33">
            <w:pPr>
              <w:spacing w:line="240" w:lineRule="auto"/>
              <w:jc w:val="center"/>
              <w:rPr>
                <w:rFonts w:eastAsia="Times New Roman" w:cs="Arial"/>
                <w:sz w:val="20"/>
                <w:szCs w:val="20"/>
              </w:rPr>
            </w:pPr>
          </w:p>
        </w:tc>
        <w:tc>
          <w:tcPr>
            <w:tcW w:w="1275" w:type="dxa"/>
            <w:tcBorders>
              <w:top w:val="single" w:sz="4" w:space="0" w:color="auto"/>
              <w:left w:val="nil"/>
              <w:right w:val="nil"/>
            </w:tcBorders>
            <w:vAlign w:val="center"/>
          </w:tcPr>
          <w:p w14:paraId="4D4F900B" w14:textId="77777777" w:rsidR="001359B7" w:rsidRPr="00EA0DC7" w:rsidRDefault="001359B7" w:rsidP="00B82F33">
            <w:pPr>
              <w:spacing w:line="240" w:lineRule="auto"/>
              <w:jc w:val="center"/>
              <w:rPr>
                <w:rFonts w:eastAsia="Times New Roman" w:cs="Arial"/>
                <w:sz w:val="20"/>
                <w:szCs w:val="20"/>
              </w:rPr>
            </w:pPr>
          </w:p>
        </w:tc>
      </w:tr>
      <w:tr w:rsidR="001359B7" w:rsidRPr="00EA0DC7" w14:paraId="0C8C4DF1" w14:textId="77777777" w:rsidTr="00B82F33">
        <w:trPr>
          <w:trHeight w:val="283"/>
        </w:trPr>
        <w:tc>
          <w:tcPr>
            <w:tcW w:w="1843" w:type="dxa"/>
            <w:tcBorders>
              <w:top w:val="nil"/>
              <w:left w:val="nil"/>
              <w:right w:val="nil"/>
            </w:tcBorders>
            <w:shd w:val="clear" w:color="auto" w:fill="auto"/>
            <w:hideMark/>
          </w:tcPr>
          <w:p w14:paraId="773594DC"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Edwards &amp; Chen (1999)</w:t>
            </w:r>
          </w:p>
        </w:tc>
        <w:tc>
          <w:tcPr>
            <w:tcW w:w="2211" w:type="dxa"/>
            <w:tcBorders>
              <w:top w:val="nil"/>
              <w:left w:val="nil"/>
              <w:right w:val="nil"/>
            </w:tcBorders>
            <w:shd w:val="clear" w:color="auto" w:fill="auto"/>
            <w:noWrap/>
            <w:vAlign w:val="center"/>
            <w:hideMark/>
          </w:tcPr>
          <w:p w14:paraId="5D9CB09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5F2F4BAC"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3476F5E1"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52C37DE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30C1AD22"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111BBD42"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right w:val="nil"/>
            </w:tcBorders>
            <w:vAlign w:val="center"/>
          </w:tcPr>
          <w:p w14:paraId="7038408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391053AF"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426735EB" w14:textId="77777777" w:rsidR="001359B7" w:rsidRPr="00EA0DC7" w:rsidRDefault="001359B7" w:rsidP="001359B7">
            <w:pPr>
              <w:spacing w:line="240" w:lineRule="auto"/>
              <w:jc w:val="center"/>
              <w:rPr>
                <w:rFonts w:eastAsia="Times New Roman" w:cs="Arial"/>
                <w:sz w:val="20"/>
                <w:szCs w:val="20"/>
              </w:rPr>
            </w:pPr>
          </w:p>
        </w:tc>
      </w:tr>
      <w:tr w:rsidR="001359B7" w:rsidRPr="00EA0DC7" w14:paraId="74EFFC11" w14:textId="77777777" w:rsidTr="00B82F33">
        <w:trPr>
          <w:trHeight w:val="283"/>
        </w:trPr>
        <w:tc>
          <w:tcPr>
            <w:tcW w:w="1843" w:type="dxa"/>
            <w:tcBorders>
              <w:left w:val="nil"/>
              <w:right w:val="nil"/>
            </w:tcBorders>
            <w:shd w:val="clear" w:color="auto" w:fill="auto"/>
            <w:hideMark/>
          </w:tcPr>
          <w:p w14:paraId="7D96DAA8"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Granello (2000)</w:t>
            </w:r>
          </w:p>
        </w:tc>
        <w:tc>
          <w:tcPr>
            <w:tcW w:w="2211" w:type="dxa"/>
            <w:tcBorders>
              <w:left w:val="nil"/>
              <w:right w:val="nil"/>
            </w:tcBorders>
            <w:shd w:val="clear" w:color="auto" w:fill="auto"/>
            <w:noWrap/>
            <w:vAlign w:val="center"/>
            <w:hideMark/>
          </w:tcPr>
          <w:p w14:paraId="1F4F6382" w14:textId="77777777" w:rsidR="001359B7" w:rsidRPr="00EA0DC7" w:rsidRDefault="001359B7" w:rsidP="001359B7">
            <w:pPr>
              <w:spacing w:line="240" w:lineRule="auto"/>
              <w:jc w:val="center"/>
              <w:rPr>
                <w:rFonts w:eastAsia="Times New Roman" w:cs="Arial"/>
                <w:sz w:val="20"/>
                <w:szCs w:val="20"/>
              </w:rPr>
            </w:pPr>
          </w:p>
        </w:tc>
        <w:tc>
          <w:tcPr>
            <w:tcW w:w="1418" w:type="dxa"/>
            <w:tcBorders>
              <w:left w:val="nil"/>
              <w:right w:val="nil"/>
            </w:tcBorders>
            <w:shd w:val="clear" w:color="auto" w:fill="auto"/>
            <w:noWrap/>
            <w:vAlign w:val="center"/>
            <w:hideMark/>
          </w:tcPr>
          <w:p w14:paraId="43A92B19"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4BE732C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7F92D353"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right w:val="nil"/>
            </w:tcBorders>
            <w:vAlign w:val="center"/>
          </w:tcPr>
          <w:p w14:paraId="3EC226B7"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39541538"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69BEDDE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5A5401F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63DB73A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3658CC12" w14:textId="77777777" w:rsidTr="00B82F33">
        <w:trPr>
          <w:trHeight w:val="283"/>
        </w:trPr>
        <w:tc>
          <w:tcPr>
            <w:tcW w:w="1843" w:type="dxa"/>
            <w:tcBorders>
              <w:left w:val="nil"/>
              <w:right w:val="nil"/>
            </w:tcBorders>
            <w:shd w:val="clear" w:color="auto" w:fill="auto"/>
            <w:hideMark/>
          </w:tcPr>
          <w:p w14:paraId="35A61FCC"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Gilbert &amp; Evans (2000)</w:t>
            </w:r>
          </w:p>
        </w:tc>
        <w:tc>
          <w:tcPr>
            <w:tcW w:w="2211" w:type="dxa"/>
            <w:tcBorders>
              <w:left w:val="nil"/>
              <w:right w:val="nil"/>
            </w:tcBorders>
            <w:shd w:val="clear" w:color="auto" w:fill="auto"/>
            <w:noWrap/>
            <w:vAlign w:val="center"/>
            <w:hideMark/>
          </w:tcPr>
          <w:p w14:paraId="411EA64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right w:val="nil"/>
            </w:tcBorders>
            <w:shd w:val="clear" w:color="auto" w:fill="auto"/>
            <w:noWrap/>
            <w:vAlign w:val="center"/>
            <w:hideMark/>
          </w:tcPr>
          <w:p w14:paraId="4FDD00F3"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right w:val="nil"/>
            </w:tcBorders>
            <w:shd w:val="clear" w:color="auto" w:fill="auto"/>
            <w:noWrap/>
            <w:vAlign w:val="center"/>
            <w:hideMark/>
          </w:tcPr>
          <w:p w14:paraId="6C7A555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2C2926D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left w:val="nil"/>
              <w:right w:val="nil"/>
            </w:tcBorders>
            <w:vAlign w:val="center"/>
          </w:tcPr>
          <w:p w14:paraId="41C35148"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right w:val="nil"/>
            </w:tcBorders>
            <w:vAlign w:val="center"/>
          </w:tcPr>
          <w:p w14:paraId="7D120ED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38CF7C0F"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right w:val="nil"/>
            </w:tcBorders>
            <w:vAlign w:val="center"/>
          </w:tcPr>
          <w:p w14:paraId="0AD72957"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right w:val="nil"/>
            </w:tcBorders>
            <w:vAlign w:val="center"/>
          </w:tcPr>
          <w:p w14:paraId="7B59929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769B7112" w14:textId="77777777" w:rsidTr="00B82F33">
        <w:trPr>
          <w:trHeight w:val="283"/>
        </w:trPr>
        <w:tc>
          <w:tcPr>
            <w:tcW w:w="1843" w:type="dxa"/>
            <w:tcBorders>
              <w:top w:val="nil"/>
              <w:left w:val="nil"/>
              <w:right w:val="nil"/>
            </w:tcBorders>
            <w:shd w:val="clear" w:color="auto" w:fill="auto"/>
            <w:hideMark/>
          </w:tcPr>
          <w:p w14:paraId="0799B113"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 xml:space="preserve">Scaife (2001) </w:t>
            </w:r>
          </w:p>
        </w:tc>
        <w:tc>
          <w:tcPr>
            <w:tcW w:w="2211" w:type="dxa"/>
            <w:tcBorders>
              <w:top w:val="nil"/>
              <w:left w:val="nil"/>
              <w:right w:val="nil"/>
            </w:tcBorders>
            <w:shd w:val="clear" w:color="auto" w:fill="auto"/>
            <w:noWrap/>
            <w:vAlign w:val="center"/>
            <w:hideMark/>
          </w:tcPr>
          <w:p w14:paraId="2E2AD3E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3C10595A"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5A40A50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7D0763B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vAlign w:val="center"/>
          </w:tcPr>
          <w:p w14:paraId="1F8863F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4E6F5BC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121073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0B1D75C3"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043B6B9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1359B7" w:rsidRPr="00EA0DC7" w14:paraId="7688D8C9" w14:textId="77777777" w:rsidTr="00B82F33">
        <w:trPr>
          <w:trHeight w:val="80"/>
        </w:trPr>
        <w:tc>
          <w:tcPr>
            <w:tcW w:w="1843" w:type="dxa"/>
            <w:tcBorders>
              <w:left w:val="nil"/>
              <w:bottom w:val="nil"/>
              <w:right w:val="nil"/>
            </w:tcBorders>
            <w:shd w:val="clear" w:color="auto" w:fill="auto"/>
            <w:hideMark/>
          </w:tcPr>
          <w:p w14:paraId="54C7147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Frawley-O'Dea &amp; Sarnat (2001)</w:t>
            </w:r>
          </w:p>
        </w:tc>
        <w:tc>
          <w:tcPr>
            <w:tcW w:w="2211" w:type="dxa"/>
            <w:tcBorders>
              <w:left w:val="nil"/>
              <w:bottom w:val="nil"/>
              <w:right w:val="nil"/>
            </w:tcBorders>
            <w:shd w:val="clear" w:color="auto" w:fill="auto"/>
            <w:noWrap/>
            <w:vAlign w:val="center"/>
            <w:hideMark/>
          </w:tcPr>
          <w:p w14:paraId="74698B2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nil"/>
              <w:right w:val="nil"/>
            </w:tcBorders>
            <w:shd w:val="clear" w:color="auto" w:fill="auto"/>
            <w:noWrap/>
            <w:vAlign w:val="center"/>
            <w:hideMark/>
          </w:tcPr>
          <w:p w14:paraId="100D04AF"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nil"/>
              <w:right w:val="nil"/>
            </w:tcBorders>
            <w:shd w:val="clear" w:color="auto" w:fill="auto"/>
            <w:noWrap/>
            <w:vAlign w:val="center"/>
            <w:hideMark/>
          </w:tcPr>
          <w:p w14:paraId="5E795E0D"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711A069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left w:val="nil"/>
              <w:bottom w:val="nil"/>
              <w:right w:val="nil"/>
            </w:tcBorders>
            <w:vAlign w:val="center"/>
          </w:tcPr>
          <w:p w14:paraId="0E7ACD75"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1828C0D2"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6E79FE6B"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nil"/>
              <w:right w:val="nil"/>
            </w:tcBorders>
            <w:vAlign w:val="center"/>
          </w:tcPr>
          <w:p w14:paraId="59224FAC"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nil"/>
              <w:right w:val="nil"/>
            </w:tcBorders>
            <w:vAlign w:val="center"/>
          </w:tcPr>
          <w:p w14:paraId="14575C9E" w14:textId="77777777" w:rsidR="001359B7" w:rsidRPr="00EA0DC7" w:rsidRDefault="001359B7" w:rsidP="001359B7">
            <w:pPr>
              <w:spacing w:line="240" w:lineRule="auto"/>
              <w:jc w:val="center"/>
              <w:rPr>
                <w:rFonts w:eastAsia="Times New Roman" w:cs="Arial"/>
                <w:sz w:val="20"/>
                <w:szCs w:val="20"/>
              </w:rPr>
            </w:pPr>
          </w:p>
        </w:tc>
      </w:tr>
      <w:tr w:rsidR="001359B7" w:rsidRPr="00EA0DC7" w14:paraId="593D0372" w14:textId="77777777" w:rsidTr="00B82F33">
        <w:trPr>
          <w:trHeight w:val="283"/>
        </w:trPr>
        <w:tc>
          <w:tcPr>
            <w:tcW w:w="1843" w:type="dxa"/>
            <w:tcBorders>
              <w:top w:val="nil"/>
              <w:left w:val="nil"/>
              <w:bottom w:val="nil"/>
              <w:right w:val="nil"/>
            </w:tcBorders>
            <w:shd w:val="clear" w:color="auto" w:fill="auto"/>
            <w:hideMark/>
          </w:tcPr>
          <w:p w14:paraId="7AF18A7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Lee &amp; Everett (2004)</w:t>
            </w:r>
          </w:p>
        </w:tc>
        <w:tc>
          <w:tcPr>
            <w:tcW w:w="2211" w:type="dxa"/>
            <w:tcBorders>
              <w:top w:val="nil"/>
              <w:left w:val="nil"/>
              <w:bottom w:val="nil"/>
              <w:right w:val="nil"/>
            </w:tcBorders>
            <w:shd w:val="clear" w:color="auto" w:fill="auto"/>
            <w:noWrap/>
            <w:vAlign w:val="center"/>
            <w:hideMark/>
          </w:tcPr>
          <w:p w14:paraId="1F5A8D7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6FF0EC28"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nil"/>
              <w:right w:val="nil"/>
            </w:tcBorders>
            <w:shd w:val="clear" w:color="auto" w:fill="auto"/>
            <w:noWrap/>
            <w:vAlign w:val="center"/>
            <w:hideMark/>
          </w:tcPr>
          <w:p w14:paraId="08A0BF02"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nil"/>
              <w:right w:val="nil"/>
            </w:tcBorders>
            <w:vAlign w:val="center"/>
          </w:tcPr>
          <w:p w14:paraId="19CC689A"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bottom w:val="nil"/>
              <w:right w:val="nil"/>
            </w:tcBorders>
            <w:vAlign w:val="center"/>
          </w:tcPr>
          <w:p w14:paraId="51D58A4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08259CD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25FE5A3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nil"/>
              <w:right w:val="nil"/>
            </w:tcBorders>
            <w:vAlign w:val="center"/>
          </w:tcPr>
          <w:p w14:paraId="29D7CAB8"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bottom w:val="nil"/>
              <w:right w:val="nil"/>
            </w:tcBorders>
            <w:vAlign w:val="center"/>
          </w:tcPr>
          <w:p w14:paraId="5688CD68" w14:textId="77777777" w:rsidR="001359B7" w:rsidRPr="00EA0DC7" w:rsidRDefault="001359B7" w:rsidP="001359B7">
            <w:pPr>
              <w:spacing w:line="240" w:lineRule="auto"/>
              <w:jc w:val="center"/>
              <w:rPr>
                <w:rFonts w:eastAsia="Times New Roman" w:cs="Arial"/>
                <w:sz w:val="20"/>
                <w:szCs w:val="20"/>
              </w:rPr>
            </w:pPr>
          </w:p>
        </w:tc>
      </w:tr>
      <w:tr w:rsidR="001359B7" w:rsidRPr="00EA0DC7" w14:paraId="0D7E4712" w14:textId="77777777" w:rsidTr="00B82F33">
        <w:trPr>
          <w:trHeight w:val="283"/>
        </w:trPr>
        <w:tc>
          <w:tcPr>
            <w:tcW w:w="1843" w:type="dxa"/>
            <w:tcBorders>
              <w:top w:val="nil"/>
              <w:left w:val="nil"/>
              <w:right w:val="nil"/>
            </w:tcBorders>
            <w:shd w:val="clear" w:color="auto" w:fill="auto"/>
            <w:hideMark/>
          </w:tcPr>
          <w:p w14:paraId="14B9FF23"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Ladany et al. (2005)</w:t>
            </w:r>
          </w:p>
        </w:tc>
        <w:tc>
          <w:tcPr>
            <w:tcW w:w="2211" w:type="dxa"/>
            <w:tcBorders>
              <w:top w:val="nil"/>
              <w:left w:val="nil"/>
              <w:right w:val="nil"/>
            </w:tcBorders>
            <w:shd w:val="clear" w:color="auto" w:fill="auto"/>
            <w:noWrap/>
            <w:vAlign w:val="center"/>
            <w:hideMark/>
          </w:tcPr>
          <w:p w14:paraId="3E7DA992" w14:textId="77777777" w:rsidR="001359B7" w:rsidRPr="00EA0DC7" w:rsidRDefault="001359B7" w:rsidP="001359B7">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75DF274B"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0CF35F9C"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6FA7A4C8"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0D6986F1"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46A8FD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71BE43F"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74101BE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290A5C29" w14:textId="77777777" w:rsidR="001359B7" w:rsidRPr="00EA0DC7" w:rsidRDefault="001359B7" w:rsidP="001359B7">
            <w:pPr>
              <w:spacing w:line="240" w:lineRule="auto"/>
              <w:jc w:val="center"/>
              <w:rPr>
                <w:rFonts w:eastAsia="Times New Roman" w:cs="Arial"/>
                <w:sz w:val="20"/>
                <w:szCs w:val="20"/>
              </w:rPr>
            </w:pPr>
          </w:p>
        </w:tc>
      </w:tr>
      <w:tr w:rsidR="001359B7" w:rsidRPr="00EA0DC7" w14:paraId="60BE4180" w14:textId="77777777" w:rsidTr="00B82F33">
        <w:trPr>
          <w:trHeight w:val="283"/>
        </w:trPr>
        <w:tc>
          <w:tcPr>
            <w:tcW w:w="1843" w:type="dxa"/>
            <w:tcBorders>
              <w:top w:val="nil"/>
              <w:left w:val="nil"/>
              <w:right w:val="nil"/>
            </w:tcBorders>
            <w:shd w:val="clear" w:color="auto" w:fill="auto"/>
            <w:hideMark/>
          </w:tcPr>
          <w:p w14:paraId="40793D87"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Armstrong &amp; Freeston (2006)</w:t>
            </w:r>
          </w:p>
        </w:tc>
        <w:tc>
          <w:tcPr>
            <w:tcW w:w="2211" w:type="dxa"/>
            <w:tcBorders>
              <w:top w:val="nil"/>
              <w:left w:val="nil"/>
              <w:right w:val="nil"/>
            </w:tcBorders>
            <w:shd w:val="clear" w:color="auto" w:fill="auto"/>
            <w:noWrap/>
            <w:vAlign w:val="center"/>
            <w:hideMark/>
          </w:tcPr>
          <w:p w14:paraId="063A4288"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041710C2"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right w:val="nil"/>
            </w:tcBorders>
            <w:shd w:val="clear" w:color="auto" w:fill="auto"/>
            <w:noWrap/>
            <w:vAlign w:val="center"/>
            <w:hideMark/>
          </w:tcPr>
          <w:p w14:paraId="03EAA28B" w14:textId="77777777" w:rsidR="001359B7" w:rsidRPr="00EA0DC7" w:rsidRDefault="001359B7" w:rsidP="001359B7">
            <w:pPr>
              <w:spacing w:line="240" w:lineRule="auto"/>
              <w:jc w:val="center"/>
              <w:rPr>
                <w:rFonts w:eastAsia="Times New Roman" w:cs="Arial"/>
                <w:sz w:val="20"/>
                <w:szCs w:val="20"/>
              </w:rPr>
            </w:pPr>
          </w:p>
        </w:tc>
        <w:tc>
          <w:tcPr>
            <w:tcW w:w="1275" w:type="dxa"/>
            <w:tcBorders>
              <w:top w:val="nil"/>
              <w:left w:val="nil"/>
              <w:right w:val="nil"/>
            </w:tcBorders>
            <w:vAlign w:val="center"/>
          </w:tcPr>
          <w:p w14:paraId="5B6A6D96" w14:textId="77777777" w:rsidR="001359B7" w:rsidRPr="00EA0DC7" w:rsidRDefault="001359B7" w:rsidP="001359B7">
            <w:pPr>
              <w:spacing w:line="240" w:lineRule="auto"/>
              <w:jc w:val="center"/>
              <w:rPr>
                <w:rFonts w:eastAsia="Times New Roman" w:cs="Arial"/>
                <w:sz w:val="20"/>
                <w:szCs w:val="20"/>
              </w:rPr>
            </w:pPr>
          </w:p>
        </w:tc>
        <w:tc>
          <w:tcPr>
            <w:tcW w:w="1134" w:type="dxa"/>
            <w:tcBorders>
              <w:top w:val="nil"/>
              <w:left w:val="nil"/>
              <w:right w:val="nil"/>
            </w:tcBorders>
            <w:vAlign w:val="center"/>
          </w:tcPr>
          <w:p w14:paraId="1CFAEB16"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61196B6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73B3CE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right w:val="nil"/>
            </w:tcBorders>
            <w:vAlign w:val="center"/>
          </w:tcPr>
          <w:p w14:paraId="269BE02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right w:val="nil"/>
            </w:tcBorders>
            <w:vAlign w:val="center"/>
          </w:tcPr>
          <w:p w14:paraId="44F40706" w14:textId="77777777" w:rsidR="001359B7" w:rsidRPr="00EA0DC7" w:rsidRDefault="001359B7" w:rsidP="001359B7">
            <w:pPr>
              <w:spacing w:line="240" w:lineRule="auto"/>
              <w:jc w:val="center"/>
              <w:rPr>
                <w:rFonts w:eastAsia="Times New Roman" w:cs="Arial"/>
                <w:sz w:val="20"/>
                <w:szCs w:val="20"/>
              </w:rPr>
            </w:pPr>
          </w:p>
        </w:tc>
      </w:tr>
      <w:tr w:rsidR="001359B7" w:rsidRPr="00EA0DC7" w14:paraId="7C284E3E" w14:textId="77777777" w:rsidTr="00B82F33">
        <w:trPr>
          <w:trHeight w:val="283"/>
        </w:trPr>
        <w:tc>
          <w:tcPr>
            <w:tcW w:w="1843" w:type="dxa"/>
            <w:tcBorders>
              <w:left w:val="nil"/>
              <w:bottom w:val="single" w:sz="4" w:space="0" w:color="auto"/>
              <w:right w:val="nil"/>
            </w:tcBorders>
            <w:shd w:val="clear" w:color="auto" w:fill="auto"/>
            <w:hideMark/>
          </w:tcPr>
          <w:p w14:paraId="7DE3C0E9"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Morgan &amp; Sprenkle (2007)</w:t>
            </w:r>
          </w:p>
        </w:tc>
        <w:tc>
          <w:tcPr>
            <w:tcW w:w="2211" w:type="dxa"/>
            <w:tcBorders>
              <w:left w:val="nil"/>
              <w:bottom w:val="single" w:sz="4" w:space="0" w:color="auto"/>
              <w:right w:val="nil"/>
            </w:tcBorders>
            <w:shd w:val="clear" w:color="auto" w:fill="auto"/>
            <w:noWrap/>
            <w:vAlign w:val="center"/>
            <w:hideMark/>
          </w:tcPr>
          <w:p w14:paraId="256C9CB0"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single" w:sz="4" w:space="0" w:color="auto"/>
              <w:right w:val="nil"/>
            </w:tcBorders>
            <w:shd w:val="clear" w:color="auto" w:fill="auto"/>
            <w:noWrap/>
            <w:vAlign w:val="center"/>
            <w:hideMark/>
          </w:tcPr>
          <w:p w14:paraId="52C3D118" w14:textId="77777777" w:rsidR="001359B7" w:rsidRPr="00EA0DC7" w:rsidRDefault="001359B7" w:rsidP="001359B7">
            <w:pPr>
              <w:spacing w:line="240" w:lineRule="auto"/>
              <w:jc w:val="center"/>
              <w:rPr>
                <w:rFonts w:eastAsia="Times New Roman" w:cs="Arial"/>
                <w:sz w:val="20"/>
                <w:szCs w:val="20"/>
              </w:rPr>
            </w:pPr>
          </w:p>
        </w:tc>
        <w:tc>
          <w:tcPr>
            <w:tcW w:w="1417" w:type="dxa"/>
            <w:tcBorders>
              <w:left w:val="nil"/>
              <w:bottom w:val="single" w:sz="4" w:space="0" w:color="auto"/>
              <w:right w:val="nil"/>
            </w:tcBorders>
            <w:shd w:val="clear" w:color="auto" w:fill="auto"/>
            <w:noWrap/>
            <w:vAlign w:val="center"/>
            <w:hideMark/>
          </w:tcPr>
          <w:p w14:paraId="3D3978A9"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left w:val="nil"/>
              <w:bottom w:val="single" w:sz="4" w:space="0" w:color="auto"/>
              <w:right w:val="nil"/>
            </w:tcBorders>
            <w:vAlign w:val="center"/>
          </w:tcPr>
          <w:p w14:paraId="60D6B74C" w14:textId="77777777" w:rsidR="001359B7" w:rsidRPr="00EA0DC7" w:rsidRDefault="001359B7" w:rsidP="001359B7">
            <w:pPr>
              <w:spacing w:line="240" w:lineRule="auto"/>
              <w:jc w:val="center"/>
              <w:rPr>
                <w:rFonts w:eastAsia="Times New Roman" w:cs="Arial"/>
                <w:sz w:val="20"/>
                <w:szCs w:val="20"/>
              </w:rPr>
            </w:pPr>
          </w:p>
        </w:tc>
        <w:tc>
          <w:tcPr>
            <w:tcW w:w="1134" w:type="dxa"/>
            <w:tcBorders>
              <w:left w:val="nil"/>
              <w:bottom w:val="single" w:sz="4" w:space="0" w:color="auto"/>
              <w:right w:val="nil"/>
            </w:tcBorders>
            <w:vAlign w:val="center"/>
          </w:tcPr>
          <w:p w14:paraId="2842B886"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single" w:sz="4" w:space="0" w:color="auto"/>
              <w:right w:val="nil"/>
            </w:tcBorders>
            <w:vAlign w:val="center"/>
          </w:tcPr>
          <w:p w14:paraId="22ADC552" w14:textId="77777777" w:rsidR="001359B7" w:rsidRPr="00EA0DC7" w:rsidRDefault="001359B7" w:rsidP="001359B7">
            <w:pPr>
              <w:spacing w:line="240" w:lineRule="auto"/>
              <w:jc w:val="center"/>
              <w:rPr>
                <w:rFonts w:eastAsia="Times New Roman" w:cs="Arial"/>
                <w:sz w:val="20"/>
                <w:szCs w:val="20"/>
              </w:rPr>
            </w:pPr>
          </w:p>
        </w:tc>
        <w:tc>
          <w:tcPr>
            <w:tcW w:w="1276" w:type="dxa"/>
            <w:tcBorders>
              <w:left w:val="nil"/>
              <w:bottom w:val="single" w:sz="4" w:space="0" w:color="auto"/>
              <w:right w:val="nil"/>
            </w:tcBorders>
            <w:vAlign w:val="center"/>
          </w:tcPr>
          <w:p w14:paraId="7F77B00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left w:val="nil"/>
              <w:bottom w:val="single" w:sz="4" w:space="0" w:color="auto"/>
              <w:right w:val="nil"/>
            </w:tcBorders>
            <w:vAlign w:val="center"/>
          </w:tcPr>
          <w:p w14:paraId="2DA9FE0D" w14:textId="77777777" w:rsidR="001359B7" w:rsidRPr="00EA0DC7" w:rsidRDefault="001359B7" w:rsidP="001359B7">
            <w:pPr>
              <w:spacing w:line="240" w:lineRule="auto"/>
              <w:jc w:val="center"/>
              <w:rPr>
                <w:rFonts w:eastAsia="Times New Roman" w:cs="Arial"/>
                <w:sz w:val="20"/>
                <w:szCs w:val="20"/>
              </w:rPr>
            </w:pPr>
          </w:p>
        </w:tc>
        <w:tc>
          <w:tcPr>
            <w:tcW w:w="1275" w:type="dxa"/>
            <w:tcBorders>
              <w:left w:val="nil"/>
              <w:bottom w:val="single" w:sz="4" w:space="0" w:color="auto"/>
              <w:right w:val="nil"/>
            </w:tcBorders>
            <w:vAlign w:val="center"/>
          </w:tcPr>
          <w:p w14:paraId="6D840107" w14:textId="77777777" w:rsidR="001359B7" w:rsidRPr="00EA0DC7" w:rsidRDefault="001359B7" w:rsidP="001359B7">
            <w:pPr>
              <w:spacing w:line="240" w:lineRule="auto"/>
              <w:jc w:val="center"/>
              <w:rPr>
                <w:rFonts w:eastAsia="Times New Roman" w:cs="Arial"/>
                <w:sz w:val="20"/>
                <w:szCs w:val="20"/>
              </w:rPr>
            </w:pPr>
          </w:p>
        </w:tc>
      </w:tr>
    </w:tbl>
    <w:p w14:paraId="6C26B9D5" w14:textId="77777777" w:rsidR="00ED63E7" w:rsidRPr="00EA0DC7" w:rsidRDefault="00ED63E7" w:rsidP="00ED63E7">
      <w:pPr>
        <w:spacing w:before="240" w:line="240" w:lineRule="auto"/>
        <w:jc w:val="center"/>
        <w:rPr>
          <w:rFonts w:eastAsia="Times New Roman" w:cs="Arial"/>
          <w:b/>
          <w:sz w:val="20"/>
          <w:szCs w:val="20"/>
        </w:rPr>
        <w:sectPr w:rsidR="00ED63E7" w:rsidRPr="00EA0DC7" w:rsidSect="00B82F33">
          <w:pgSz w:w="16838" w:h="11906" w:orient="landscape"/>
          <w:pgMar w:top="1440" w:right="1440" w:bottom="2268" w:left="1440" w:header="709" w:footer="709" w:gutter="0"/>
          <w:cols w:space="708"/>
          <w:docGrid w:linePitch="360"/>
        </w:sectPr>
      </w:pPr>
    </w:p>
    <w:tbl>
      <w:tblPr>
        <w:tblW w:w="14401" w:type="dxa"/>
        <w:tblLayout w:type="fixed"/>
        <w:tblLook w:val="04A0" w:firstRow="1" w:lastRow="0" w:firstColumn="1" w:lastColumn="0" w:noHBand="0" w:noVBand="1"/>
      </w:tblPr>
      <w:tblGrid>
        <w:gridCol w:w="1843"/>
        <w:gridCol w:w="2211"/>
        <w:gridCol w:w="1418"/>
        <w:gridCol w:w="1417"/>
        <w:gridCol w:w="1275"/>
        <w:gridCol w:w="1134"/>
        <w:gridCol w:w="1276"/>
        <w:gridCol w:w="1276"/>
        <w:gridCol w:w="1276"/>
        <w:gridCol w:w="1275"/>
      </w:tblGrid>
      <w:tr w:rsidR="00ED63E7" w:rsidRPr="00EA0DC7" w14:paraId="0A73D569" w14:textId="77777777" w:rsidTr="00B82F33">
        <w:trPr>
          <w:trHeight w:val="283"/>
        </w:trPr>
        <w:tc>
          <w:tcPr>
            <w:tcW w:w="1843" w:type="dxa"/>
            <w:tcBorders>
              <w:top w:val="single" w:sz="4" w:space="0" w:color="auto"/>
              <w:left w:val="nil"/>
              <w:bottom w:val="single" w:sz="4" w:space="0" w:color="auto"/>
              <w:right w:val="nil"/>
            </w:tcBorders>
            <w:shd w:val="clear" w:color="auto" w:fill="auto"/>
            <w:vAlign w:val="center"/>
          </w:tcPr>
          <w:p w14:paraId="1D0FF878" w14:textId="54C6DD5A"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sz w:val="20"/>
                <w:szCs w:val="20"/>
              </w:rPr>
              <w:lastRenderedPageBreak/>
              <w:t>Model/ approach</w:t>
            </w:r>
          </w:p>
        </w:tc>
        <w:tc>
          <w:tcPr>
            <w:tcW w:w="2211" w:type="dxa"/>
            <w:tcBorders>
              <w:top w:val="single" w:sz="4" w:space="0" w:color="auto"/>
              <w:left w:val="nil"/>
              <w:bottom w:val="single" w:sz="4" w:space="0" w:color="auto"/>
              <w:right w:val="nil"/>
            </w:tcBorders>
            <w:shd w:val="clear" w:color="auto" w:fill="auto"/>
            <w:noWrap/>
            <w:vAlign w:val="center"/>
          </w:tcPr>
          <w:p w14:paraId="08BBD48F" w14:textId="501BA89F"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Interactive discussion between supervisor and supervisee to further understanding/ decide on focus</w:t>
            </w:r>
          </w:p>
        </w:tc>
        <w:tc>
          <w:tcPr>
            <w:tcW w:w="1418" w:type="dxa"/>
            <w:tcBorders>
              <w:top w:val="single" w:sz="4" w:space="0" w:color="auto"/>
              <w:left w:val="nil"/>
              <w:bottom w:val="single" w:sz="4" w:space="0" w:color="auto"/>
              <w:right w:val="nil"/>
            </w:tcBorders>
            <w:shd w:val="clear" w:color="auto" w:fill="auto"/>
            <w:noWrap/>
            <w:vAlign w:val="center"/>
          </w:tcPr>
          <w:p w14:paraId="28D637EF" w14:textId="5020C496"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Supervisee takes charge of what is shared in supervision</w:t>
            </w:r>
          </w:p>
        </w:tc>
        <w:tc>
          <w:tcPr>
            <w:tcW w:w="1417" w:type="dxa"/>
            <w:tcBorders>
              <w:top w:val="single" w:sz="4" w:space="0" w:color="auto"/>
              <w:left w:val="nil"/>
              <w:bottom w:val="single" w:sz="4" w:space="0" w:color="auto"/>
              <w:right w:val="nil"/>
            </w:tcBorders>
            <w:shd w:val="clear" w:color="auto" w:fill="auto"/>
            <w:noWrap/>
            <w:vAlign w:val="center"/>
          </w:tcPr>
          <w:p w14:paraId="3D2C9854" w14:textId="14228CC1"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Discussion of theories and reading of literature</w:t>
            </w:r>
          </w:p>
        </w:tc>
        <w:tc>
          <w:tcPr>
            <w:tcW w:w="1275" w:type="dxa"/>
            <w:tcBorders>
              <w:top w:val="single" w:sz="4" w:space="0" w:color="auto"/>
              <w:left w:val="nil"/>
              <w:bottom w:val="single" w:sz="4" w:space="0" w:color="auto"/>
              <w:right w:val="nil"/>
            </w:tcBorders>
            <w:vAlign w:val="center"/>
          </w:tcPr>
          <w:p w14:paraId="72DC9372" w14:textId="0C7E8EED"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Shared experience from the supervisor</w:t>
            </w:r>
          </w:p>
        </w:tc>
        <w:tc>
          <w:tcPr>
            <w:tcW w:w="1134" w:type="dxa"/>
            <w:tcBorders>
              <w:top w:val="single" w:sz="4" w:space="0" w:color="auto"/>
              <w:left w:val="nil"/>
              <w:bottom w:val="single" w:sz="4" w:space="0" w:color="auto"/>
              <w:right w:val="nil"/>
            </w:tcBorders>
            <w:vAlign w:val="center"/>
          </w:tcPr>
          <w:p w14:paraId="131180D1" w14:textId="6E3DC029"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Live supervision/ observation</w:t>
            </w:r>
          </w:p>
        </w:tc>
        <w:tc>
          <w:tcPr>
            <w:tcW w:w="1276" w:type="dxa"/>
            <w:tcBorders>
              <w:top w:val="single" w:sz="4" w:space="0" w:color="auto"/>
              <w:left w:val="nil"/>
              <w:bottom w:val="single" w:sz="4" w:space="0" w:color="auto"/>
              <w:right w:val="nil"/>
            </w:tcBorders>
            <w:vAlign w:val="center"/>
          </w:tcPr>
          <w:p w14:paraId="218783E8" w14:textId="5201C939"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Recorded therapy sessions</w:t>
            </w:r>
          </w:p>
        </w:tc>
        <w:tc>
          <w:tcPr>
            <w:tcW w:w="1276" w:type="dxa"/>
            <w:tcBorders>
              <w:top w:val="single" w:sz="4" w:space="0" w:color="auto"/>
              <w:left w:val="nil"/>
              <w:bottom w:val="single" w:sz="4" w:space="0" w:color="auto"/>
              <w:right w:val="nil"/>
            </w:tcBorders>
            <w:vAlign w:val="center"/>
          </w:tcPr>
          <w:p w14:paraId="66DC14AD" w14:textId="299171F1"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Reporting on therapy sessions</w:t>
            </w:r>
          </w:p>
        </w:tc>
        <w:tc>
          <w:tcPr>
            <w:tcW w:w="1276" w:type="dxa"/>
            <w:tcBorders>
              <w:top w:val="single" w:sz="4" w:space="0" w:color="auto"/>
              <w:left w:val="nil"/>
              <w:bottom w:val="single" w:sz="4" w:space="0" w:color="auto"/>
              <w:right w:val="nil"/>
            </w:tcBorders>
            <w:vAlign w:val="center"/>
          </w:tcPr>
          <w:p w14:paraId="24120FEF" w14:textId="4BCCE30C"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Enactment of therapy sessions/ role-play</w:t>
            </w:r>
          </w:p>
        </w:tc>
        <w:tc>
          <w:tcPr>
            <w:tcW w:w="1275" w:type="dxa"/>
            <w:tcBorders>
              <w:top w:val="single" w:sz="4" w:space="0" w:color="auto"/>
              <w:left w:val="nil"/>
              <w:bottom w:val="single" w:sz="4" w:space="0" w:color="auto"/>
              <w:right w:val="nil"/>
            </w:tcBorders>
            <w:vAlign w:val="center"/>
          </w:tcPr>
          <w:p w14:paraId="63FA0A8E" w14:textId="0E2F1B8E" w:rsidR="00ED63E7" w:rsidRPr="00EA0DC7" w:rsidRDefault="00ED63E7" w:rsidP="00ED63E7">
            <w:pPr>
              <w:spacing w:before="240" w:line="240" w:lineRule="auto"/>
              <w:jc w:val="center"/>
              <w:rPr>
                <w:rFonts w:eastAsia="Times New Roman" w:cs="Arial"/>
                <w:sz w:val="20"/>
                <w:szCs w:val="20"/>
              </w:rPr>
            </w:pPr>
            <w:r w:rsidRPr="00EA0DC7">
              <w:rPr>
                <w:rFonts w:eastAsia="Times New Roman" w:cs="Arial"/>
                <w:b/>
                <w:bCs/>
                <w:sz w:val="20"/>
                <w:szCs w:val="20"/>
              </w:rPr>
              <w:t>Supervisor using enquiry as learning technique</w:t>
            </w:r>
          </w:p>
        </w:tc>
      </w:tr>
      <w:tr w:rsidR="001359B7" w:rsidRPr="00EA0DC7" w14:paraId="0D95D1FF" w14:textId="77777777" w:rsidTr="00B82F33">
        <w:trPr>
          <w:trHeight w:val="283"/>
        </w:trPr>
        <w:tc>
          <w:tcPr>
            <w:tcW w:w="1843" w:type="dxa"/>
            <w:tcBorders>
              <w:top w:val="single" w:sz="4" w:space="0" w:color="auto"/>
              <w:left w:val="nil"/>
              <w:right w:val="nil"/>
            </w:tcBorders>
            <w:shd w:val="clear" w:color="auto" w:fill="auto"/>
            <w:hideMark/>
          </w:tcPr>
          <w:p w14:paraId="314EA586" w14:textId="77777777" w:rsidR="001359B7" w:rsidRPr="00EA0DC7" w:rsidRDefault="001359B7" w:rsidP="00ED63E7">
            <w:pPr>
              <w:spacing w:before="240" w:line="240" w:lineRule="auto"/>
              <w:jc w:val="left"/>
              <w:rPr>
                <w:rFonts w:eastAsia="Times New Roman" w:cs="Arial"/>
                <w:sz w:val="20"/>
                <w:szCs w:val="20"/>
              </w:rPr>
            </w:pPr>
            <w:r w:rsidRPr="00EA0DC7">
              <w:rPr>
                <w:rFonts w:eastAsia="Times New Roman" w:cs="Arial"/>
                <w:sz w:val="20"/>
                <w:szCs w:val="20"/>
              </w:rPr>
              <w:t>Inskipp and Proctor (2009)</w:t>
            </w:r>
          </w:p>
        </w:tc>
        <w:tc>
          <w:tcPr>
            <w:tcW w:w="2211" w:type="dxa"/>
            <w:tcBorders>
              <w:top w:val="single" w:sz="4" w:space="0" w:color="auto"/>
              <w:left w:val="nil"/>
              <w:right w:val="nil"/>
            </w:tcBorders>
            <w:shd w:val="clear" w:color="auto" w:fill="auto"/>
            <w:noWrap/>
            <w:vAlign w:val="center"/>
            <w:hideMark/>
          </w:tcPr>
          <w:p w14:paraId="3130C90B"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single" w:sz="4" w:space="0" w:color="auto"/>
              <w:left w:val="nil"/>
              <w:right w:val="nil"/>
            </w:tcBorders>
            <w:shd w:val="clear" w:color="auto" w:fill="auto"/>
            <w:noWrap/>
            <w:vAlign w:val="center"/>
            <w:hideMark/>
          </w:tcPr>
          <w:p w14:paraId="379D69C9"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417" w:type="dxa"/>
            <w:tcBorders>
              <w:top w:val="single" w:sz="4" w:space="0" w:color="auto"/>
              <w:left w:val="nil"/>
              <w:right w:val="nil"/>
            </w:tcBorders>
            <w:shd w:val="clear" w:color="auto" w:fill="auto"/>
            <w:noWrap/>
            <w:vAlign w:val="center"/>
            <w:hideMark/>
          </w:tcPr>
          <w:p w14:paraId="2CF0261A" w14:textId="77777777" w:rsidR="001359B7" w:rsidRPr="00EA0DC7" w:rsidRDefault="001359B7" w:rsidP="00ED63E7">
            <w:pPr>
              <w:spacing w:before="240" w:line="240" w:lineRule="auto"/>
              <w:jc w:val="center"/>
              <w:rPr>
                <w:rFonts w:eastAsia="Times New Roman" w:cs="Arial"/>
                <w:sz w:val="20"/>
                <w:szCs w:val="20"/>
              </w:rPr>
            </w:pPr>
          </w:p>
        </w:tc>
        <w:tc>
          <w:tcPr>
            <w:tcW w:w="1275" w:type="dxa"/>
            <w:tcBorders>
              <w:top w:val="single" w:sz="4" w:space="0" w:color="auto"/>
              <w:left w:val="nil"/>
              <w:right w:val="nil"/>
            </w:tcBorders>
            <w:vAlign w:val="center"/>
          </w:tcPr>
          <w:p w14:paraId="13F2845F" w14:textId="77777777" w:rsidR="001359B7" w:rsidRPr="00EA0DC7" w:rsidRDefault="001359B7" w:rsidP="00ED63E7">
            <w:pPr>
              <w:spacing w:before="240" w:line="240" w:lineRule="auto"/>
              <w:jc w:val="center"/>
              <w:rPr>
                <w:rFonts w:eastAsia="Times New Roman" w:cs="Arial"/>
                <w:sz w:val="20"/>
                <w:szCs w:val="20"/>
              </w:rPr>
            </w:pPr>
          </w:p>
        </w:tc>
        <w:tc>
          <w:tcPr>
            <w:tcW w:w="1134" w:type="dxa"/>
            <w:tcBorders>
              <w:top w:val="single" w:sz="4" w:space="0" w:color="auto"/>
              <w:left w:val="nil"/>
              <w:right w:val="nil"/>
            </w:tcBorders>
            <w:vAlign w:val="center"/>
          </w:tcPr>
          <w:p w14:paraId="59CCEA94"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right w:val="nil"/>
            </w:tcBorders>
            <w:vAlign w:val="center"/>
          </w:tcPr>
          <w:p w14:paraId="25502734"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right w:val="nil"/>
            </w:tcBorders>
            <w:vAlign w:val="center"/>
          </w:tcPr>
          <w:p w14:paraId="0EFCBDE6" w14:textId="77777777" w:rsidR="001359B7" w:rsidRPr="00EA0DC7" w:rsidRDefault="001359B7" w:rsidP="00ED63E7">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single" w:sz="4" w:space="0" w:color="auto"/>
              <w:left w:val="nil"/>
              <w:right w:val="nil"/>
            </w:tcBorders>
            <w:vAlign w:val="center"/>
          </w:tcPr>
          <w:p w14:paraId="110DE963" w14:textId="77777777" w:rsidR="001359B7" w:rsidRPr="00EA0DC7" w:rsidRDefault="001359B7" w:rsidP="00ED63E7">
            <w:pPr>
              <w:spacing w:before="240" w:line="240" w:lineRule="auto"/>
              <w:jc w:val="center"/>
              <w:rPr>
                <w:rFonts w:eastAsia="Times New Roman" w:cs="Arial"/>
                <w:sz w:val="20"/>
                <w:szCs w:val="20"/>
              </w:rPr>
            </w:pPr>
          </w:p>
        </w:tc>
        <w:tc>
          <w:tcPr>
            <w:tcW w:w="1275" w:type="dxa"/>
            <w:tcBorders>
              <w:top w:val="single" w:sz="4" w:space="0" w:color="auto"/>
              <w:left w:val="nil"/>
              <w:right w:val="nil"/>
            </w:tcBorders>
            <w:vAlign w:val="center"/>
          </w:tcPr>
          <w:p w14:paraId="5DBF43B8" w14:textId="77777777" w:rsidR="001359B7" w:rsidRPr="00EA0DC7" w:rsidRDefault="001359B7" w:rsidP="00ED63E7">
            <w:pPr>
              <w:spacing w:before="240" w:line="240" w:lineRule="auto"/>
              <w:jc w:val="center"/>
              <w:rPr>
                <w:rFonts w:eastAsia="Times New Roman" w:cs="Arial"/>
                <w:sz w:val="20"/>
                <w:szCs w:val="20"/>
              </w:rPr>
            </w:pPr>
          </w:p>
        </w:tc>
      </w:tr>
      <w:tr w:rsidR="001359B7" w:rsidRPr="00EA0DC7" w14:paraId="4A68943E" w14:textId="77777777" w:rsidTr="00B82F33">
        <w:trPr>
          <w:trHeight w:val="283"/>
        </w:trPr>
        <w:tc>
          <w:tcPr>
            <w:tcW w:w="1843" w:type="dxa"/>
            <w:tcBorders>
              <w:top w:val="nil"/>
              <w:left w:val="nil"/>
              <w:bottom w:val="single" w:sz="4" w:space="0" w:color="000000"/>
              <w:right w:val="nil"/>
            </w:tcBorders>
            <w:shd w:val="clear" w:color="auto" w:fill="auto"/>
            <w:hideMark/>
          </w:tcPr>
          <w:p w14:paraId="47A5E98B" w14:textId="77777777" w:rsidR="001359B7" w:rsidRPr="00EA0DC7" w:rsidRDefault="001359B7" w:rsidP="001359B7">
            <w:pPr>
              <w:spacing w:line="240" w:lineRule="auto"/>
              <w:jc w:val="left"/>
              <w:rPr>
                <w:rFonts w:eastAsia="Times New Roman" w:cs="Arial"/>
                <w:sz w:val="20"/>
                <w:szCs w:val="20"/>
              </w:rPr>
            </w:pPr>
            <w:r w:rsidRPr="00EA0DC7">
              <w:rPr>
                <w:rFonts w:eastAsia="Times New Roman" w:cs="Arial"/>
                <w:sz w:val="20"/>
                <w:szCs w:val="20"/>
              </w:rPr>
              <w:t>Page and Wosket (2015)</w:t>
            </w:r>
          </w:p>
        </w:tc>
        <w:tc>
          <w:tcPr>
            <w:tcW w:w="2211" w:type="dxa"/>
            <w:tcBorders>
              <w:top w:val="nil"/>
              <w:left w:val="nil"/>
              <w:bottom w:val="single" w:sz="4" w:space="0" w:color="000000"/>
              <w:right w:val="nil"/>
            </w:tcBorders>
            <w:shd w:val="clear" w:color="auto" w:fill="auto"/>
            <w:noWrap/>
            <w:vAlign w:val="center"/>
            <w:hideMark/>
          </w:tcPr>
          <w:p w14:paraId="42FD656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single" w:sz="4" w:space="0" w:color="000000"/>
              <w:right w:val="nil"/>
            </w:tcBorders>
            <w:shd w:val="clear" w:color="auto" w:fill="auto"/>
            <w:noWrap/>
            <w:vAlign w:val="center"/>
            <w:hideMark/>
          </w:tcPr>
          <w:p w14:paraId="0E279CC0" w14:textId="77777777" w:rsidR="001359B7" w:rsidRPr="00EA0DC7" w:rsidRDefault="001359B7" w:rsidP="001359B7">
            <w:pPr>
              <w:spacing w:line="240" w:lineRule="auto"/>
              <w:jc w:val="center"/>
              <w:rPr>
                <w:rFonts w:eastAsia="Times New Roman" w:cs="Arial"/>
                <w:sz w:val="20"/>
                <w:szCs w:val="20"/>
              </w:rPr>
            </w:pPr>
          </w:p>
        </w:tc>
        <w:tc>
          <w:tcPr>
            <w:tcW w:w="1417" w:type="dxa"/>
            <w:tcBorders>
              <w:top w:val="nil"/>
              <w:left w:val="nil"/>
              <w:bottom w:val="single" w:sz="4" w:space="0" w:color="000000"/>
              <w:right w:val="nil"/>
            </w:tcBorders>
            <w:shd w:val="clear" w:color="auto" w:fill="auto"/>
            <w:noWrap/>
            <w:vAlign w:val="center"/>
            <w:hideMark/>
          </w:tcPr>
          <w:p w14:paraId="20B5290D"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single" w:sz="4" w:space="0" w:color="000000"/>
              <w:right w:val="nil"/>
            </w:tcBorders>
            <w:vAlign w:val="center"/>
          </w:tcPr>
          <w:p w14:paraId="60F48D25"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bottom w:val="single" w:sz="4" w:space="0" w:color="000000"/>
              <w:right w:val="nil"/>
            </w:tcBorders>
            <w:vAlign w:val="center"/>
          </w:tcPr>
          <w:p w14:paraId="20D7B1D7" w14:textId="77777777" w:rsidR="001359B7" w:rsidRPr="00EA0DC7" w:rsidRDefault="001359B7" w:rsidP="001359B7">
            <w:pPr>
              <w:spacing w:line="240" w:lineRule="auto"/>
              <w:jc w:val="center"/>
              <w:rPr>
                <w:rFonts w:eastAsia="Times New Roman" w:cs="Arial"/>
                <w:sz w:val="20"/>
                <w:szCs w:val="20"/>
              </w:rPr>
            </w:pPr>
          </w:p>
        </w:tc>
        <w:tc>
          <w:tcPr>
            <w:tcW w:w="1276" w:type="dxa"/>
            <w:tcBorders>
              <w:top w:val="nil"/>
              <w:left w:val="nil"/>
              <w:bottom w:val="single" w:sz="4" w:space="0" w:color="000000"/>
              <w:right w:val="nil"/>
            </w:tcBorders>
            <w:vAlign w:val="center"/>
          </w:tcPr>
          <w:p w14:paraId="0DCE4014"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single" w:sz="4" w:space="0" w:color="000000"/>
              <w:right w:val="nil"/>
            </w:tcBorders>
            <w:vAlign w:val="center"/>
          </w:tcPr>
          <w:p w14:paraId="3C7CF0D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6" w:type="dxa"/>
            <w:tcBorders>
              <w:top w:val="nil"/>
              <w:left w:val="nil"/>
              <w:bottom w:val="single" w:sz="4" w:space="0" w:color="000000"/>
              <w:right w:val="nil"/>
            </w:tcBorders>
            <w:vAlign w:val="center"/>
          </w:tcPr>
          <w:p w14:paraId="203157EE" w14:textId="77777777" w:rsidR="001359B7" w:rsidRPr="00EA0DC7" w:rsidRDefault="001359B7" w:rsidP="001359B7">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75" w:type="dxa"/>
            <w:tcBorders>
              <w:top w:val="nil"/>
              <w:left w:val="nil"/>
              <w:bottom w:val="single" w:sz="4" w:space="0" w:color="000000"/>
              <w:right w:val="nil"/>
            </w:tcBorders>
            <w:vAlign w:val="center"/>
          </w:tcPr>
          <w:p w14:paraId="200712CA" w14:textId="77777777" w:rsidR="001359B7" w:rsidRPr="00EA0DC7" w:rsidRDefault="001359B7" w:rsidP="001359B7">
            <w:pPr>
              <w:spacing w:line="240" w:lineRule="auto"/>
              <w:jc w:val="center"/>
              <w:rPr>
                <w:rFonts w:eastAsia="Times New Roman" w:cs="Arial"/>
                <w:sz w:val="20"/>
                <w:szCs w:val="20"/>
              </w:rPr>
            </w:pPr>
          </w:p>
        </w:tc>
      </w:tr>
    </w:tbl>
    <w:p w14:paraId="290BE598" w14:textId="77777777" w:rsidR="003F0CDB" w:rsidRPr="00EA0DC7" w:rsidRDefault="003F0CDB" w:rsidP="003F0CDB">
      <w:pPr>
        <w:rPr>
          <w:rFonts w:eastAsia="Times New Roman" w:cs="Arial"/>
          <w:szCs w:val="24"/>
        </w:rPr>
        <w:sectPr w:rsidR="003F0CDB" w:rsidRPr="00EA0DC7" w:rsidSect="00B82F33">
          <w:pgSz w:w="16838" w:h="11906" w:orient="landscape"/>
          <w:pgMar w:top="2268" w:right="1440" w:bottom="1440" w:left="1440" w:header="709" w:footer="709" w:gutter="0"/>
          <w:cols w:space="708"/>
          <w:docGrid w:linePitch="360"/>
        </w:sectPr>
      </w:pPr>
    </w:p>
    <w:tbl>
      <w:tblPr>
        <w:tblW w:w="8931" w:type="dxa"/>
        <w:tblLayout w:type="fixed"/>
        <w:tblLook w:val="04A0" w:firstRow="1" w:lastRow="0" w:firstColumn="1" w:lastColumn="0" w:noHBand="0" w:noVBand="1"/>
      </w:tblPr>
      <w:tblGrid>
        <w:gridCol w:w="3119"/>
        <w:gridCol w:w="1701"/>
        <w:gridCol w:w="1417"/>
        <w:gridCol w:w="1560"/>
        <w:gridCol w:w="1134"/>
      </w:tblGrid>
      <w:tr w:rsidR="00EA0DC7" w:rsidRPr="00EA0DC7" w14:paraId="18F058F1" w14:textId="77777777" w:rsidTr="00891F1E">
        <w:trPr>
          <w:trHeight w:val="70"/>
        </w:trPr>
        <w:tc>
          <w:tcPr>
            <w:tcW w:w="8931" w:type="dxa"/>
            <w:gridSpan w:val="5"/>
            <w:tcBorders>
              <w:left w:val="nil"/>
              <w:right w:val="nil"/>
            </w:tcBorders>
            <w:shd w:val="clear" w:color="auto" w:fill="auto"/>
            <w:noWrap/>
            <w:vAlign w:val="bottom"/>
          </w:tcPr>
          <w:p w14:paraId="4873AE3E" w14:textId="2E1ABB09" w:rsidR="003F0CDB" w:rsidRPr="00EA0DC7" w:rsidRDefault="003F0CDB" w:rsidP="006B3274">
            <w:pPr>
              <w:pStyle w:val="Heading2"/>
              <w:rPr>
                <w:lang w:eastAsia="zh-CN"/>
              </w:rPr>
            </w:pPr>
            <w:bookmarkStart w:id="238" w:name="_Toc23881305"/>
            <w:bookmarkStart w:id="239" w:name="_Toc24548596"/>
            <w:bookmarkStart w:id="240" w:name="_Toc24548699"/>
            <w:bookmarkStart w:id="241" w:name="_Toc47039886"/>
            <w:r w:rsidRPr="00EA0DC7">
              <w:rPr>
                <w:lang w:eastAsia="zh-CN"/>
              </w:rPr>
              <w:lastRenderedPageBreak/>
              <w:t xml:space="preserve">Appendix </w:t>
            </w:r>
            <w:r w:rsidR="00D247AC" w:rsidRPr="00EA0DC7">
              <w:rPr>
                <w:lang w:eastAsia="zh-CN"/>
              </w:rPr>
              <w:t>2</w:t>
            </w:r>
            <w:r w:rsidRPr="00EA0DC7">
              <w:rPr>
                <w:lang w:eastAsia="zh-CN"/>
              </w:rPr>
              <w:t>G</w:t>
            </w:r>
            <w:r w:rsidR="006B3274" w:rsidRPr="00EA0DC7">
              <w:rPr>
                <w:lang w:eastAsia="zh-CN"/>
              </w:rPr>
              <w:t>. Evaluation aspect focus in supervision models</w:t>
            </w:r>
            <w:bookmarkEnd w:id="238"/>
            <w:bookmarkEnd w:id="239"/>
            <w:bookmarkEnd w:id="240"/>
            <w:bookmarkEnd w:id="241"/>
          </w:p>
        </w:tc>
      </w:tr>
      <w:tr w:rsidR="00EA0DC7" w:rsidRPr="00EA0DC7" w14:paraId="6A6B4CF8" w14:textId="77777777" w:rsidTr="00891F1E">
        <w:trPr>
          <w:trHeight w:val="133"/>
        </w:trPr>
        <w:tc>
          <w:tcPr>
            <w:tcW w:w="8931" w:type="dxa"/>
            <w:gridSpan w:val="5"/>
            <w:tcBorders>
              <w:left w:val="nil"/>
              <w:bottom w:val="single" w:sz="4" w:space="0" w:color="auto"/>
              <w:right w:val="nil"/>
            </w:tcBorders>
            <w:shd w:val="clear" w:color="auto" w:fill="auto"/>
            <w:noWrap/>
            <w:vAlign w:val="bottom"/>
          </w:tcPr>
          <w:p w14:paraId="5790D5EA" w14:textId="1EF43E7C" w:rsidR="003F0CDB" w:rsidRPr="00EA0DC7" w:rsidRDefault="00D247AC" w:rsidP="00957911">
            <w:pPr>
              <w:spacing w:line="240" w:lineRule="auto"/>
              <w:rPr>
                <w:rFonts w:eastAsia="Times New Roman" w:cs="Arial"/>
                <w:bCs/>
                <w:szCs w:val="24"/>
              </w:rPr>
            </w:pPr>
            <w:r w:rsidRPr="00EA0DC7">
              <w:rPr>
                <w:rFonts w:eastAsia="Times New Roman" w:cs="Arial"/>
                <w:szCs w:val="24"/>
              </w:rPr>
              <w:t>Table 2G</w:t>
            </w:r>
            <w:r w:rsidR="003F0CDB" w:rsidRPr="00EA0DC7">
              <w:rPr>
                <w:rFonts w:eastAsia="Times New Roman" w:cs="Arial"/>
                <w:szCs w:val="24"/>
              </w:rPr>
              <w:t>. Model focus on evaluation aspects of supervision</w:t>
            </w:r>
          </w:p>
        </w:tc>
      </w:tr>
      <w:tr w:rsidR="00EA0DC7" w:rsidRPr="00EA0DC7" w14:paraId="47E202C1" w14:textId="77777777" w:rsidTr="00891F1E">
        <w:trPr>
          <w:trHeight w:val="983"/>
        </w:trPr>
        <w:tc>
          <w:tcPr>
            <w:tcW w:w="3119" w:type="dxa"/>
            <w:tcBorders>
              <w:top w:val="single" w:sz="4" w:space="0" w:color="auto"/>
              <w:left w:val="nil"/>
              <w:bottom w:val="single" w:sz="4" w:space="0" w:color="auto"/>
              <w:right w:val="nil"/>
            </w:tcBorders>
            <w:shd w:val="clear" w:color="auto" w:fill="auto"/>
            <w:noWrap/>
            <w:vAlign w:val="center"/>
            <w:hideMark/>
          </w:tcPr>
          <w:p w14:paraId="3174B391" w14:textId="77777777" w:rsidR="003F0CDB" w:rsidRPr="00EA0DC7" w:rsidRDefault="003F0CDB" w:rsidP="0045031E">
            <w:pPr>
              <w:spacing w:before="240" w:after="0" w:line="240" w:lineRule="auto"/>
              <w:jc w:val="center"/>
              <w:rPr>
                <w:rFonts w:eastAsia="Times New Roman" w:cs="Arial"/>
                <w:bCs/>
                <w:szCs w:val="24"/>
              </w:rPr>
            </w:pPr>
          </w:p>
        </w:tc>
        <w:tc>
          <w:tcPr>
            <w:tcW w:w="1701" w:type="dxa"/>
            <w:tcBorders>
              <w:top w:val="single" w:sz="4" w:space="0" w:color="auto"/>
              <w:left w:val="nil"/>
              <w:bottom w:val="single" w:sz="4" w:space="0" w:color="auto"/>
              <w:right w:val="nil"/>
            </w:tcBorders>
            <w:shd w:val="clear" w:color="auto" w:fill="auto"/>
            <w:vAlign w:val="center"/>
            <w:hideMark/>
          </w:tcPr>
          <w:p w14:paraId="6519839C" w14:textId="77777777" w:rsidR="003F0CDB" w:rsidRPr="00EA0DC7" w:rsidRDefault="003F0CDB" w:rsidP="0045031E">
            <w:pPr>
              <w:spacing w:before="240" w:line="240" w:lineRule="auto"/>
              <w:jc w:val="center"/>
              <w:rPr>
                <w:rFonts w:eastAsia="Times New Roman" w:cs="Arial"/>
                <w:b/>
                <w:bCs/>
                <w:szCs w:val="24"/>
              </w:rPr>
            </w:pPr>
            <w:r w:rsidRPr="00EA0DC7">
              <w:rPr>
                <w:rFonts w:eastAsia="Times New Roman" w:cs="Arial"/>
                <w:b/>
                <w:bCs/>
                <w:szCs w:val="24"/>
              </w:rPr>
              <w:t>Assessment/ evaluation of supervisees</w:t>
            </w:r>
          </w:p>
        </w:tc>
        <w:tc>
          <w:tcPr>
            <w:tcW w:w="1417" w:type="dxa"/>
            <w:tcBorders>
              <w:top w:val="single" w:sz="4" w:space="0" w:color="auto"/>
              <w:left w:val="nil"/>
              <w:bottom w:val="single" w:sz="4" w:space="0" w:color="auto"/>
              <w:right w:val="nil"/>
            </w:tcBorders>
            <w:shd w:val="clear" w:color="auto" w:fill="auto"/>
            <w:vAlign w:val="center"/>
            <w:hideMark/>
          </w:tcPr>
          <w:p w14:paraId="1EDAF1E2" w14:textId="0694FABD" w:rsidR="003F0CDB" w:rsidRPr="00EA0DC7" w:rsidRDefault="003F0CDB" w:rsidP="0045031E">
            <w:pPr>
              <w:spacing w:before="240" w:line="240" w:lineRule="auto"/>
              <w:jc w:val="center"/>
              <w:rPr>
                <w:rFonts w:eastAsia="Times New Roman" w:cs="Arial"/>
                <w:b/>
                <w:bCs/>
                <w:szCs w:val="24"/>
              </w:rPr>
            </w:pPr>
            <w:r w:rsidRPr="00EA0DC7">
              <w:rPr>
                <w:rFonts w:eastAsia="Times New Roman" w:cs="Arial"/>
                <w:b/>
                <w:bCs/>
                <w:szCs w:val="24"/>
              </w:rPr>
              <w:t>Evaluati</w:t>
            </w:r>
            <w:r w:rsidR="00981DD9" w:rsidRPr="00EA0DC7">
              <w:rPr>
                <w:rFonts w:eastAsia="Times New Roman" w:cs="Arial"/>
                <w:b/>
                <w:bCs/>
                <w:szCs w:val="24"/>
              </w:rPr>
              <w:t>-</w:t>
            </w:r>
            <w:r w:rsidRPr="00EA0DC7">
              <w:rPr>
                <w:rFonts w:eastAsia="Times New Roman" w:cs="Arial"/>
                <w:b/>
                <w:bCs/>
                <w:szCs w:val="24"/>
              </w:rPr>
              <w:t>ng/monit</w:t>
            </w:r>
            <w:r w:rsidR="00981DD9" w:rsidRPr="00EA0DC7">
              <w:rPr>
                <w:rFonts w:eastAsia="Times New Roman" w:cs="Arial"/>
                <w:b/>
                <w:bCs/>
                <w:szCs w:val="24"/>
              </w:rPr>
              <w:t>-</w:t>
            </w:r>
            <w:r w:rsidRPr="00EA0DC7">
              <w:rPr>
                <w:rFonts w:eastAsia="Times New Roman" w:cs="Arial"/>
                <w:b/>
                <w:bCs/>
                <w:szCs w:val="24"/>
              </w:rPr>
              <w:t>oring work with clients</w:t>
            </w:r>
          </w:p>
        </w:tc>
        <w:tc>
          <w:tcPr>
            <w:tcW w:w="1560" w:type="dxa"/>
            <w:tcBorders>
              <w:top w:val="single" w:sz="4" w:space="0" w:color="auto"/>
              <w:left w:val="nil"/>
              <w:bottom w:val="single" w:sz="4" w:space="0" w:color="auto"/>
              <w:right w:val="nil"/>
            </w:tcBorders>
            <w:vAlign w:val="center"/>
          </w:tcPr>
          <w:p w14:paraId="507E2864" w14:textId="77777777" w:rsidR="003F0CDB" w:rsidRPr="00EA0DC7" w:rsidRDefault="003F0CDB" w:rsidP="0045031E">
            <w:pPr>
              <w:spacing w:before="240" w:line="240" w:lineRule="auto"/>
              <w:jc w:val="center"/>
              <w:rPr>
                <w:rFonts w:eastAsia="Times New Roman" w:cs="Arial"/>
                <w:b/>
                <w:bCs/>
                <w:szCs w:val="24"/>
              </w:rPr>
            </w:pPr>
            <w:r w:rsidRPr="00EA0DC7">
              <w:rPr>
                <w:rFonts w:eastAsia="Times New Roman" w:cs="Arial"/>
                <w:b/>
                <w:bCs/>
                <w:szCs w:val="24"/>
              </w:rPr>
              <w:t>Feedback from supervisor and/or supervisee</w:t>
            </w:r>
          </w:p>
        </w:tc>
        <w:tc>
          <w:tcPr>
            <w:tcW w:w="1134" w:type="dxa"/>
            <w:tcBorders>
              <w:top w:val="single" w:sz="4" w:space="0" w:color="auto"/>
              <w:left w:val="nil"/>
              <w:bottom w:val="single" w:sz="4" w:space="0" w:color="auto"/>
              <w:right w:val="nil"/>
            </w:tcBorders>
            <w:vAlign w:val="center"/>
          </w:tcPr>
          <w:p w14:paraId="12E07480" w14:textId="4B22F566" w:rsidR="003F0CDB" w:rsidRPr="00EA0DC7" w:rsidRDefault="003F0CDB" w:rsidP="0045031E">
            <w:pPr>
              <w:spacing w:before="240" w:line="240" w:lineRule="auto"/>
              <w:jc w:val="center"/>
              <w:rPr>
                <w:rFonts w:eastAsia="Times New Roman" w:cs="Arial"/>
                <w:b/>
                <w:bCs/>
                <w:szCs w:val="24"/>
              </w:rPr>
            </w:pPr>
            <w:r w:rsidRPr="00EA0DC7">
              <w:rPr>
                <w:rFonts w:eastAsia="Times New Roman" w:cs="Arial"/>
                <w:b/>
                <w:bCs/>
                <w:szCs w:val="24"/>
              </w:rPr>
              <w:t>Feed</w:t>
            </w:r>
            <w:r w:rsidR="00981DD9" w:rsidRPr="00EA0DC7">
              <w:rPr>
                <w:rFonts w:eastAsia="Times New Roman" w:cs="Arial"/>
                <w:b/>
                <w:bCs/>
                <w:szCs w:val="24"/>
              </w:rPr>
              <w:t>-</w:t>
            </w:r>
            <w:r w:rsidRPr="00EA0DC7">
              <w:rPr>
                <w:rFonts w:eastAsia="Times New Roman" w:cs="Arial"/>
                <w:b/>
                <w:bCs/>
                <w:szCs w:val="24"/>
              </w:rPr>
              <w:t>back from clients</w:t>
            </w:r>
          </w:p>
        </w:tc>
      </w:tr>
      <w:tr w:rsidR="00EA0DC7" w:rsidRPr="00EA0DC7" w14:paraId="3EF250D4" w14:textId="77777777" w:rsidTr="00891F1E">
        <w:trPr>
          <w:trHeight w:val="1112"/>
        </w:trPr>
        <w:tc>
          <w:tcPr>
            <w:tcW w:w="3119" w:type="dxa"/>
            <w:tcBorders>
              <w:top w:val="single" w:sz="4" w:space="0" w:color="auto"/>
              <w:left w:val="nil"/>
              <w:right w:val="nil"/>
              <w:tl2br w:val="single" w:sz="4" w:space="0" w:color="auto"/>
            </w:tcBorders>
            <w:shd w:val="clear" w:color="auto" w:fill="auto"/>
            <w:hideMark/>
          </w:tcPr>
          <w:p w14:paraId="44907F0E" w14:textId="77777777" w:rsidR="003F0CDB" w:rsidRPr="00EA0DC7" w:rsidRDefault="003F0CDB" w:rsidP="0045031E">
            <w:pPr>
              <w:spacing w:before="240" w:after="0" w:line="240" w:lineRule="auto"/>
              <w:jc w:val="right"/>
              <w:rPr>
                <w:rFonts w:eastAsia="Times New Roman" w:cs="Arial"/>
                <w:b/>
                <w:szCs w:val="24"/>
              </w:rPr>
            </w:pPr>
            <w:r w:rsidRPr="00EA0DC7">
              <w:rPr>
                <w:rFonts w:eastAsia="Times New Roman" w:cs="Arial"/>
                <w:b/>
                <w:szCs w:val="24"/>
              </w:rPr>
              <w:t>No. of models</w:t>
            </w:r>
          </w:p>
          <w:p w14:paraId="766706DD" w14:textId="77777777" w:rsidR="003F0CDB" w:rsidRPr="00EA0DC7" w:rsidRDefault="003F0CDB" w:rsidP="00957911">
            <w:pPr>
              <w:spacing w:after="0" w:line="240" w:lineRule="auto"/>
              <w:jc w:val="right"/>
              <w:rPr>
                <w:rFonts w:eastAsia="Times New Roman" w:cs="Arial"/>
                <w:b/>
                <w:szCs w:val="24"/>
              </w:rPr>
            </w:pPr>
            <w:r w:rsidRPr="00EA0DC7">
              <w:rPr>
                <w:rFonts w:eastAsia="Times New Roman" w:cs="Arial"/>
                <w:b/>
                <w:szCs w:val="24"/>
              </w:rPr>
              <w:t>with</w:t>
            </w:r>
          </w:p>
          <w:p w14:paraId="697F30C3" w14:textId="77777777" w:rsidR="003F0CDB" w:rsidRPr="00EA0DC7" w:rsidRDefault="003F0CDB" w:rsidP="00957911">
            <w:pPr>
              <w:spacing w:after="0" w:line="240" w:lineRule="auto"/>
              <w:jc w:val="right"/>
              <w:rPr>
                <w:rFonts w:eastAsia="Times New Roman" w:cs="Arial"/>
                <w:b/>
                <w:bCs/>
                <w:szCs w:val="24"/>
              </w:rPr>
            </w:pPr>
            <w:r w:rsidRPr="00EA0DC7">
              <w:rPr>
                <w:rFonts w:eastAsia="Times New Roman" w:cs="Arial"/>
                <w:b/>
                <w:szCs w:val="24"/>
              </w:rPr>
              <w:t>element</w:t>
            </w:r>
          </w:p>
          <w:p w14:paraId="4F7E9902" w14:textId="77777777" w:rsidR="003F0CDB" w:rsidRPr="00EA0DC7" w:rsidRDefault="003F0CDB" w:rsidP="0045031E">
            <w:pPr>
              <w:spacing w:line="240" w:lineRule="auto"/>
              <w:rPr>
                <w:rFonts w:eastAsia="Times New Roman" w:cs="Arial"/>
                <w:b/>
                <w:bCs/>
                <w:szCs w:val="24"/>
              </w:rPr>
            </w:pPr>
            <w:r w:rsidRPr="00EA0DC7">
              <w:rPr>
                <w:rFonts w:eastAsia="Times New Roman" w:cs="Arial"/>
                <w:b/>
                <w:bCs/>
                <w:szCs w:val="24"/>
              </w:rPr>
              <w:t>Model/ approach</w:t>
            </w:r>
          </w:p>
        </w:tc>
        <w:tc>
          <w:tcPr>
            <w:tcW w:w="1701" w:type="dxa"/>
            <w:tcBorders>
              <w:top w:val="single" w:sz="4" w:space="0" w:color="auto"/>
              <w:left w:val="nil"/>
              <w:right w:val="nil"/>
            </w:tcBorders>
            <w:shd w:val="clear" w:color="auto" w:fill="auto"/>
            <w:vAlign w:val="center"/>
            <w:hideMark/>
          </w:tcPr>
          <w:p w14:paraId="46C0B858"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31</w:t>
            </w:r>
          </w:p>
          <w:p w14:paraId="6A6CE0E8"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(59.62%)</w:t>
            </w:r>
          </w:p>
        </w:tc>
        <w:tc>
          <w:tcPr>
            <w:tcW w:w="1417" w:type="dxa"/>
            <w:tcBorders>
              <w:top w:val="single" w:sz="4" w:space="0" w:color="auto"/>
              <w:left w:val="nil"/>
              <w:right w:val="nil"/>
            </w:tcBorders>
            <w:shd w:val="clear" w:color="auto" w:fill="auto"/>
            <w:vAlign w:val="center"/>
            <w:hideMark/>
          </w:tcPr>
          <w:p w14:paraId="6DFD156C"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7</w:t>
            </w:r>
          </w:p>
          <w:p w14:paraId="212BB4B7"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(13.46%)</w:t>
            </w:r>
          </w:p>
        </w:tc>
        <w:tc>
          <w:tcPr>
            <w:tcW w:w="1560" w:type="dxa"/>
            <w:tcBorders>
              <w:top w:val="single" w:sz="4" w:space="0" w:color="auto"/>
              <w:left w:val="nil"/>
              <w:right w:val="nil"/>
            </w:tcBorders>
            <w:vAlign w:val="center"/>
          </w:tcPr>
          <w:p w14:paraId="24C09A49"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30</w:t>
            </w:r>
          </w:p>
          <w:p w14:paraId="0BEBB924"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(57.69%)</w:t>
            </w:r>
          </w:p>
        </w:tc>
        <w:tc>
          <w:tcPr>
            <w:tcW w:w="1134" w:type="dxa"/>
            <w:tcBorders>
              <w:top w:val="single" w:sz="4" w:space="0" w:color="auto"/>
              <w:left w:val="nil"/>
              <w:right w:val="nil"/>
            </w:tcBorders>
            <w:vAlign w:val="center"/>
          </w:tcPr>
          <w:p w14:paraId="6D2A4CA7"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w:t>
            </w:r>
          </w:p>
          <w:p w14:paraId="0ACB93D0"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(3.85%)</w:t>
            </w:r>
          </w:p>
        </w:tc>
      </w:tr>
      <w:tr w:rsidR="00EA0DC7" w:rsidRPr="00EA0DC7" w14:paraId="448E65BE" w14:textId="77777777" w:rsidTr="00891F1E">
        <w:trPr>
          <w:trHeight w:val="573"/>
        </w:trPr>
        <w:tc>
          <w:tcPr>
            <w:tcW w:w="3119" w:type="dxa"/>
            <w:tcBorders>
              <w:left w:val="nil"/>
              <w:bottom w:val="nil"/>
              <w:right w:val="nil"/>
            </w:tcBorders>
            <w:shd w:val="clear" w:color="auto" w:fill="auto"/>
            <w:hideMark/>
          </w:tcPr>
          <w:p w14:paraId="7113ACAE" w14:textId="77777777" w:rsidR="003F0CDB" w:rsidRPr="00EA0DC7" w:rsidRDefault="003F0CDB" w:rsidP="0045031E">
            <w:pPr>
              <w:spacing w:before="240" w:line="240" w:lineRule="auto"/>
              <w:jc w:val="left"/>
              <w:rPr>
                <w:rFonts w:eastAsia="Times New Roman" w:cs="Arial"/>
                <w:szCs w:val="24"/>
              </w:rPr>
            </w:pPr>
            <w:r w:rsidRPr="00EA0DC7">
              <w:rPr>
                <w:rFonts w:eastAsia="Times New Roman" w:cs="Arial"/>
                <w:szCs w:val="24"/>
              </w:rPr>
              <w:t>Hogan (1964)</w:t>
            </w:r>
          </w:p>
        </w:tc>
        <w:tc>
          <w:tcPr>
            <w:tcW w:w="1701" w:type="dxa"/>
            <w:tcBorders>
              <w:left w:val="nil"/>
              <w:bottom w:val="nil"/>
              <w:right w:val="nil"/>
            </w:tcBorders>
            <w:shd w:val="clear" w:color="auto" w:fill="auto"/>
            <w:noWrap/>
            <w:vAlign w:val="center"/>
            <w:hideMark/>
          </w:tcPr>
          <w:p w14:paraId="1AD47CFC" w14:textId="77777777" w:rsidR="003F0CDB" w:rsidRPr="00EA0DC7" w:rsidRDefault="003F0CDB" w:rsidP="00957911">
            <w:pPr>
              <w:spacing w:line="240" w:lineRule="auto"/>
              <w:jc w:val="center"/>
              <w:rPr>
                <w:rFonts w:eastAsia="Times New Roman" w:cs="Arial"/>
                <w:szCs w:val="24"/>
              </w:rPr>
            </w:pPr>
          </w:p>
        </w:tc>
        <w:tc>
          <w:tcPr>
            <w:tcW w:w="1417" w:type="dxa"/>
            <w:tcBorders>
              <w:left w:val="nil"/>
              <w:bottom w:val="nil"/>
              <w:right w:val="nil"/>
            </w:tcBorders>
            <w:shd w:val="clear" w:color="auto" w:fill="auto"/>
            <w:noWrap/>
            <w:vAlign w:val="center"/>
            <w:hideMark/>
          </w:tcPr>
          <w:p w14:paraId="64CB8711" w14:textId="77777777" w:rsidR="003F0CDB" w:rsidRPr="00EA0DC7" w:rsidRDefault="003F0CDB" w:rsidP="00957911">
            <w:pPr>
              <w:spacing w:line="240" w:lineRule="auto"/>
              <w:jc w:val="center"/>
              <w:rPr>
                <w:rFonts w:eastAsia="Times New Roman" w:cs="Arial"/>
                <w:szCs w:val="24"/>
              </w:rPr>
            </w:pPr>
          </w:p>
        </w:tc>
        <w:tc>
          <w:tcPr>
            <w:tcW w:w="1560" w:type="dxa"/>
            <w:tcBorders>
              <w:left w:val="nil"/>
              <w:bottom w:val="nil"/>
              <w:right w:val="nil"/>
            </w:tcBorders>
            <w:vAlign w:val="center"/>
          </w:tcPr>
          <w:p w14:paraId="6F0987DE" w14:textId="77777777" w:rsidR="003F0CDB" w:rsidRPr="00EA0DC7" w:rsidRDefault="003F0CDB" w:rsidP="00957911">
            <w:pPr>
              <w:spacing w:line="240" w:lineRule="auto"/>
              <w:jc w:val="center"/>
              <w:rPr>
                <w:rFonts w:eastAsia="Times New Roman" w:cs="Arial"/>
                <w:szCs w:val="24"/>
              </w:rPr>
            </w:pPr>
          </w:p>
        </w:tc>
        <w:tc>
          <w:tcPr>
            <w:tcW w:w="1134" w:type="dxa"/>
            <w:tcBorders>
              <w:left w:val="nil"/>
              <w:bottom w:val="nil"/>
              <w:right w:val="nil"/>
            </w:tcBorders>
            <w:vAlign w:val="center"/>
          </w:tcPr>
          <w:p w14:paraId="5BAE30AE" w14:textId="77777777" w:rsidR="003F0CDB" w:rsidRPr="00EA0DC7" w:rsidRDefault="003F0CDB" w:rsidP="00957911">
            <w:pPr>
              <w:spacing w:line="240" w:lineRule="auto"/>
              <w:jc w:val="center"/>
              <w:rPr>
                <w:rFonts w:eastAsia="Times New Roman" w:cs="Arial"/>
                <w:szCs w:val="24"/>
              </w:rPr>
            </w:pPr>
          </w:p>
        </w:tc>
      </w:tr>
      <w:tr w:rsidR="00EA0DC7" w:rsidRPr="00EA0DC7" w14:paraId="027CC070" w14:textId="77777777" w:rsidTr="00891F1E">
        <w:trPr>
          <w:trHeight w:val="423"/>
        </w:trPr>
        <w:tc>
          <w:tcPr>
            <w:tcW w:w="3119" w:type="dxa"/>
            <w:tcBorders>
              <w:top w:val="nil"/>
              <w:left w:val="nil"/>
              <w:bottom w:val="nil"/>
              <w:right w:val="nil"/>
            </w:tcBorders>
            <w:shd w:val="clear" w:color="auto" w:fill="auto"/>
            <w:hideMark/>
          </w:tcPr>
          <w:p w14:paraId="25E1FE65"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Ekstein &amp; Wallerstein (1972)</w:t>
            </w:r>
          </w:p>
        </w:tc>
        <w:tc>
          <w:tcPr>
            <w:tcW w:w="1701" w:type="dxa"/>
            <w:tcBorders>
              <w:top w:val="nil"/>
              <w:left w:val="nil"/>
              <w:bottom w:val="nil"/>
              <w:right w:val="nil"/>
            </w:tcBorders>
            <w:shd w:val="clear" w:color="auto" w:fill="auto"/>
            <w:noWrap/>
            <w:vAlign w:val="center"/>
            <w:hideMark/>
          </w:tcPr>
          <w:p w14:paraId="69E9306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31F28C60"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4100181D"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3BA9F730" w14:textId="77777777" w:rsidR="003F0CDB" w:rsidRPr="00EA0DC7" w:rsidRDefault="003F0CDB" w:rsidP="00957911">
            <w:pPr>
              <w:spacing w:line="240" w:lineRule="auto"/>
              <w:jc w:val="center"/>
              <w:rPr>
                <w:rFonts w:eastAsia="Times New Roman" w:cs="Arial"/>
                <w:szCs w:val="24"/>
              </w:rPr>
            </w:pPr>
          </w:p>
        </w:tc>
      </w:tr>
      <w:tr w:rsidR="00EA0DC7" w:rsidRPr="00EA0DC7" w14:paraId="138FFAA2" w14:textId="77777777" w:rsidTr="00891F1E">
        <w:trPr>
          <w:trHeight w:val="80"/>
        </w:trPr>
        <w:tc>
          <w:tcPr>
            <w:tcW w:w="3119" w:type="dxa"/>
            <w:tcBorders>
              <w:top w:val="nil"/>
              <w:left w:val="nil"/>
              <w:bottom w:val="nil"/>
              <w:right w:val="nil"/>
            </w:tcBorders>
            <w:shd w:val="clear" w:color="auto" w:fill="auto"/>
            <w:hideMark/>
          </w:tcPr>
          <w:p w14:paraId="06EF2D8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Mueller &amp; Kell (1971)</w:t>
            </w:r>
          </w:p>
        </w:tc>
        <w:tc>
          <w:tcPr>
            <w:tcW w:w="1701" w:type="dxa"/>
            <w:tcBorders>
              <w:top w:val="nil"/>
              <w:left w:val="nil"/>
              <w:bottom w:val="nil"/>
              <w:right w:val="nil"/>
            </w:tcBorders>
            <w:shd w:val="clear" w:color="auto" w:fill="auto"/>
            <w:noWrap/>
            <w:vAlign w:val="center"/>
            <w:hideMark/>
          </w:tcPr>
          <w:p w14:paraId="20B36227"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1CC93A2B"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6EC93D33"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393DD137" w14:textId="77777777" w:rsidR="003F0CDB" w:rsidRPr="00EA0DC7" w:rsidRDefault="003F0CDB" w:rsidP="00957911">
            <w:pPr>
              <w:spacing w:line="240" w:lineRule="auto"/>
              <w:jc w:val="center"/>
              <w:rPr>
                <w:rFonts w:eastAsia="Times New Roman" w:cs="Arial"/>
                <w:szCs w:val="24"/>
              </w:rPr>
            </w:pPr>
          </w:p>
        </w:tc>
      </w:tr>
      <w:tr w:rsidR="00EA0DC7" w:rsidRPr="00EA0DC7" w14:paraId="0EE20BC0" w14:textId="77777777" w:rsidTr="00891F1E">
        <w:trPr>
          <w:trHeight w:val="80"/>
        </w:trPr>
        <w:tc>
          <w:tcPr>
            <w:tcW w:w="3119" w:type="dxa"/>
            <w:tcBorders>
              <w:top w:val="nil"/>
              <w:left w:val="nil"/>
              <w:bottom w:val="nil"/>
              <w:right w:val="nil"/>
            </w:tcBorders>
            <w:shd w:val="clear" w:color="auto" w:fill="auto"/>
            <w:hideMark/>
          </w:tcPr>
          <w:p w14:paraId="158ECF8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Delaney (1972)</w:t>
            </w:r>
          </w:p>
        </w:tc>
        <w:tc>
          <w:tcPr>
            <w:tcW w:w="1701" w:type="dxa"/>
            <w:tcBorders>
              <w:top w:val="nil"/>
              <w:left w:val="nil"/>
              <w:bottom w:val="nil"/>
              <w:right w:val="nil"/>
            </w:tcBorders>
            <w:shd w:val="clear" w:color="auto" w:fill="auto"/>
            <w:noWrap/>
            <w:vAlign w:val="center"/>
            <w:hideMark/>
          </w:tcPr>
          <w:p w14:paraId="22BD1EA1"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4C4CC820"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8A651F6"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5FA31824" w14:textId="77777777" w:rsidR="003F0CDB" w:rsidRPr="00EA0DC7" w:rsidRDefault="003F0CDB" w:rsidP="00957911">
            <w:pPr>
              <w:spacing w:line="240" w:lineRule="auto"/>
              <w:jc w:val="center"/>
              <w:rPr>
                <w:rFonts w:eastAsia="Times New Roman" w:cs="Arial"/>
                <w:szCs w:val="24"/>
              </w:rPr>
            </w:pPr>
          </w:p>
        </w:tc>
      </w:tr>
      <w:tr w:rsidR="00EA0DC7" w:rsidRPr="00EA0DC7" w14:paraId="6D22C022" w14:textId="77777777" w:rsidTr="00891F1E">
        <w:trPr>
          <w:trHeight w:val="80"/>
        </w:trPr>
        <w:tc>
          <w:tcPr>
            <w:tcW w:w="3119" w:type="dxa"/>
            <w:tcBorders>
              <w:top w:val="nil"/>
              <w:left w:val="nil"/>
              <w:bottom w:val="nil"/>
              <w:right w:val="nil"/>
            </w:tcBorders>
            <w:shd w:val="clear" w:color="auto" w:fill="auto"/>
            <w:hideMark/>
          </w:tcPr>
          <w:p w14:paraId="10E98318"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Ard (1973)</w:t>
            </w:r>
          </w:p>
        </w:tc>
        <w:tc>
          <w:tcPr>
            <w:tcW w:w="1701" w:type="dxa"/>
            <w:tcBorders>
              <w:top w:val="nil"/>
              <w:left w:val="nil"/>
              <w:bottom w:val="nil"/>
              <w:right w:val="nil"/>
            </w:tcBorders>
            <w:shd w:val="clear" w:color="auto" w:fill="auto"/>
            <w:noWrap/>
            <w:vAlign w:val="center"/>
            <w:hideMark/>
          </w:tcPr>
          <w:p w14:paraId="6956E7FD"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460EBE8F"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EB15222"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33A8C88E" w14:textId="77777777" w:rsidR="003F0CDB" w:rsidRPr="00EA0DC7" w:rsidRDefault="003F0CDB" w:rsidP="00957911">
            <w:pPr>
              <w:spacing w:line="240" w:lineRule="auto"/>
              <w:jc w:val="center"/>
              <w:rPr>
                <w:rFonts w:eastAsia="Times New Roman" w:cs="Arial"/>
                <w:szCs w:val="24"/>
              </w:rPr>
            </w:pPr>
          </w:p>
        </w:tc>
      </w:tr>
      <w:tr w:rsidR="00EA0DC7" w:rsidRPr="00EA0DC7" w14:paraId="08B6DF7B" w14:textId="77777777" w:rsidTr="00891F1E">
        <w:trPr>
          <w:trHeight w:val="80"/>
        </w:trPr>
        <w:tc>
          <w:tcPr>
            <w:tcW w:w="3119" w:type="dxa"/>
            <w:tcBorders>
              <w:top w:val="nil"/>
              <w:left w:val="nil"/>
              <w:bottom w:val="nil"/>
              <w:right w:val="nil"/>
            </w:tcBorders>
            <w:shd w:val="clear" w:color="auto" w:fill="auto"/>
            <w:hideMark/>
          </w:tcPr>
          <w:p w14:paraId="6931BC4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Bernard (1979)</w:t>
            </w:r>
          </w:p>
        </w:tc>
        <w:tc>
          <w:tcPr>
            <w:tcW w:w="1701" w:type="dxa"/>
            <w:tcBorders>
              <w:top w:val="nil"/>
              <w:left w:val="nil"/>
              <w:bottom w:val="nil"/>
              <w:right w:val="nil"/>
            </w:tcBorders>
            <w:shd w:val="clear" w:color="auto" w:fill="auto"/>
            <w:noWrap/>
            <w:vAlign w:val="center"/>
            <w:hideMark/>
          </w:tcPr>
          <w:p w14:paraId="3411E22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D1E3954"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7B8A1DB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7CA2B2EB" w14:textId="77777777" w:rsidR="003F0CDB" w:rsidRPr="00EA0DC7" w:rsidRDefault="003F0CDB" w:rsidP="00957911">
            <w:pPr>
              <w:spacing w:line="240" w:lineRule="auto"/>
              <w:jc w:val="center"/>
              <w:rPr>
                <w:rFonts w:eastAsia="Times New Roman" w:cs="Arial"/>
                <w:szCs w:val="24"/>
              </w:rPr>
            </w:pPr>
          </w:p>
        </w:tc>
      </w:tr>
      <w:tr w:rsidR="00EA0DC7" w:rsidRPr="00EA0DC7" w14:paraId="4476BE2F" w14:textId="77777777" w:rsidTr="00891F1E">
        <w:trPr>
          <w:trHeight w:val="80"/>
        </w:trPr>
        <w:tc>
          <w:tcPr>
            <w:tcW w:w="3119" w:type="dxa"/>
            <w:tcBorders>
              <w:top w:val="nil"/>
              <w:left w:val="nil"/>
              <w:bottom w:val="nil"/>
              <w:right w:val="nil"/>
            </w:tcBorders>
            <w:shd w:val="clear" w:color="auto" w:fill="auto"/>
            <w:hideMark/>
          </w:tcPr>
          <w:p w14:paraId="6AA819C5"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Littrell et al. (1979)</w:t>
            </w:r>
          </w:p>
        </w:tc>
        <w:tc>
          <w:tcPr>
            <w:tcW w:w="1701" w:type="dxa"/>
            <w:tcBorders>
              <w:top w:val="nil"/>
              <w:left w:val="nil"/>
              <w:bottom w:val="nil"/>
              <w:right w:val="nil"/>
            </w:tcBorders>
            <w:shd w:val="clear" w:color="auto" w:fill="auto"/>
            <w:noWrap/>
            <w:vAlign w:val="center"/>
            <w:hideMark/>
          </w:tcPr>
          <w:p w14:paraId="4DF17B3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44111FAF"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FF95E94"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7CAE4414" w14:textId="77777777" w:rsidR="003F0CDB" w:rsidRPr="00EA0DC7" w:rsidRDefault="003F0CDB" w:rsidP="00957911">
            <w:pPr>
              <w:spacing w:line="240" w:lineRule="auto"/>
              <w:jc w:val="center"/>
              <w:rPr>
                <w:rFonts w:eastAsia="Times New Roman" w:cs="Arial"/>
                <w:szCs w:val="24"/>
              </w:rPr>
            </w:pPr>
          </w:p>
        </w:tc>
      </w:tr>
      <w:tr w:rsidR="00EA0DC7" w:rsidRPr="00EA0DC7" w14:paraId="7BF7EAF0" w14:textId="77777777" w:rsidTr="00891F1E">
        <w:trPr>
          <w:trHeight w:val="459"/>
        </w:trPr>
        <w:tc>
          <w:tcPr>
            <w:tcW w:w="3119" w:type="dxa"/>
            <w:tcBorders>
              <w:top w:val="nil"/>
              <w:left w:val="nil"/>
              <w:bottom w:val="nil"/>
              <w:right w:val="nil"/>
            </w:tcBorders>
            <w:shd w:val="clear" w:color="auto" w:fill="auto"/>
            <w:hideMark/>
          </w:tcPr>
          <w:p w14:paraId="1A6AE1E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Langs (1980)</w:t>
            </w:r>
          </w:p>
        </w:tc>
        <w:tc>
          <w:tcPr>
            <w:tcW w:w="1701" w:type="dxa"/>
            <w:tcBorders>
              <w:top w:val="nil"/>
              <w:left w:val="nil"/>
              <w:bottom w:val="nil"/>
              <w:right w:val="nil"/>
            </w:tcBorders>
            <w:shd w:val="clear" w:color="auto" w:fill="auto"/>
            <w:noWrap/>
            <w:vAlign w:val="center"/>
            <w:hideMark/>
          </w:tcPr>
          <w:p w14:paraId="1169F43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8CA1DB9"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6CE309D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5CFD4975" w14:textId="77777777" w:rsidR="003F0CDB" w:rsidRPr="00EA0DC7" w:rsidRDefault="003F0CDB" w:rsidP="00957911">
            <w:pPr>
              <w:spacing w:line="240" w:lineRule="auto"/>
              <w:jc w:val="center"/>
              <w:rPr>
                <w:rFonts w:eastAsia="Times New Roman" w:cs="Arial"/>
                <w:szCs w:val="24"/>
              </w:rPr>
            </w:pPr>
          </w:p>
        </w:tc>
      </w:tr>
      <w:tr w:rsidR="00EA0DC7" w:rsidRPr="00EA0DC7" w14:paraId="282A2632" w14:textId="77777777" w:rsidTr="00891F1E">
        <w:trPr>
          <w:trHeight w:val="235"/>
        </w:trPr>
        <w:tc>
          <w:tcPr>
            <w:tcW w:w="3119" w:type="dxa"/>
            <w:tcBorders>
              <w:top w:val="nil"/>
              <w:left w:val="nil"/>
              <w:bottom w:val="nil"/>
              <w:right w:val="nil"/>
            </w:tcBorders>
            <w:shd w:val="clear" w:color="auto" w:fill="auto"/>
            <w:hideMark/>
          </w:tcPr>
          <w:p w14:paraId="70FCE66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Rice (1980)</w:t>
            </w:r>
          </w:p>
        </w:tc>
        <w:tc>
          <w:tcPr>
            <w:tcW w:w="1701" w:type="dxa"/>
            <w:tcBorders>
              <w:top w:val="nil"/>
              <w:left w:val="nil"/>
              <w:bottom w:val="nil"/>
              <w:right w:val="nil"/>
            </w:tcBorders>
            <w:shd w:val="clear" w:color="auto" w:fill="auto"/>
            <w:noWrap/>
            <w:vAlign w:val="center"/>
            <w:hideMark/>
          </w:tcPr>
          <w:p w14:paraId="312103D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5A9E49DE"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0584AAE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4D9D5747" w14:textId="77777777" w:rsidR="003F0CDB" w:rsidRPr="00EA0DC7" w:rsidRDefault="003F0CDB" w:rsidP="00957911">
            <w:pPr>
              <w:spacing w:line="240" w:lineRule="auto"/>
              <w:jc w:val="center"/>
              <w:rPr>
                <w:rFonts w:eastAsia="Times New Roman" w:cs="Arial"/>
                <w:szCs w:val="24"/>
              </w:rPr>
            </w:pPr>
          </w:p>
        </w:tc>
      </w:tr>
      <w:tr w:rsidR="00EA0DC7" w:rsidRPr="00EA0DC7" w14:paraId="2AA7F652" w14:textId="77777777" w:rsidTr="00891F1E">
        <w:trPr>
          <w:trHeight w:val="135"/>
        </w:trPr>
        <w:tc>
          <w:tcPr>
            <w:tcW w:w="3119" w:type="dxa"/>
            <w:tcBorders>
              <w:top w:val="nil"/>
              <w:left w:val="nil"/>
              <w:bottom w:val="nil"/>
              <w:right w:val="nil"/>
            </w:tcBorders>
            <w:shd w:val="clear" w:color="auto" w:fill="auto"/>
            <w:hideMark/>
          </w:tcPr>
          <w:p w14:paraId="7408191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Linehan (1980)</w:t>
            </w:r>
          </w:p>
        </w:tc>
        <w:tc>
          <w:tcPr>
            <w:tcW w:w="1701" w:type="dxa"/>
            <w:tcBorders>
              <w:top w:val="nil"/>
              <w:left w:val="nil"/>
              <w:bottom w:val="nil"/>
              <w:right w:val="nil"/>
            </w:tcBorders>
            <w:shd w:val="clear" w:color="auto" w:fill="auto"/>
            <w:noWrap/>
            <w:vAlign w:val="center"/>
            <w:hideMark/>
          </w:tcPr>
          <w:p w14:paraId="75B85C4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3CB8FB9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nil"/>
              <w:left w:val="nil"/>
              <w:bottom w:val="nil"/>
              <w:right w:val="nil"/>
            </w:tcBorders>
            <w:vAlign w:val="center"/>
          </w:tcPr>
          <w:p w14:paraId="1F999E9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6364BCB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EA0DC7" w:rsidRPr="00EA0DC7" w14:paraId="2B06108C" w14:textId="77777777" w:rsidTr="00891F1E">
        <w:trPr>
          <w:trHeight w:val="238"/>
        </w:trPr>
        <w:tc>
          <w:tcPr>
            <w:tcW w:w="3119" w:type="dxa"/>
            <w:tcBorders>
              <w:top w:val="nil"/>
              <w:left w:val="nil"/>
              <w:right w:val="nil"/>
            </w:tcBorders>
            <w:shd w:val="clear" w:color="auto" w:fill="auto"/>
            <w:hideMark/>
          </w:tcPr>
          <w:p w14:paraId="08A172B9"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Beier &amp; Young (1980)</w:t>
            </w:r>
          </w:p>
        </w:tc>
        <w:tc>
          <w:tcPr>
            <w:tcW w:w="1701" w:type="dxa"/>
            <w:tcBorders>
              <w:top w:val="nil"/>
              <w:left w:val="nil"/>
              <w:right w:val="nil"/>
            </w:tcBorders>
            <w:shd w:val="clear" w:color="auto" w:fill="auto"/>
            <w:noWrap/>
            <w:vAlign w:val="center"/>
            <w:hideMark/>
          </w:tcPr>
          <w:p w14:paraId="34BAC8E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right w:val="nil"/>
            </w:tcBorders>
            <w:shd w:val="clear" w:color="auto" w:fill="auto"/>
            <w:noWrap/>
            <w:vAlign w:val="center"/>
            <w:hideMark/>
          </w:tcPr>
          <w:p w14:paraId="7CB9E10A"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01FB336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vAlign w:val="center"/>
          </w:tcPr>
          <w:p w14:paraId="1CEF7FC9" w14:textId="77777777" w:rsidR="003F0CDB" w:rsidRPr="00EA0DC7" w:rsidRDefault="003F0CDB" w:rsidP="00957911">
            <w:pPr>
              <w:spacing w:line="240" w:lineRule="auto"/>
              <w:jc w:val="center"/>
              <w:rPr>
                <w:rFonts w:eastAsia="Times New Roman" w:cs="Arial"/>
                <w:szCs w:val="24"/>
              </w:rPr>
            </w:pPr>
          </w:p>
        </w:tc>
      </w:tr>
      <w:tr w:rsidR="00EA0DC7" w:rsidRPr="00EA0DC7" w14:paraId="58BF65AF" w14:textId="77777777" w:rsidTr="00891F1E">
        <w:trPr>
          <w:trHeight w:val="459"/>
        </w:trPr>
        <w:tc>
          <w:tcPr>
            <w:tcW w:w="3119" w:type="dxa"/>
            <w:tcBorders>
              <w:top w:val="nil"/>
              <w:left w:val="nil"/>
              <w:right w:val="nil"/>
            </w:tcBorders>
            <w:shd w:val="clear" w:color="auto" w:fill="auto"/>
            <w:hideMark/>
          </w:tcPr>
          <w:p w14:paraId="22B5A321"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Stoltenberg (1981)</w:t>
            </w:r>
          </w:p>
        </w:tc>
        <w:tc>
          <w:tcPr>
            <w:tcW w:w="1701" w:type="dxa"/>
            <w:tcBorders>
              <w:top w:val="nil"/>
              <w:left w:val="nil"/>
              <w:right w:val="nil"/>
            </w:tcBorders>
            <w:shd w:val="clear" w:color="auto" w:fill="auto"/>
            <w:noWrap/>
            <w:vAlign w:val="center"/>
            <w:hideMark/>
          </w:tcPr>
          <w:p w14:paraId="2D3FDB6B"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right w:val="nil"/>
            </w:tcBorders>
            <w:shd w:val="clear" w:color="auto" w:fill="auto"/>
            <w:noWrap/>
            <w:vAlign w:val="center"/>
            <w:hideMark/>
          </w:tcPr>
          <w:p w14:paraId="05D154B7"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4AABB6D6"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vAlign w:val="center"/>
          </w:tcPr>
          <w:p w14:paraId="38921F16" w14:textId="77777777" w:rsidR="003F0CDB" w:rsidRPr="00EA0DC7" w:rsidRDefault="003F0CDB" w:rsidP="00957911">
            <w:pPr>
              <w:spacing w:line="240" w:lineRule="auto"/>
              <w:jc w:val="center"/>
              <w:rPr>
                <w:rFonts w:eastAsia="Times New Roman" w:cs="Arial"/>
                <w:szCs w:val="24"/>
              </w:rPr>
            </w:pPr>
          </w:p>
        </w:tc>
      </w:tr>
      <w:tr w:rsidR="00EA0DC7" w:rsidRPr="00EA0DC7" w14:paraId="5CF5AE81" w14:textId="77777777" w:rsidTr="00891F1E">
        <w:trPr>
          <w:trHeight w:val="80"/>
        </w:trPr>
        <w:tc>
          <w:tcPr>
            <w:tcW w:w="3119" w:type="dxa"/>
            <w:tcBorders>
              <w:left w:val="nil"/>
              <w:bottom w:val="nil"/>
              <w:right w:val="nil"/>
            </w:tcBorders>
            <w:shd w:val="clear" w:color="auto" w:fill="auto"/>
            <w:hideMark/>
          </w:tcPr>
          <w:p w14:paraId="41ACCA7C"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Loganbill et al. (1982)</w:t>
            </w:r>
          </w:p>
        </w:tc>
        <w:tc>
          <w:tcPr>
            <w:tcW w:w="1701" w:type="dxa"/>
            <w:tcBorders>
              <w:left w:val="nil"/>
              <w:bottom w:val="nil"/>
              <w:right w:val="nil"/>
            </w:tcBorders>
            <w:shd w:val="clear" w:color="auto" w:fill="auto"/>
            <w:noWrap/>
            <w:vAlign w:val="center"/>
            <w:hideMark/>
          </w:tcPr>
          <w:p w14:paraId="1CE0BDB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left w:val="nil"/>
              <w:bottom w:val="nil"/>
              <w:right w:val="nil"/>
            </w:tcBorders>
            <w:shd w:val="clear" w:color="auto" w:fill="auto"/>
            <w:noWrap/>
            <w:vAlign w:val="center"/>
            <w:hideMark/>
          </w:tcPr>
          <w:p w14:paraId="74DA873E" w14:textId="77777777" w:rsidR="003F0CDB" w:rsidRPr="00EA0DC7" w:rsidRDefault="003F0CDB" w:rsidP="00957911">
            <w:pPr>
              <w:spacing w:line="240" w:lineRule="auto"/>
              <w:jc w:val="center"/>
              <w:rPr>
                <w:rFonts w:eastAsia="Times New Roman" w:cs="Arial"/>
                <w:szCs w:val="24"/>
              </w:rPr>
            </w:pPr>
          </w:p>
        </w:tc>
        <w:tc>
          <w:tcPr>
            <w:tcW w:w="1560" w:type="dxa"/>
            <w:tcBorders>
              <w:left w:val="nil"/>
              <w:bottom w:val="nil"/>
              <w:right w:val="nil"/>
            </w:tcBorders>
            <w:vAlign w:val="center"/>
          </w:tcPr>
          <w:p w14:paraId="7E834217" w14:textId="77777777" w:rsidR="003F0CDB" w:rsidRPr="00EA0DC7" w:rsidRDefault="003F0CDB" w:rsidP="00957911">
            <w:pPr>
              <w:spacing w:line="240" w:lineRule="auto"/>
              <w:jc w:val="center"/>
              <w:rPr>
                <w:rFonts w:eastAsia="Times New Roman" w:cs="Arial"/>
                <w:szCs w:val="24"/>
              </w:rPr>
            </w:pPr>
          </w:p>
        </w:tc>
        <w:tc>
          <w:tcPr>
            <w:tcW w:w="1134" w:type="dxa"/>
            <w:tcBorders>
              <w:left w:val="nil"/>
              <w:bottom w:val="nil"/>
              <w:right w:val="nil"/>
            </w:tcBorders>
            <w:vAlign w:val="center"/>
          </w:tcPr>
          <w:p w14:paraId="0C8B7434" w14:textId="77777777" w:rsidR="003F0CDB" w:rsidRPr="00EA0DC7" w:rsidRDefault="003F0CDB" w:rsidP="00957911">
            <w:pPr>
              <w:spacing w:line="240" w:lineRule="auto"/>
              <w:jc w:val="center"/>
              <w:rPr>
                <w:rFonts w:eastAsia="Times New Roman" w:cs="Arial"/>
                <w:szCs w:val="24"/>
              </w:rPr>
            </w:pPr>
          </w:p>
        </w:tc>
      </w:tr>
      <w:tr w:rsidR="00EA0DC7" w:rsidRPr="00EA0DC7" w14:paraId="5640B03A" w14:textId="77777777" w:rsidTr="00891F1E">
        <w:trPr>
          <w:trHeight w:val="80"/>
        </w:trPr>
        <w:tc>
          <w:tcPr>
            <w:tcW w:w="3119" w:type="dxa"/>
            <w:tcBorders>
              <w:top w:val="nil"/>
              <w:left w:val="nil"/>
              <w:right w:val="nil"/>
            </w:tcBorders>
            <w:shd w:val="clear" w:color="auto" w:fill="auto"/>
            <w:hideMark/>
          </w:tcPr>
          <w:p w14:paraId="58346CD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Yogev (1982)</w:t>
            </w:r>
          </w:p>
        </w:tc>
        <w:tc>
          <w:tcPr>
            <w:tcW w:w="1701" w:type="dxa"/>
            <w:tcBorders>
              <w:top w:val="nil"/>
              <w:left w:val="nil"/>
              <w:bottom w:val="nil"/>
              <w:right w:val="nil"/>
            </w:tcBorders>
            <w:shd w:val="clear" w:color="auto" w:fill="auto"/>
            <w:noWrap/>
            <w:vAlign w:val="center"/>
            <w:hideMark/>
          </w:tcPr>
          <w:p w14:paraId="6E4170F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5F979848"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5B9F95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5AA0649D" w14:textId="77777777" w:rsidR="003F0CDB" w:rsidRPr="00EA0DC7" w:rsidRDefault="003F0CDB" w:rsidP="00957911">
            <w:pPr>
              <w:spacing w:line="240" w:lineRule="auto"/>
              <w:jc w:val="center"/>
              <w:rPr>
                <w:rFonts w:eastAsia="Times New Roman" w:cs="Arial"/>
                <w:szCs w:val="24"/>
              </w:rPr>
            </w:pPr>
          </w:p>
        </w:tc>
      </w:tr>
      <w:tr w:rsidR="00EA0DC7" w:rsidRPr="00EA0DC7" w14:paraId="3100FC54" w14:textId="77777777" w:rsidTr="00891F1E">
        <w:trPr>
          <w:trHeight w:val="80"/>
        </w:trPr>
        <w:tc>
          <w:tcPr>
            <w:tcW w:w="3119" w:type="dxa"/>
            <w:shd w:val="clear" w:color="auto" w:fill="auto"/>
            <w:hideMark/>
          </w:tcPr>
          <w:p w14:paraId="0AB58F12"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Blocher (1983)</w:t>
            </w:r>
          </w:p>
        </w:tc>
        <w:tc>
          <w:tcPr>
            <w:tcW w:w="1701" w:type="dxa"/>
            <w:tcBorders>
              <w:top w:val="nil"/>
              <w:left w:val="nil"/>
              <w:bottom w:val="nil"/>
              <w:right w:val="nil"/>
            </w:tcBorders>
            <w:shd w:val="clear" w:color="auto" w:fill="auto"/>
            <w:noWrap/>
            <w:vAlign w:val="center"/>
            <w:hideMark/>
          </w:tcPr>
          <w:p w14:paraId="723E4B86"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5AE45767"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04F9F0D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039973ED" w14:textId="77777777" w:rsidR="003F0CDB" w:rsidRPr="00EA0DC7" w:rsidRDefault="003F0CDB" w:rsidP="00957911">
            <w:pPr>
              <w:spacing w:line="240" w:lineRule="auto"/>
              <w:jc w:val="center"/>
              <w:rPr>
                <w:rFonts w:eastAsia="Times New Roman" w:cs="Arial"/>
                <w:szCs w:val="24"/>
              </w:rPr>
            </w:pPr>
          </w:p>
        </w:tc>
      </w:tr>
      <w:tr w:rsidR="00EA0DC7" w:rsidRPr="00EA0DC7" w14:paraId="1A40A3C0" w14:textId="77777777" w:rsidTr="00891F1E">
        <w:trPr>
          <w:trHeight w:val="80"/>
        </w:trPr>
        <w:tc>
          <w:tcPr>
            <w:tcW w:w="3119" w:type="dxa"/>
            <w:shd w:val="clear" w:color="auto" w:fill="auto"/>
          </w:tcPr>
          <w:p w14:paraId="0DDCE2F5"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Bordin (1983)</w:t>
            </w:r>
          </w:p>
        </w:tc>
        <w:tc>
          <w:tcPr>
            <w:tcW w:w="1701" w:type="dxa"/>
            <w:tcBorders>
              <w:top w:val="nil"/>
              <w:left w:val="nil"/>
              <w:bottom w:val="nil"/>
              <w:right w:val="nil"/>
            </w:tcBorders>
            <w:shd w:val="clear" w:color="auto" w:fill="auto"/>
            <w:noWrap/>
            <w:vAlign w:val="center"/>
            <w:hideMark/>
          </w:tcPr>
          <w:p w14:paraId="6DFB8C9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664CA663"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25980CC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552F7FA4" w14:textId="77777777" w:rsidR="003F0CDB" w:rsidRPr="00EA0DC7" w:rsidRDefault="003F0CDB" w:rsidP="00957911">
            <w:pPr>
              <w:spacing w:line="240" w:lineRule="auto"/>
              <w:jc w:val="center"/>
              <w:rPr>
                <w:rFonts w:eastAsia="Times New Roman" w:cs="Arial"/>
                <w:szCs w:val="24"/>
              </w:rPr>
            </w:pPr>
          </w:p>
        </w:tc>
      </w:tr>
      <w:tr w:rsidR="00EA0DC7" w:rsidRPr="00EA0DC7" w14:paraId="07F8BA8D" w14:textId="77777777" w:rsidTr="00891F1E">
        <w:trPr>
          <w:trHeight w:val="80"/>
        </w:trPr>
        <w:tc>
          <w:tcPr>
            <w:tcW w:w="3119" w:type="dxa"/>
            <w:tcBorders>
              <w:left w:val="nil"/>
              <w:bottom w:val="nil"/>
              <w:right w:val="nil"/>
            </w:tcBorders>
            <w:shd w:val="clear" w:color="auto" w:fill="auto"/>
            <w:hideMark/>
          </w:tcPr>
          <w:p w14:paraId="3CD6C92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Hosford &amp; Barmann (1983)</w:t>
            </w:r>
          </w:p>
        </w:tc>
        <w:tc>
          <w:tcPr>
            <w:tcW w:w="1701" w:type="dxa"/>
            <w:tcBorders>
              <w:top w:val="nil"/>
              <w:left w:val="nil"/>
              <w:bottom w:val="nil"/>
              <w:right w:val="nil"/>
            </w:tcBorders>
            <w:shd w:val="clear" w:color="auto" w:fill="auto"/>
            <w:noWrap/>
            <w:vAlign w:val="center"/>
            <w:hideMark/>
          </w:tcPr>
          <w:p w14:paraId="16F0A7A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95D7A01"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021E504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5FF9A9EC" w14:textId="77777777" w:rsidR="003F0CDB" w:rsidRPr="00EA0DC7" w:rsidRDefault="003F0CDB" w:rsidP="00957911">
            <w:pPr>
              <w:spacing w:line="240" w:lineRule="auto"/>
              <w:jc w:val="center"/>
              <w:rPr>
                <w:rFonts w:eastAsia="Times New Roman" w:cs="Arial"/>
                <w:szCs w:val="24"/>
              </w:rPr>
            </w:pPr>
          </w:p>
        </w:tc>
      </w:tr>
      <w:tr w:rsidR="00EA0DC7" w:rsidRPr="00EA0DC7" w14:paraId="11BF3CAA" w14:textId="77777777" w:rsidTr="00891F1E">
        <w:trPr>
          <w:trHeight w:val="80"/>
        </w:trPr>
        <w:tc>
          <w:tcPr>
            <w:tcW w:w="3119" w:type="dxa"/>
            <w:tcBorders>
              <w:top w:val="nil"/>
              <w:left w:val="nil"/>
              <w:bottom w:val="single" w:sz="4" w:space="0" w:color="auto"/>
              <w:right w:val="nil"/>
            </w:tcBorders>
            <w:shd w:val="clear" w:color="auto" w:fill="auto"/>
            <w:hideMark/>
          </w:tcPr>
          <w:p w14:paraId="6C196858"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Patterson (1983)</w:t>
            </w:r>
          </w:p>
        </w:tc>
        <w:tc>
          <w:tcPr>
            <w:tcW w:w="1701" w:type="dxa"/>
            <w:tcBorders>
              <w:top w:val="nil"/>
              <w:left w:val="nil"/>
              <w:bottom w:val="single" w:sz="4" w:space="0" w:color="auto"/>
              <w:right w:val="nil"/>
            </w:tcBorders>
            <w:shd w:val="clear" w:color="auto" w:fill="auto"/>
            <w:noWrap/>
            <w:vAlign w:val="center"/>
            <w:hideMark/>
          </w:tcPr>
          <w:p w14:paraId="25C4EFD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single" w:sz="4" w:space="0" w:color="auto"/>
              <w:right w:val="nil"/>
            </w:tcBorders>
            <w:shd w:val="clear" w:color="auto" w:fill="auto"/>
            <w:noWrap/>
            <w:vAlign w:val="center"/>
            <w:hideMark/>
          </w:tcPr>
          <w:p w14:paraId="0F327004"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single" w:sz="4" w:space="0" w:color="auto"/>
              <w:right w:val="nil"/>
            </w:tcBorders>
            <w:vAlign w:val="center"/>
          </w:tcPr>
          <w:p w14:paraId="1CFFF98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single" w:sz="4" w:space="0" w:color="auto"/>
              <w:right w:val="nil"/>
            </w:tcBorders>
            <w:vAlign w:val="center"/>
          </w:tcPr>
          <w:p w14:paraId="2315ADF4" w14:textId="77777777" w:rsidR="003F0CDB" w:rsidRPr="00EA0DC7" w:rsidRDefault="003F0CDB" w:rsidP="00957911">
            <w:pPr>
              <w:spacing w:line="240" w:lineRule="auto"/>
              <w:jc w:val="center"/>
              <w:rPr>
                <w:rFonts w:eastAsia="Times New Roman" w:cs="Arial"/>
                <w:szCs w:val="24"/>
              </w:rPr>
            </w:pPr>
          </w:p>
        </w:tc>
      </w:tr>
      <w:tr w:rsidR="00EA0DC7" w:rsidRPr="00EA0DC7" w14:paraId="39F8409B" w14:textId="77777777" w:rsidTr="00891F1E">
        <w:trPr>
          <w:trHeight w:val="80"/>
        </w:trPr>
        <w:tc>
          <w:tcPr>
            <w:tcW w:w="3119" w:type="dxa"/>
            <w:tcBorders>
              <w:top w:val="single" w:sz="4" w:space="0" w:color="auto"/>
              <w:left w:val="nil"/>
              <w:bottom w:val="single" w:sz="4" w:space="0" w:color="auto"/>
              <w:right w:val="nil"/>
            </w:tcBorders>
            <w:shd w:val="clear" w:color="auto" w:fill="auto"/>
            <w:vAlign w:val="center"/>
          </w:tcPr>
          <w:p w14:paraId="2185452C" w14:textId="6387BB6D" w:rsidR="0045031E" w:rsidRPr="00EA0DC7" w:rsidRDefault="0045031E" w:rsidP="0045031E">
            <w:pPr>
              <w:spacing w:line="240" w:lineRule="auto"/>
              <w:jc w:val="center"/>
              <w:rPr>
                <w:rFonts w:eastAsia="Times New Roman" w:cs="Arial"/>
                <w:szCs w:val="24"/>
              </w:rPr>
            </w:pPr>
            <w:r w:rsidRPr="00EA0DC7">
              <w:rPr>
                <w:rFonts w:eastAsia="Times New Roman" w:cs="Arial"/>
                <w:b/>
                <w:bCs/>
                <w:szCs w:val="24"/>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10BB6FDF" w14:textId="692E2BEC" w:rsidR="0045031E" w:rsidRPr="00EA0DC7" w:rsidRDefault="0045031E" w:rsidP="0045031E">
            <w:pPr>
              <w:spacing w:line="240" w:lineRule="auto"/>
              <w:jc w:val="center"/>
              <w:rPr>
                <w:rFonts w:eastAsia="Times New Roman" w:cs="Arial"/>
                <w:szCs w:val="24"/>
              </w:rPr>
            </w:pPr>
            <w:r w:rsidRPr="00EA0DC7">
              <w:rPr>
                <w:rFonts w:eastAsia="Times New Roman" w:cs="Arial"/>
                <w:b/>
                <w:bCs/>
                <w:szCs w:val="24"/>
              </w:rPr>
              <w:t>Assessment/ evaluation of supervisees</w:t>
            </w:r>
          </w:p>
        </w:tc>
        <w:tc>
          <w:tcPr>
            <w:tcW w:w="1417" w:type="dxa"/>
            <w:tcBorders>
              <w:top w:val="single" w:sz="4" w:space="0" w:color="auto"/>
              <w:left w:val="nil"/>
              <w:bottom w:val="single" w:sz="4" w:space="0" w:color="auto"/>
              <w:right w:val="nil"/>
            </w:tcBorders>
            <w:shd w:val="clear" w:color="auto" w:fill="auto"/>
            <w:noWrap/>
            <w:vAlign w:val="center"/>
          </w:tcPr>
          <w:p w14:paraId="01BF6B0C" w14:textId="16F71AB0" w:rsidR="0045031E" w:rsidRPr="00EA0DC7" w:rsidRDefault="0045031E" w:rsidP="0045031E">
            <w:pPr>
              <w:spacing w:line="240" w:lineRule="auto"/>
              <w:jc w:val="center"/>
              <w:rPr>
                <w:rFonts w:eastAsia="Times New Roman" w:cs="Arial"/>
                <w:szCs w:val="24"/>
              </w:rPr>
            </w:pPr>
            <w:r w:rsidRPr="00EA0DC7">
              <w:rPr>
                <w:rFonts w:eastAsia="Times New Roman" w:cs="Arial"/>
                <w:b/>
                <w:bCs/>
                <w:szCs w:val="24"/>
              </w:rPr>
              <w:t>Evaluati</w:t>
            </w:r>
            <w:r w:rsidR="00981DD9" w:rsidRPr="00EA0DC7">
              <w:rPr>
                <w:rFonts w:eastAsia="Times New Roman" w:cs="Arial"/>
                <w:b/>
                <w:bCs/>
                <w:szCs w:val="24"/>
              </w:rPr>
              <w:t>-</w:t>
            </w:r>
            <w:r w:rsidRPr="00EA0DC7">
              <w:rPr>
                <w:rFonts w:eastAsia="Times New Roman" w:cs="Arial"/>
                <w:b/>
                <w:bCs/>
                <w:szCs w:val="24"/>
              </w:rPr>
              <w:t>ng/monit</w:t>
            </w:r>
            <w:r w:rsidR="00981DD9" w:rsidRPr="00EA0DC7">
              <w:rPr>
                <w:rFonts w:eastAsia="Times New Roman" w:cs="Arial"/>
                <w:b/>
                <w:bCs/>
                <w:szCs w:val="24"/>
              </w:rPr>
              <w:t>-</w:t>
            </w:r>
            <w:r w:rsidRPr="00EA0DC7">
              <w:rPr>
                <w:rFonts w:eastAsia="Times New Roman" w:cs="Arial"/>
                <w:b/>
                <w:bCs/>
                <w:szCs w:val="24"/>
              </w:rPr>
              <w:t>oring work with clients</w:t>
            </w:r>
          </w:p>
        </w:tc>
        <w:tc>
          <w:tcPr>
            <w:tcW w:w="1560" w:type="dxa"/>
            <w:tcBorders>
              <w:top w:val="single" w:sz="4" w:space="0" w:color="auto"/>
              <w:left w:val="nil"/>
              <w:bottom w:val="single" w:sz="4" w:space="0" w:color="auto"/>
              <w:right w:val="nil"/>
            </w:tcBorders>
            <w:vAlign w:val="center"/>
          </w:tcPr>
          <w:p w14:paraId="277A6535" w14:textId="66959721" w:rsidR="0045031E" w:rsidRPr="00EA0DC7" w:rsidRDefault="0045031E" w:rsidP="0045031E">
            <w:pPr>
              <w:spacing w:line="240" w:lineRule="auto"/>
              <w:jc w:val="center"/>
              <w:rPr>
                <w:rFonts w:eastAsia="Times New Roman" w:cs="Arial"/>
                <w:szCs w:val="24"/>
              </w:rPr>
            </w:pPr>
            <w:r w:rsidRPr="00EA0DC7">
              <w:rPr>
                <w:rFonts w:eastAsia="Times New Roman" w:cs="Arial"/>
                <w:b/>
                <w:bCs/>
                <w:szCs w:val="24"/>
              </w:rPr>
              <w:t>Feedback from supervisor and/or supervisee</w:t>
            </w:r>
          </w:p>
        </w:tc>
        <w:tc>
          <w:tcPr>
            <w:tcW w:w="1134" w:type="dxa"/>
            <w:tcBorders>
              <w:top w:val="single" w:sz="4" w:space="0" w:color="auto"/>
              <w:left w:val="nil"/>
              <w:bottom w:val="single" w:sz="4" w:space="0" w:color="auto"/>
              <w:right w:val="nil"/>
            </w:tcBorders>
            <w:vAlign w:val="center"/>
          </w:tcPr>
          <w:p w14:paraId="1D895E6D" w14:textId="42E6F315" w:rsidR="0045031E" w:rsidRPr="00EA0DC7" w:rsidRDefault="0045031E" w:rsidP="0045031E">
            <w:pPr>
              <w:spacing w:line="240" w:lineRule="auto"/>
              <w:jc w:val="center"/>
              <w:rPr>
                <w:rFonts w:eastAsia="Times New Roman" w:cs="Arial"/>
                <w:szCs w:val="24"/>
              </w:rPr>
            </w:pPr>
            <w:r w:rsidRPr="00EA0DC7">
              <w:rPr>
                <w:rFonts w:eastAsia="Times New Roman" w:cs="Arial"/>
                <w:b/>
                <w:bCs/>
                <w:szCs w:val="24"/>
              </w:rPr>
              <w:t>Feed</w:t>
            </w:r>
            <w:r w:rsidR="00981DD9" w:rsidRPr="00EA0DC7">
              <w:rPr>
                <w:rFonts w:eastAsia="Times New Roman" w:cs="Arial"/>
                <w:b/>
                <w:bCs/>
                <w:szCs w:val="24"/>
              </w:rPr>
              <w:t>-</w:t>
            </w:r>
            <w:r w:rsidRPr="00EA0DC7">
              <w:rPr>
                <w:rFonts w:eastAsia="Times New Roman" w:cs="Arial"/>
                <w:b/>
                <w:bCs/>
                <w:szCs w:val="24"/>
              </w:rPr>
              <w:t>back from clients</w:t>
            </w:r>
          </w:p>
        </w:tc>
      </w:tr>
      <w:tr w:rsidR="00EA0DC7" w:rsidRPr="00EA0DC7" w14:paraId="2773E1AF" w14:textId="77777777" w:rsidTr="00891F1E">
        <w:trPr>
          <w:trHeight w:val="80"/>
        </w:trPr>
        <w:tc>
          <w:tcPr>
            <w:tcW w:w="3119" w:type="dxa"/>
            <w:tcBorders>
              <w:top w:val="single" w:sz="4" w:space="0" w:color="auto"/>
              <w:left w:val="nil"/>
              <w:right w:val="nil"/>
            </w:tcBorders>
            <w:shd w:val="clear" w:color="auto" w:fill="auto"/>
            <w:hideMark/>
          </w:tcPr>
          <w:p w14:paraId="7087031F"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Wessler &amp; Ellis (1983)</w:t>
            </w:r>
          </w:p>
        </w:tc>
        <w:tc>
          <w:tcPr>
            <w:tcW w:w="1701" w:type="dxa"/>
            <w:tcBorders>
              <w:top w:val="single" w:sz="4" w:space="0" w:color="auto"/>
              <w:left w:val="nil"/>
              <w:right w:val="nil"/>
            </w:tcBorders>
            <w:shd w:val="clear" w:color="auto" w:fill="auto"/>
            <w:noWrap/>
            <w:vAlign w:val="center"/>
            <w:hideMark/>
          </w:tcPr>
          <w:p w14:paraId="068FB36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single" w:sz="4" w:space="0" w:color="auto"/>
              <w:left w:val="nil"/>
              <w:right w:val="nil"/>
            </w:tcBorders>
            <w:shd w:val="clear" w:color="auto" w:fill="auto"/>
            <w:noWrap/>
            <w:vAlign w:val="center"/>
            <w:hideMark/>
          </w:tcPr>
          <w:p w14:paraId="51E222B3" w14:textId="77777777" w:rsidR="003F0CDB" w:rsidRPr="00EA0DC7" w:rsidRDefault="003F0CDB" w:rsidP="00957911">
            <w:pPr>
              <w:spacing w:line="240" w:lineRule="auto"/>
              <w:jc w:val="center"/>
              <w:rPr>
                <w:rFonts w:eastAsia="Times New Roman" w:cs="Arial"/>
                <w:szCs w:val="24"/>
              </w:rPr>
            </w:pPr>
          </w:p>
        </w:tc>
        <w:tc>
          <w:tcPr>
            <w:tcW w:w="1560" w:type="dxa"/>
            <w:tcBorders>
              <w:top w:val="single" w:sz="4" w:space="0" w:color="auto"/>
              <w:left w:val="nil"/>
              <w:right w:val="nil"/>
            </w:tcBorders>
            <w:vAlign w:val="center"/>
          </w:tcPr>
          <w:p w14:paraId="6B5A144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single" w:sz="4" w:space="0" w:color="auto"/>
              <w:left w:val="nil"/>
              <w:right w:val="nil"/>
            </w:tcBorders>
            <w:vAlign w:val="center"/>
          </w:tcPr>
          <w:p w14:paraId="79C8CD2B" w14:textId="77777777" w:rsidR="003F0CDB" w:rsidRPr="00EA0DC7" w:rsidRDefault="003F0CDB" w:rsidP="00957911">
            <w:pPr>
              <w:spacing w:line="240" w:lineRule="auto"/>
              <w:jc w:val="center"/>
              <w:rPr>
                <w:rFonts w:eastAsia="Times New Roman" w:cs="Arial"/>
                <w:szCs w:val="24"/>
              </w:rPr>
            </w:pPr>
          </w:p>
        </w:tc>
      </w:tr>
      <w:tr w:rsidR="00EA0DC7" w:rsidRPr="00EA0DC7" w14:paraId="7917D6A7" w14:textId="77777777" w:rsidTr="00891F1E">
        <w:trPr>
          <w:trHeight w:val="80"/>
        </w:trPr>
        <w:tc>
          <w:tcPr>
            <w:tcW w:w="3119" w:type="dxa"/>
            <w:tcBorders>
              <w:top w:val="nil"/>
              <w:left w:val="nil"/>
              <w:right w:val="nil"/>
            </w:tcBorders>
            <w:shd w:val="clear" w:color="auto" w:fill="auto"/>
            <w:hideMark/>
          </w:tcPr>
          <w:p w14:paraId="23A5C22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Connell (1984)</w:t>
            </w:r>
          </w:p>
        </w:tc>
        <w:tc>
          <w:tcPr>
            <w:tcW w:w="1701" w:type="dxa"/>
            <w:tcBorders>
              <w:top w:val="nil"/>
              <w:left w:val="nil"/>
              <w:right w:val="nil"/>
            </w:tcBorders>
            <w:shd w:val="clear" w:color="auto" w:fill="auto"/>
            <w:noWrap/>
            <w:vAlign w:val="center"/>
            <w:hideMark/>
          </w:tcPr>
          <w:p w14:paraId="29171CC1"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right w:val="nil"/>
            </w:tcBorders>
            <w:shd w:val="clear" w:color="auto" w:fill="auto"/>
            <w:noWrap/>
            <w:vAlign w:val="center"/>
            <w:hideMark/>
          </w:tcPr>
          <w:p w14:paraId="76B6DADF"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5FF79725"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vAlign w:val="center"/>
          </w:tcPr>
          <w:p w14:paraId="386E4347" w14:textId="77777777" w:rsidR="003F0CDB" w:rsidRPr="00EA0DC7" w:rsidRDefault="003F0CDB" w:rsidP="00957911">
            <w:pPr>
              <w:spacing w:line="240" w:lineRule="auto"/>
              <w:jc w:val="center"/>
              <w:rPr>
                <w:rFonts w:eastAsia="Times New Roman" w:cs="Arial"/>
                <w:szCs w:val="24"/>
              </w:rPr>
            </w:pPr>
          </w:p>
        </w:tc>
      </w:tr>
      <w:tr w:rsidR="00EA0DC7" w:rsidRPr="00EA0DC7" w14:paraId="4A818D75" w14:textId="77777777" w:rsidTr="00891F1E">
        <w:trPr>
          <w:trHeight w:val="80"/>
        </w:trPr>
        <w:tc>
          <w:tcPr>
            <w:tcW w:w="3119" w:type="dxa"/>
            <w:tcBorders>
              <w:left w:val="nil"/>
              <w:bottom w:val="nil"/>
              <w:right w:val="nil"/>
            </w:tcBorders>
            <w:shd w:val="clear" w:color="auto" w:fill="auto"/>
            <w:hideMark/>
          </w:tcPr>
          <w:p w14:paraId="19901C87"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Grater (1985)</w:t>
            </w:r>
          </w:p>
        </w:tc>
        <w:tc>
          <w:tcPr>
            <w:tcW w:w="1701" w:type="dxa"/>
            <w:tcBorders>
              <w:left w:val="nil"/>
              <w:bottom w:val="nil"/>
              <w:right w:val="nil"/>
            </w:tcBorders>
            <w:shd w:val="clear" w:color="auto" w:fill="auto"/>
            <w:noWrap/>
            <w:vAlign w:val="center"/>
            <w:hideMark/>
          </w:tcPr>
          <w:p w14:paraId="48A32B01" w14:textId="77777777" w:rsidR="003F0CDB" w:rsidRPr="00EA0DC7" w:rsidRDefault="003F0CDB" w:rsidP="00957911">
            <w:pPr>
              <w:spacing w:line="240" w:lineRule="auto"/>
              <w:jc w:val="center"/>
              <w:rPr>
                <w:rFonts w:eastAsia="Times New Roman" w:cs="Arial"/>
                <w:szCs w:val="24"/>
              </w:rPr>
            </w:pPr>
          </w:p>
        </w:tc>
        <w:tc>
          <w:tcPr>
            <w:tcW w:w="1417" w:type="dxa"/>
            <w:tcBorders>
              <w:left w:val="nil"/>
              <w:bottom w:val="nil"/>
              <w:right w:val="nil"/>
            </w:tcBorders>
            <w:shd w:val="clear" w:color="auto" w:fill="auto"/>
            <w:noWrap/>
            <w:vAlign w:val="center"/>
            <w:hideMark/>
          </w:tcPr>
          <w:p w14:paraId="36B5958A" w14:textId="77777777" w:rsidR="003F0CDB" w:rsidRPr="00EA0DC7" w:rsidRDefault="003F0CDB" w:rsidP="00957911">
            <w:pPr>
              <w:spacing w:line="240" w:lineRule="auto"/>
              <w:jc w:val="center"/>
              <w:rPr>
                <w:rFonts w:eastAsia="Times New Roman" w:cs="Arial"/>
                <w:szCs w:val="24"/>
              </w:rPr>
            </w:pPr>
          </w:p>
        </w:tc>
        <w:tc>
          <w:tcPr>
            <w:tcW w:w="1560" w:type="dxa"/>
            <w:tcBorders>
              <w:left w:val="nil"/>
              <w:bottom w:val="nil"/>
              <w:right w:val="nil"/>
            </w:tcBorders>
            <w:vAlign w:val="center"/>
          </w:tcPr>
          <w:p w14:paraId="6F36903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left w:val="nil"/>
              <w:bottom w:val="nil"/>
              <w:right w:val="nil"/>
            </w:tcBorders>
            <w:vAlign w:val="center"/>
          </w:tcPr>
          <w:p w14:paraId="1B4894CF" w14:textId="77777777" w:rsidR="003F0CDB" w:rsidRPr="00EA0DC7" w:rsidRDefault="003F0CDB" w:rsidP="00957911">
            <w:pPr>
              <w:spacing w:line="240" w:lineRule="auto"/>
              <w:jc w:val="center"/>
              <w:rPr>
                <w:rFonts w:eastAsia="Times New Roman" w:cs="Arial"/>
                <w:szCs w:val="24"/>
              </w:rPr>
            </w:pPr>
          </w:p>
        </w:tc>
      </w:tr>
      <w:tr w:rsidR="00EA0DC7" w:rsidRPr="00EA0DC7" w14:paraId="7BCDE7E3" w14:textId="77777777" w:rsidTr="00891F1E">
        <w:trPr>
          <w:trHeight w:val="80"/>
        </w:trPr>
        <w:tc>
          <w:tcPr>
            <w:tcW w:w="3119" w:type="dxa"/>
            <w:tcBorders>
              <w:top w:val="nil"/>
              <w:left w:val="nil"/>
              <w:bottom w:val="nil"/>
              <w:right w:val="nil"/>
            </w:tcBorders>
            <w:shd w:val="clear" w:color="auto" w:fill="auto"/>
            <w:hideMark/>
          </w:tcPr>
          <w:p w14:paraId="671CAD8C"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Friedmand &amp; Kaslow (1986)</w:t>
            </w:r>
          </w:p>
        </w:tc>
        <w:tc>
          <w:tcPr>
            <w:tcW w:w="1701" w:type="dxa"/>
            <w:tcBorders>
              <w:top w:val="nil"/>
              <w:left w:val="nil"/>
              <w:bottom w:val="nil"/>
              <w:right w:val="nil"/>
            </w:tcBorders>
            <w:shd w:val="clear" w:color="auto" w:fill="auto"/>
            <w:noWrap/>
            <w:vAlign w:val="center"/>
            <w:hideMark/>
          </w:tcPr>
          <w:p w14:paraId="523AD13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35790066"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7E112596"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72DBF834" w14:textId="77777777" w:rsidR="003F0CDB" w:rsidRPr="00EA0DC7" w:rsidRDefault="003F0CDB" w:rsidP="00957911">
            <w:pPr>
              <w:spacing w:line="240" w:lineRule="auto"/>
              <w:jc w:val="center"/>
              <w:rPr>
                <w:rFonts w:eastAsia="Times New Roman" w:cs="Arial"/>
                <w:szCs w:val="24"/>
              </w:rPr>
            </w:pPr>
          </w:p>
        </w:tc>
      </w:tr>
      <w:tr w:rsidR="00EA0DC7" w:rsidRPr="00EA0DC7" w14:paraId="3B20D9C0" w14:textId="77777777" w:rsidTr="00891F1E">
        <w:trPr>
          <w:trHeight w:val="80"/>
        </w:trPr>
        <w:tc>
          <w:tcPr>
            <w:tcW w:w="3119" w:type="dxa"/>
            <w:tcBorders>
              <w:top w:val="nil"/>
              <w:left w:val="nil"/>
              <w:bottom w:val="nil"/>
              <w:right w:val="nil"/>
            </w:tcBorders>
            <w:shd w:val="clear" w:color="auto" w:fill="auto"/>
            <w:hideMark/>
          </w:tcPr>
          <w:p w14:paraId="2545D931"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Hess (1986)</w:t>
            </w:r>
          </w:p>
        </w:tc>
        <w:tc>
          <w:tcPr>
            <w:tcW w:w="1701" w:type="dxa"/>
            <w:tcBorders>
              <w:top w:val="nil"/>
              <w:left w:val="nil"/>
              <w:bottom w:val="nil"/>
              <w:right w:val="nil"/>
            </w:tcBorders>
            <w:shd w:val="clear" w:color="auto" w:fill="auto"/>
            <w:noWrap/>
            <w:vAlign w:val="center"/>
            <w:hideMark/>
          </w:tcPr>
          <w:p w14:paraId="03A9EBA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8C2C1CF"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291EF0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438AB3CF" w14:textId="77777777" w:rsidR="003F0CDB" w:rsidRPr="00EA0DC7" w:rsidRDefault="003F0CDB" w:rsidP="00957911">
            <w:pPr>
              <w:spacing w:line="240" w:lineRule="auto"/>
              <w:jc w:val="center"/>
              <w:rPr>
                <w:rFonts w:eastAsia="Times New Roman" w:cs="Arial"/>
                <w:szCs w:val="24"/>
              </w:rPr>
            </w:pPr>
          </w:p>
        </w:tc>
      </w:tr>
      <w:tr w:rsidR="00EA0DC7" w:rsidRPr="00EA0DC7" w14:paraId="5224D618" w14:textId="77777777" w:rsidTr="00891F1E">
        <w:trPr>
          <w:trHeight w:val="80"/>
        </w:trPr>
        <w:tc>
          <w:tcPr>
            <w:tcW w:w="3119" w:type="dxa"/>
            <w:tcBorders>
              <w:top w:val="nil"/>
              <w:left w:val="nil"/>
              <w:bottom w:val="nil"/>
              <w:right w:val="nil"/>
            </w:tcBorders>
            <w:shd w:val="clear" w:color="auto" w:fill="auto"/>
            <w:hideMark/>
          </w:tcPr>
          <w:p w14:paraId="764E7483"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Stoltenberg &amp; Delworth (1987)</w:t>
            </w:r>
          </w:p>
        </w:tc>
        <w:tc>
          <w:tcPr>
            <w:tcW w:w="1701" w:type="dxa"/>
            <w:tcBorders>
              <w:top w:val="nil"/>
              <w:left w:val="nil"/>
              <w:bottom w:val="nil"/>
              <w:right w:val="nil"/>
            </w:tcBorders>
            <w:shd w:val="clear" w:color="auto" w:fill="auto"/>
            <w:noWrap/>
            <w:vAlign w:val="center"/>
            <w:hideMark/>
          </w:tcPr>
          <w:p w14:paraId="3AD8B6A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6E4289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nil"/>
              <w:left w:val="nil"/>
              <w:bottom w:val="nil"/>
              <w:right w:val="nil"/>
            </w:tcBorders>
            <w:vAlign w:val="center"/>
          </w:tcPr>
          <w:p w14:paraId="19F70A3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354FD17F" w14:textId="77777777" w:rsidR="003F0CDB" w:rsidRPr="00EA0DC7" w:rsidRDefault="003F0CDB" w:rsidP="00957911">
            <w:pPr>
              <w:spacing w:line="240" w:lineRule="auto"/>
              <w:jc w:val="center"/>
              <w:rPr>
                <w:rFonts w:eastAsia="Times New Roman" w:cs="Arial"/>
                <w:szCs w:val="24"/>
              </w:rPr>
            </w:pPr>
          </w:p>
        </w:tc>
      </w:tr>
      <w:tr w:rsidR="00EA0DC7" w:rsidRPr="00EA0DC7" w14:paraId="062BAD56" w14:textId="77777777" w:rsidTr="00891F1E">
        <w:trPr>
          <w:trHeight w:val="80"/>
        </w:trPr>
        <w:tc>
          <w:tcPr>
            <w:tcW w:w="3119" w:type="dxa"/>
            <w:tcBorders>
              <w:top w:val="nil"/>
              <w:left w:val="nil"/>
              <w:bottom w:val="nil"/>
              <w:right w:val="nil"/>
            </w:tcBorders>
            <w:shd w:val="clear" w:color="auto" w:fill="auto"/>
            <w:hideMark/>
          </w:tcPr>
          <w:p w14:paraId="6A363234"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Ault-Riche (1988)</w:t>
            </w:r>
          </w:p>
        </w:tc>
        <w:tc>
          <w:tcPr>
            <w:tcW w:w="1701" w:type="dxa"/>
            <w:tcBorders>
              <w:top w:val="nil"/>
              <w:left w:val="nil"/>
              <w:bottom w:val="nil"/>
              <w:right w:val="nil"/>
            </w:tcBorders>
            <w:shd w:val="clear" w:color="auto" w:fill="auto"/>
            <w:noWrap/>
            <w:vAlign w:val="center"/>
            <w:hideMark/>
          </w:tcPr>
          <w:p w14:paraId="3C30ECC7"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3BF859BF"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4197CAD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774DFE8F" w14:textId="77777777" w:rsidR="003F0CDB" w:rsidRPr="00EA0DC7" w:rsidRDefault="003F0CDB" w:rsidP="00957911">
            <w:pPr>
              <w:spacing w:line="240" w:lineRule="auto"/>
              <w:jc w:val="center"/>
              <w:rPr>
                <w:rFonts w:eastAsia="Times New Roman" w:cs="Arial"/>
                <w:szCs w:val="24"/>
              </w:rPr>
            </w:pPr>
          </w:p>
        </w:tc>
      </w:tr>
      <w:tr w:rsidR="00EA0DC7" w:rsidRPr="00EA0DC7" w14:paraId="22A06BE4" w14:textId="77777777" w:rsidTr="00891F1E">
        <w:trPr>
          <w:trHeight w:val="80"/>
        </w:trPr>
        <w:tc>
          <w:tcPr>
            <w:tcW w:w="3119" w:type="dxa"/>
            <w:tcBorders>
              <w:top w:val="nil"/>
              <w:left w:val="nil"/>
              <w:right w:val="nil"/>
            </w:tcBorders>
            <w:shd w:val="clear" w:color="auto" w:fill="auto"/>
            <w:hideMark/>
          </w:tcPr>
          <w:p w14:paraId="54A5799C"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Watkins (1990)</w:t>
            </w:r>
          </w:p>
        </w:tc>
        <w:tc>
          <w:tcPr>
            <w:tcW w:w="1701" w:type="dxa"/>
            <w:tcBorders>
              <w:top w:val="nil"/>
              <w:left w:val="nil"/>
              <w:right w:val="nil"/>
            </w:tcBorders>
            <w:shd w:val="clear" w:color="auto" w:fill="auto"/>
            <w:noWrap/>
            <w:vAlign w:val="center"/>
            <w:hideMark/>
          </w:tcPr>
          <w:p w14:paraId="6B372671"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right w:val="nil"/>
            </w:tcBorders>
            <w:shd w:val="clear" w:color="auto" w:fill="auto"/>
            <w:noWrap/>
            <w:vAlign w:val="center"/>
            <w:hideMark/>
          </w:tcPr>
          <w:p w14:paraId="3DCAB5E9"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24B18509"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right w:val="nil"/>
            </w:tcBorders>
            <w:vAlign w:val="center"/>
          </w:tcPr>
          <w:p w14:paraId="4949787F" w14:textId="77777777" w:rsidR="003F0CDB" w:rsidRPr="00EA0DC7" w:rsidRDefault="003F0CDB" w:rsidP="00957911">
            <w:pPr>
              <w:spacing w:line="240" w:lineRule="auto"/>
              <w:jc w:val="center"/>
              <w:rPr>
                <w:rFonts w:eastAsia="Times New Roman" w:cs="Arial"/>
                <w:szCs w:val="24"/>
              </w:rPr>
            </w:pPr>
          </w:p>
        </w:tc>
      </w:tr>
      <w:tr w:rsidR="00EA0DC7" w:rsidRPr="00EA0DC7" w14:paraId="278B44D4" w14:textId="77777777" w:rsidTr="00891F1E">
        <w:trPr>
          <w:trHeight w:val="80"/>
        </w:trPr>
        <w:tc>
          <w:tcPr>
            <w:tcW w:w="3119" w:type="dxa"/>
            <w:tcBorders>
              <w:top w:val="nil"/>
              <w:left w:val="nil"/>
              <w:right w:val="nil"/>
            </w:tcBorders>
            <w:shd w:val="clear" w:color="auto" w:fill="auto"/>
            <w:hideMark/>
          </w:tcPr>
          <w:p w14:paraId="7F57D5C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Wetchler (1990)</w:t>
            </w:r>
          </w:p>
        </w:tc>
        <w:tc>
          <w:tcPr>
            <w:tcW w:w="1701" w:type="dxa"/>
            <w:tcBorders>
              <w:top w:val="nil"/>
              <w:left w:val="nil"/>
              <w:right w:val="nil"/>
            </w:tcBorders>
            <w:shd w:val="clear" w:color="auto" w:fill="auto"/>
            <w:noWrap/>
            <w:vAlign w:val="center"/>
            <w:hideMark/>
          </w:tcPr>
          <w:p w14:paraId="67B220B7"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right w:val="nil"/>
            </w:tcBorders>
            <w:shd w:val="clear" w:color="auto" w:fill="auto"/>
            <w:noWrap/>
            <w:vAlign w:val="center"/>
            <w:hideMark/>
          </w:tcPr>
          <w:p w14:paraId="379E0770"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4490304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vAlign w:val="center"/>
          </w:tcPr>
          <w:p w14:paraId="6A99C0ED" w14:textId="77777777" w:rsidR="003F0CDB" w:rsidRPr="00EA0DC7" w:rsidRDefault="003F0CDB" w:rsidP="00957911">
            <w:pPr>
              <w:spacing w:line="240" w:lineRule="auto"/>
              <w:jc w:val="center"/>
              <w:rPr>
                <w:rFonts w:eastAsia="Times New Roman" w:cs="Arial"/>
                <w:szCs w:val="24"/>
              </w:rPr>
            </w:pPr>
          </w:p>
        </w:tc>
      </w:tr>
      <w:tr w:rsidR="00EA0DC7" w:rsidRPr="00EA0DC7" w14:paraId="657D84D8" w14:textId="77777777" w:rsidTr="00891F1E">
        <w:trPr>
          <w:trHeight w:val="80"/>
        </w:trPr>
        <w:tc>
          <w:tcPr>
            <w:tcW w:w="3119" w:type="dxa"/>
            <w:tcBorders>
              <w:left w:val="nil"/>
              <w:bottom w:val="nil"/>
              <w:right w:val="nil"/>
            </w:tcBorders>
            <w:shd w:val="clear" w:color="auto" w:fill="auto"/>
            <w:hideMark/>
          </w:tcPr>
          <w:p w14:paraId="24DC2EB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Mead (1990)</w:t>
            </w:r>
          </w:p>
        </w:tc>
        <w:tc>
          <w:tcPr>
            <w:tcW w:w="1701" w:type="dxa"/>
            <w:tcBorders>
              <w:left w:val="nil"/>
              <w:bottom w:val="nil"/>
              <w:right w:val="nil"/>
            </w:tcBorders>
            <w:shd w:val="clear" w:color="auto" w:fill="auto"/>
            <w:noWrap/>
            <w:vAlign w:val="center"/>
            <w:hideMark/>
          </w:tcPr>
          <w:p w14:paraId="2DF9EB9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left w:val="nil"/>
              <w:bottom w:val="nil"/>
              <w:right w:val="nil"/>
            </w:tcBorders>
            <w:shd w:val="clear" w:color="auto" w:fill="auto"/>
            <w:noWrap/>
            <w:vAlign w:val="center"/>
            <w:hideMark/>
          </w:tcPr>
          <w:p w14:paraId="67CEEA8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left w:val="nil"/>
              <w:bottom w:val="nil"/>
              <w:right w:val="nil"/>
            </w:tcBorders>
            <w:vAlign w:val="center"/>
          </w:tcPr>
          <w:p w14:paraId="0807F02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left w:val="nil"/>
              <w:bottom w:val="nil"/>
              <w:right w:val="nil"/>
            </w:tcBorders>
            <w:vAlign w:val="center"/>
          </w:tcPr>
          <w:p w14:paraId="339490A3" w14:textId="77777777" w:rsidR="003F0CDB" w:rsidRPr="00EA0DC7" w:rsidRDefault="003F0CDB" w:rsidP="00957911">
            <w:pPr>
              <w:spacing w:line="240" w:lineRule="auto"/>
              <w:jc w:val="center"/>
              <w:rPr>
                <w:rFonts w:eastAsia="Times New Roman" w:cs="Arial"/>
                <w:szCs w:val="24"/>
              </w:rPr>
            </w:pPr>
          </w:p>
        </w:tc>
      </w:tr>
      <w:tr w:rsidR="00EA0DC7" w:rsidRPr="00EA0DC7" w14:paraId="6D65C327" w14:textId="77777777" w:rsidTr="00891F1E">
        <w:trPr>
          <w:trHeight w:val="80"/>
        </w:trPr>
        <w:tc>
          <w:tcPr>
            <w:tcW w:w="3119" w:type="dxa"/>
            <w:tcBorders>
              <w:top w:val="nil"/>
              <w:left w:val="nil"/>
              <w:bottom w:val="nil"/>
              <w:right w:val="nil"/>
            </w:tcBorders>
            <w:shd w:val="clear" w:color="auto" w:fill="auto"/>
            <w:hideMark/>
          </w:tcPr>
          <w:p w14:paraId="1B5E453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Hawkins &amp; Shohet (1993)</w:t>
            </w:r>
          </w:p>
        </w:tc>
        <w:tc>
          <w:tcPr>
            <w:tcW w:w="1701" w:type="dxa"/>
            <w:tcBorders>
              <w:top w:val="nil"/>
              <w:left w:val="nil"/>
              <w:bottom w:val="nil"/>
              <w:right w:val="nil"/>
            </w:tcBorders>
            <w:shd w:val="clear" w:color="auto" w:fill="auto"/>
            <w:noWrap/>
            <w:vAlign w:val="center"/>
            <w:hideMark/>
          </w:tcPr>
          <w:p w14:paraId="0A90F970"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76BDFD99"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71B6D475"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0E0192B4" w14:textId="77777777" w:rsidR="003F0CDB" w:rsidRPr="00EA0DC7" w:rsidRDefault="003F0CDB" w:rsidP="00957911">
            <w:pPr>
              <w:spacing w:line="240" w:lineRule="auto"/>
              <w:jc w:val="center"/>
              <w:rPr>
                <w:rFonts w:eastAsia="Times New Roman" w:cs="Arial"/>
                <w:szCs w:val="24"/>
              </w:rPr>
            </w:pPr>
          </w:p>
        </w:tc>
      </w:tr>
      <w:tr w:rsidR="00EA0DC7" w:rsidRPr="00EA0DC7" w14:paraId="52855C32" w14:textId="77777777" w:rsidTr="00891F1E">
        <w:trPr>
          <w:trHeight w:val="80"/>
        </w:trPr>
        <w:tc>
          <w:tcPr>
            <w:tcW w:w="3119" w:type="dxa"/>
            <w:tcBorders>
              <w:top w:val="nil"/>
              <w:left w:val="nil"/>
              <w:bottom w:val="nil"/>
              <w:right w:val="nil"/>
            </w:tcBorders>
            <w:shd w:val="clear" w:color="auto" w:fill="auto"/>
            <w:hideMark/>
          </w:tcPr>
          <w:p w14:paraId="73FC9F1C"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Rodenhauser (1994)</w:t>
            </w:r>
          </w:p>
        </w:tc>
        <w:tc>
          <w:tcPr>
            <w:tcW w:w="1701" w:type="dxa"/>
            <w:tcBorders>
              <w:top w:val="nil"/>
              <w:left w:val="nil"/>
              <w:bottom w:val="nil"/>
              <w:right w:val="nil"/>
            </w:tcBorders>
            <w:shd w:val="clear" w:color="auto" w:fill="auto"/>
            <w:noWrap/>
            <w:vAlign w:val="center"/>
            <w:hideMark/>
          </w:tcPr>
          <w:p w14:paraId="3D70DD6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DEA5F02"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134B981C"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56172F7B" w14:textId="77777777" w:rsidR="003F0CDB" w:rsidRPr="00EA0DC7" w:rsidRDefault="003F0CDB" w:rsidP="00957911">
            <w:pPr>
              <w:spacing w:line="240" w:lineRule="auto"/>
              <w:jc w:val="center"/>
              <w:rPr>
                <w:rFonts w:eastAsia="Times New Roman" w:cs="Arial"/>
                <w:szCs w:val="24"/>
              </w:rPr>
            </w:pPr>
          </w:p>
        </w:tc>
      </w:tr>
      <w:tr w:rsidR="00EA0DC7" w:rsidRPr="00EA0DC7" w14:paraId="3D8E99B9" w14:textId="77777777" w:rsidTr="00891F1E">
        <w:trPr>
          <w:trHeight w:val="80"/>
        </w:trPr>
        <w:tc>
          <w:tcPr>
            <w:tcW w:w="3119" w:type="dxa"/>
            <w:tcBorders>
              <w:top w:val="nil"/>
              <w:left w:val="nil"/>
              <w:bottom w:val="nil"/>
              <w:right w:val="nil"/>
            </w:tcBorders>
            <w:shd w:val="clear" w:color="auto" w:fill="auto"/>
            <w:hideMark/>
          </w:tcPr>
          <w:p w14:paraId="612ED430"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Thomas (1994)</w:t>
            </w:r>
          </w:p>
        </w:tc>
        <w:tc>
          <w:tcPr>
            <w:tcW w:w="1701" w:type="dxa"/>
            <w:tcBorders>
              <w:top w:val="nil"/>
              <w:left w:val="nil"/>
              <w:bottom w:val="nil"/>
              <w:right w:val="nil"/>
            </w:tcBorders>
            <w:shd w:val="clear" w:color="auto" w:fill="auto"/>
            <w:noWrap/>
            <w:vAlign w:val="center"/>
            <w:hideMark/>
          </w:tcPr>
          <w:p w14:paraId="5C8F1019"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7769870A"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266E836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78B47237" w14:textId="77777777" w:rsidR="003F0CDB" w:rsidRPr="00EA0DC7" w:rsidRDefault="003F0CDB" w:rsidP="00957911">
            <w:pPr>
              <w:spacing w:line="240" w:lineRule="auto"/>
              <w:jc w:val="center"/>
              <w:rPr>
                <w:rFonts w:eastAsia="Times New Roman" w:cs="Arial"/>
                <w:szCs w:val="24"/>
              </w:rPr>
            </w:pPr>
          </w:p>
        </w:tc>
      </w:tr>
      <w:tr w:rsidR="00EA0DC7" w:rsidRPr="00EA0DC7" w14:paraId="31FA4CD7" w14:textId="77777777" w:rsidTr="00891F1E">
        <w:trPr>
          <w:trHeight w:val="125"/>
        </w:trPr>
        <w:tc>
          <w:tcPr>
            <w:tcW w:w="3119" w:type="dxa"/>
            <w:tcBorders>
              <w:top w:val="nil"/>
              <w:left w:val="nil"/>
              <w:bottom w:val="nil"/>
              <w:right w:val="nil"/>
            </w:tcBorders>
            <w:shd w:val="clear" w:color="auto" w:fill="auto"/>
            <w:hideMark/>
          </w:tcPr>
          <w:p w14:paraId="22AC1DDC"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Rigazio-DiGilio &amp; Anderson (1994)</w:t>
            </w:r>
          </w:p>
        </w:tc>
        <w:tc>
          <w:tcPr>
            <w:tcW w:w="1701" w:type="dxa"/>
            <w:tcBorders>
              <w:top w:val="nil"/>
              <w:left w:val="nil"/>
              <w:bottom w:val="nil"/>
              <w:right w:val="nil"/>
            </w:tcBorders>
            <w:shd w:val="clear" w:color="auto" w:fill="auto"/>
            <w:noWrap/>
            <w:vAlign w:val="center"/>
            <w:hideMark/>
          </w:tcPr>
          <w:p w14:paraId="4002379F"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301C992B"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42CC842"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550B6A4F" w14:textId="77777777" w:rsidR="003F0CDB" w:rsidRPr="00EA0DC7" w:rsidRDefault="003F0CDB" w:rsidP="00957911">
            <w:pPr>
              <w:spacing w:line="240" w:lineRule="auto"/>
              <w:jc w:val="center"/>
              <w:rPr>
                <w:rFonts w:eastAsia="Times New Roman" w:cs="Arial"/>
                <w:szCs w:val="24"/>
              </w:rPr>
            </w:pPr>
          </w:p>
        </w:tc>
      </w:tr>
      <w:tr w:rsidR="00EA0DC7" w:rsidRPr="00EA0DC7" w14:paraId="517D4DAD" w14:textId="77777777" w:rsidTr="00891F1E">
        <w:trPr>
          <w:trHeight w:val="80"/>
        </w:trPr>
        <w:tc>
          <w:tcPr>
            <w:tcW w:w="3119" w:type="dxa"/>
            <w:tcBorders>
              <w:top w:val="nil"/>
              <w:left w:val="nil"/>
              <w:bottom w:val="nil"/>
              <w:right w:val="nil"/>
            </w:tcBorders>
            <w:shd w:val="clear" w:color="auto" w:fill="auto"/>
            <w:hideMark/>
          </w:tcPr>
          <w:p w14:paraId="6A629C69"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Holloway (1995)</w:t>
            </w:r>
          </w:p>
        </w:tc>
        <w:tc>
          <w:tcPr>
            <w:tcW w:w="1701" w:type="dxa"/>
            <w:tcBorders>
              <w:top w:val="nil"/>
              <w:left w:val="nil"/>
              <w:bottom w:val="nil"/>
              <w:right w:val="nil"/>
            </w:tcBorders>
            <w:shd w:val="clear" w:color="auto" w:fill="auto"/>
            <w:noWrap/>
            <w:vAlign w:val="center"/>
            <w:hideMark/>
          </w:tcPr>
          <w:p w14:paraId="64174CD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6CEBFF77"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4B461E1"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071BD314" w14:textId="77777777" w:rsidR="003F0CDB" w:rsidRPr="00EA0DC7" w:rsidRDefault="003F0CDB" w:rsidP="00957911">
            <w:pPr>
              <w:spacing w:line="240" w:lineRule="auto"/>
              <w:jc w:val="center"/>
              <w:rPr>
                <w:rFonts w:eastAsia="Times New Roman" w:cs="Arial"/>
                <w:szCs w:val="24"/>
              </w:rPr>
            </w:pPr>
          </w:p>
        </w:tc>
      </w:tr>
      <w:tr w:rsidR="00EA0DC7" w:rsidRPr="00EA0DC7" w14:paraId="19A452EF" w14:textId="77777777" w:rsidTr="00891F1E">
        <w:trPr>
          <w:trHeight w:val="80"/>
        </w:trPr>
        <w:tc>
          <w:tcPr>
            <w:tcW w:w="3119" w:type="dxa"/>
            <w:tcBorders>
              <w:top w:val="nil"/>
              <w:left w:val="nil"/>
              <w:bottom w:val="nil"/>
              <w:right w:val="nil"/>
            </w:tcBorders>
            <w:shd w:val="clear" w:color="auto" w:fill="auto"/>
            <w:hideMark/>
          </w:tcPr>
          <w:p w14:paraId="4F19D484"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Hipp &amp; Munson (1995)</w:t>
            </w:r>
          </w:p>
        </w:tc>
        <w:tc>
          <w:tcPr>
            <w:tcW w:w="1701" w:type="dxa"/>
            <w:tcBorders>
              <w:top w:val="nil"/>
              <w:left w:val="nil"/>
              <w:bottom w:val="nil"/>
              <w:right w:val="nil"/>
            </w:tcBorders>
            <w:shd w:val="clear" w:color="auto" w:fill="auto"/>
            <w:noWrap/>
            <w:vAlign w:val="center"/>
            <w:hideMark/>
          </w:tcPr>
          <w:p w14:paraId="2CFAB0A9"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2857FBAB"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25E9268"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11237DF8" w14:textId="77777777" w:rsidR="003F0CDB" w:rsidRPr="00EA0DC7" w:rsidRDefault="003F0CDB" w:rsidP="00957911">
            <w:pPr>
              <w:spacing w:line="240" w:lineRule="auto"/>
              <w:jc w:val="center"/>
              <w:rPr>
                <w:rFonts w:eastAsia="Times New Roman" w:cs="Arial"/>
                <w:szCs w:val="24"/>
              </w:rPr>
            </w:pPr>
          </w:p>
        </w:tc>
      </w:tr>
      <w:tr w:rsidR="00EA0DC7" w:rsidRPr="00EA0DC7" w14:paraId="7C6E65FC" w14:textId="77777777" w:rsidTr="00891F1E">
        <w:trPr>
          <w:trHeight w:val="80"/>
        </w:trPr>
        <w:tc>
          <w:tcPr>
            <w:tcW w:w="3119" w:type="dxa"/>
            <w:tcBorders>
              <w:top w:val="nil"/>
              <w:left w:val="nil"/>
              <w:bottom w:val="nil"/>
              <w:right w:val="nil"/>
            </w:tcBorders>
            <w:shd w:val="clear" w:color="auto" w:fill="auto"/>
            <w:hideMark/>
          </w:tcPr>
          <w:p w14:paraId="500E6B5F"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Carroll (1996)</w:t>
            </w:r>
          </w:p>
        </w:tc>
        <w:tc>
          <w:tcPr>
            <w:tcW w:w="1701" w:type="dxa"/>
            <w:tcBorders>
              <w:top w:val="nil"/>
              <w:left w:val="nil"/>
              <w:bottom w:val="nil"/>
              <w:right w:val="nil"/>
            </w:tcBorders>
            <w:shd w:val="clear" w:color="auto" w:fill="auto"/>
            <w:noWrap/>
            <w:vAlign w:val="center"/>
            <w:hideMark/>
          </w:tcPr>
          <w:p w14:paraId="5439FF7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500A5DE8"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8C179C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7169A1BB" w14:textId="77777777" w:rsidR="003F0CDB" w:rsidRPr="00EA0DC7" w:rsidRDefault="003F0CDB" w:rsidP="00957911">
            <w:pPr>
              <w:spacing w:line="240" w:lineRule="auto"/>
              <w:jc w:val="center"/>
              <w:rPr>
                <w:rFonts w:eastAsia="Times New Roman" w:cs="Arial"/>
                <w:szCs w:val="24"/>
              </w:rPr>
            </w:pPr>
          </w:p>
        </w:tc>
      </w:tr>
      <w:tr w:rsidR="00EA0DC7" w:rsidRPr="00EA0DC7" w14:paraId="333EA7C3" w14:textId="77777777" w:rsidTr="00891F1E">
        <w:trPr>
          <w:trHeight w:val="80"/>
        </w:trPr>
        <w:tc>
          <w:tcPr>
            <w:tcW w:w="3119" w:type="dxa"/>
            <w:tcBorders>
              <w:top w:val="nil"/>
              <w:left w:val="nil"/>
              <w:bottom w:val="nil"/>
              <w:right w:val="nil"/>
            </w:tcBorders>
            <w:shd w:val="clear" w:color="auto" w:fill="auto"/>
            <w:hideMark/>
          </w:tcPr>
          <w:p w14:paraId="324B79D8"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Carroll (1996)</w:t>
            </w:r>
          </w:p>
        </w:tc>
        <w:tc>
          <w:tcPr>
            <w:tcW w:w="1701" w:type="dxa"/>
            <w:tcBorders>
              <w:top w:val="nil"/>
              <w:left w:val="nil"/>
              <w:bottom w:val="nil"/>
              <w:right w:val="nil"/>
            </w:tcBorders>
            <w:shd w:val="clear" w:color="auto" w:fill="auto"/>
            <w:noWrap/>
            <w:vAlign w:val="center"/>
            <w:hideMark/>
          </w:tcPr>
          <w:p w14:paraId="148E32B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E3BF81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nil"/>
              <w:left w:val="nil"/>
              <w:bottom w:val="nil"/>
              <w:right w:val="nil"/>
            </w:tcBorders>
            <w:vAlign w:val="center"/>
          </w:tcPr>
          <w:p w14:paraId="4DA83B0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49ED64BE" w14:textId="77777777" w:rsidR="003F0CDB" w:rsidRPr="00EA0DC7" w:rsidRDefault="003F0CDB" w:rsidP="00957911">
            <w:pPr>
              <w:spacing w:line="240" w:lineRule="auto"/>
              <w:jc w:val="center"/>
              <w:rPr>
                <w:rFonts w:eastAsia="Times New Roman" w:cs="Arial"/>
                <w:szCs w:val="24"/>
              </w:rPr>
            </w:pPr>
          </w:p>
        </w:tc>
      </w:tr>
      <w:tr w:rsidR="00EA0DC7" w:rsidRPr="00EA0DC7" w14:paraId="264EE5D5" w14:textId="77777777" w:rsidTr="00891F1E">
        <w:trPr>
          <w:trHeight w:val="80"/>
        </w:trPr>
        <w:tc>
          <w:tcPr>
            <w:tcW w:w="3119" w:type="dxa"/>
            <w:tcBorders>
              <w:top w:val="nil"/>
              <w:left w:val="nil"/>
              <w:bottom w:val="nil"/>
              <w:right w:val="nil"/>
            </w:tcBorders>
            <w:shd w:val="clear" w:color="auto" w:fill="auto"/>
            <w:hideMark/>
          </w:tcPr>
          <w:p w14:paraId="05B6BC69"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Haber (1996)</w:t>
            </w:r>
          </w:p>
        </w:tc>
        <w:tc>
          <w:tcPr>
            <w:tcW w:w="1701" w:type="dxa"/>
            <w:tcBorders>
              <w:top w:val="nil"/>
              <w:left w:val="nil"/>
              <w:bottom w:val="nil"/>
              <w:right w:val="nil"/>
            </w:tcBorders>
            <w:shd w:val="clear" w:color="auto" w:fill="auto"/>
            <w:noWrap/>
            <w:vAlign w:val="center"/>
            <w:hideMark/>
          </w:tcPr>
          <w:p w14:paraId="4E66B01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547DE859"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7D478C8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3CE7DE7B" w14:textId="77777777" w:rsidR="003F0CDB" w:rsidRPr="00EA0DC7" w:rsidRDefault="003F0CDB" w:rsidP="00957911">
            <w:pPr>
              <w:spacing w:line="240" w:lineRule="auto"/>
              <w:jc w:val="center"/>
              <w:rPr>
                <w:rFonts w:eastAsia="Times New Roman" w:cs="Arial"/>
                <w:szCs w:val="24"/>
              </w:rPr>
            </w:pPr>
          </w:p>
        </w:tc>
      </w:tr>
      <w:tr w:rsidR="00EA0DC7" w:rsidRPr="00EA0DC7" w14:paraId="798C2169" w14:textId="77777777" w:rsidTr="00891F1E">
        <w:trPr>
          <w:trHeight w:val="80"/>
        </w:trPr>
        <w:tc>
          <w:tcPr>
            <w:tcW w:w="3119" w:type="dxa"/>
            <w:tcBorders>
              <w:top w:val="nil"/>
              <w:left w:val="nil"/>
              <w:bottom w:val="nil"/>
              <w:right w:val="nil"/>
            </w:tcBorders>
            <w:shd w:val="clear" w:color="auto" w:fill="auto"/>
            <w:hideMark/>
          </w:tcPr>
          <w:p w14:paraId="3BD3EB5B"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Liese &amp; Beck (1997)</w:t>
            </w:r>
          </w:p>
        </w:tc>
        <w:tc>
          <w:tcPr>
            <w:tcW w:w="1701" w:type="dxa"/>
            <w:tcBorders>
              <w:top w:val="nil"/>
              <w:left w:val="nil"/>
              <w:bottom w:val="nil"/>
              <w:right w:val="nil"/>
            </w:tcBorders>
            <w:shd w:val="clear" w:color="auto" w:fill="auto"/>
            <w:noWrap/>
            <w:vAlign w:val="center"/>
            <w:hideMark/>
          </w:tcPr>
          <w:p w14:paraId="4BF8C6C4"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21EE3CB3"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4B9B5D4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2256DDEA" w14:textId="77777777" w:rsidR="003F0CDB" w:rsidRPr="00EA0DC7" w:rsidRDefault="003F0CDB" w:rsidP="00957911">
            <w:pPr>
              <w:spacing w:line="240" w:lineRule="auto"/>
              <w:jc w:val="center"/>
              <w:rPr>
                <w:rFonts w:eastAsia="Times New Roman" w:cs="Arial"/>
                <w:szCs w:val="24"/>
              </w:rPr>
            </w:pPr>
          </w:p>
        </w:tc>
      </w:tr>
      <w:tr w:rsidR="00EA0DC7" w:rsidRPr="00EA0DC7" w14:paraId="0A73A251" w14:textId="77777777" w:rsidTr="00891F1E">
        <w:trPr>
          <w:trHeight w:val="80"/>
        </w:trPr>
        <w:tc>
          <w:tcPr>
            <w:tcW w:w="3119" w:type="dxa"/>
            <w:tcBorders>
              <w:top w:val="nil"/>
              <w:left w:val="nil"/>
              <w:bottom w:val="nil"/>
              <w:right w:val="nil"/>
            </w:tcBorders>
            <w:shd w:val="clear" w:color="auto" w:fill="auto"/>
            <w:hideMark/>
          </w:tcPr>
          <w:p w14:paraId="0FEABD52"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Ward &amp; House (1998)</w:t>
            </w:r>
          </w:p>
        </w:tc>
        <w:tc>
          <w:tcPr>
            <w:tcW w:w="1701" w:type="dxa"/>
            <w:tcBorders>
              <w:top w:val="nil"/>
              <w:left w:val="nil"/>
              <w:bottom w:val="nil"/>
              <w:right w:val="nil"/>
            </w:tcBorders>
            <w:shd w:val="clear" w:color="auto" w:fill="auto"/>
            <w:noWrap/>
            <w:vAlign w:val="center"/>
            <w:hideMark/>
          </w:tcPr>
          <w:p w14:paraId="3B6DB626"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7AF1B4F4"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25B7FD16"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1E7505FE" w14:textId="77777777" w:rsidR="003F0CDB" w:rsidRPr="00EA0DC7" w:rsidRDefault="003F0CDB" w:rsidP="00957911">
            <w:pPr>
              <w:spacing w:line="240" w:lineRule="auto"/>
              <w:jc w:val="center"/>
              <w:rPr>
                <w:rFonts w:eastAsia="Times New Roman" w:cs="Arial"/>
                <w:szCs w:val="24"/>
              </w:rPr>
            </w:pPr>
          </w:p>
        </w:tc>
      </w:tr>
      <w:tr w:rsidR="00EA0DC7" w:rsidRPr="00EA0DC7" w14:paraId="67646AF3" w14:textId="77777777" w:rsidTr="00891F1E">
        <w:trPr>
          <w:trHeight w:val="80"/>
        </w:trPr>
        <w:tc>
          <w:tcPr>
            <w:tcW w:w="3119" w:type="dxa"/>
            <w:tcBorders>
              <w:top w:val="nil"/>
              <w:left w:val="nil"/>
              <w:bottom w:val="nil"/>
              <w:right w:val="nil"/>
            </w:tcBorders>
            <w:shd w:val="clear" w:color="auto" w:fill="auto"/>
            <w:hideMark/>
          </w:tcPr>
          <w:p w14:paraId="1126A404"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Bob (1999)</w:t>
            </w:r>
          </w:p>
        </w:tc>
        <w:tc>
          <w:tcPr>
            <w:tcW w:w="1701" w:type="dxa"/>
            <w:tcBorders>
              <w:top w:val="nil"/>
              <w:left w:val="nil"/>
              <w:bottom w:val="nil"/>
              <w:right w:val="nil"/>
            </w:tcBorders>
            <w:shd w:val="clear" w:color="auto" w:fill="auto"/>
            <w:noWrap/>
            <w:vAlign w:val="center"/>
            <w:hideMark/>
          </w:tcPr>
          <w:p w14:paraId="126EF5D6"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45D9D80D"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142453C"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7666F8D1" w14:textId="77777777" w:rsidR="003F0CDB" w:rsidRPr="00EA0DC7" w:rsidRDefault="003F0CDB" w:rsidP="00957911">
            <w:pPr>
              <w:spacing w:line="240" w:lineRule="auto"/>
              <w:jc w:val="center"/>
              <w:rPr>
                <w:rFonts w:eastAsia="Times New Roman" w:cs="Arial"/>
                <w:szCs w:val="24"/>
              </w:rPr>
            </w:pPr>
          </w:p>
        </w:tc>
      </w:tr>
      <w:tr w:rsidR="00EA0DC7" w:rsidRPr="00EA0DC7" w14:paraId="24B1FCFB" w14:textId="77777777" w:rsidTr="00891F1E">
        <w:trPr>
          <w:trHeight w:val="80"/>
        </w:trPr>
        <w:tc>
          <w:tcPr>
            <w:tcW w:w="3119" w:type="dxa"/>
            <w:tcBorders>
              <w:top w:val="nil"/>
              <w:left w:val="nil"/>
              <w:right w:val="nil"/>
            </w:tcBorders>
            <w:shd w:val="clear" w:color="auto" w:fill="auto"/>
            <w:hideMark/>
          </w:tcPr>
          <w:p w14:paraId="1267E464"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Nelson &amp; Johnson (1999)</w:t>
            </w:r>
          </w:p>
        </w:tc>
        <w:tc>
          <w:tcPr>
            <w:tcW w:w="1701" w:type="dxa"/>
            <w:tcBorders>
              <w:top w:val="nil"/>
              <w:left w:val="nil"/>
              <w:right w:val="nil"/>
            </w:tcBorders>
            <w:shd w:val="clear" w:color="auto" w:fill="auto"/>
            <w:noWrap/>
            <w:vAlign w:val="center"/>
            <w:hideMark/>
          </w:tcPr>
          <w:p w14:paraId="36B18A5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right w:val="nil"/>
            </w:tcBorders>
            <w:shd w:val="clear" w:color="auto" w:fill="auto"/>
            <w:noWrap/>
            <w:vAlign w:val="center"/>
            <w:hideMark/>
          </w:tcPr>
          <w:p w14:paraId="54145C41"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2C241C1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vAlign w:val="center"/>
          </w:tcPr>
          <w:p w14:paraId="00570045" w14:textId="77777777" w:rsidR="003F0CDB" w:rsidRPr="00EA0DC7" w:rsidRDefault="003F0CDB" w:rsidP="00957911">
            <w:pPr>
              <w:spacing w:line="240" w:lineRule="auto"/>
              <w:jc w:val="center"/>
              <w:rPr>
                <w:rFonts w:eastAsia="Times New Roman" w:cs="Arial"/>
                <w:szCs w:val="24"/>
              </w:rPr>
            </w:pPr>
          </w:p>
        </w:tc>
      </w:tr>
      <w:tr w:rsidR="00EA0DC7" w:rsidRPr="00EA0DC7" w14:paraId="1AF3AAB6" w14:textId="77777777" w:rsidTr="00891F1E">
        <w:trPr>
          <w:trHeight w:val="80"/>
        </w:trPr>
        <w:tc>
          <w:tcPr>
            <w:tcW w:w="3119" w:type="dxa"/>
            <w:tcBorders>
              <w:top w:val="nil"/>
              <w:left w:val="nil"/>
              <w:bottom w:val="single" w:sz="4" w:space="0" w:color="auto"/>
              <w:right w:val="nil"/>
            </w:tcBorders>
            <w:shd w:val="clear" w:color="auto" w:fill="auto"/>
            <w:hideMark/>
          </w:tcPr>
          <w:p w14:paraId="5B42FF93"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Edwards &amp; Chen (1999)</w:t>
            </w:r>
          </w:p>
        </w:tc>
        <w:tc>
          <w:tcPr>
            <w:tcW w:w="1701" w:type="dxa"/>
            <w:tcBorders>
              <w:top w:val="nil"/>
              <w:left w:val="nil"/>
              <w:bottom w:val="single" w:sz="4" w:space="0" w:color="auto"/>
              <w:right w:val="nil"/>
            </w:tcBorders>
            <w:shd w:val="clear" w:color="auto" w:fill="auto"/>
            <w:noWrap/>
            <w:vAlign w:val="center"/>
            <w:hideMark/>
          </w:tcPr>
          <w:p w14:paraId="3453A330"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single" w:sz="4" w:space="0" w:color="auto"/>
              <w:right w:val="nil"/>
            </w:tcBorders>
            <w:shd w:val="clear" w:color="auto" w:fill="auto"/>
            <w:noWrap/>
            <w:vAlign w:val="center"/>
            <w:hideMark/>
          </w:tcPr>
          <w:p w14:paraId="07A83ACA"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single" w:sz="4" w:space="0" w:color="auto"/>
              <w:right w:val="nil"/>
            </w:tcBorders>
            <w:vAlign w:val="center"/>
          </w:tcPr>
          <w:p w14:paraId="5BE3FC65"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single" w:sz="4" w:space="0" w:color="auto"/>
              <w:right w:val="nil"/>
            </w:tcBorders>
            <w:vAlign w:val="center"/>
          </w:tcPr>
          <w:p w14:paraId="5456A48D" w14:textId="77777777" w:rsidR="003F0CDB" w:rsidRPr="00EA0DC7" w:rsidRDefault="003F0CDB" w:rsidP="00957911">
            <w:pPr>
              <w:spacing w:line="240" w:lineRule="auto"/>
              <w:jc w:val="center"/>
              <w:rPr>
                <w:rFonts w:eastAsia="Times New Roman" w:cs="Arial"/>
                <w:szCs w:val="24"/>
              </w:rPr>
            </w:pPr>
          </w:p>
        </w:tc>
      </w:tr>
      <w:tr w:rsidR="00EA0DC7" w:rsidRPr="00EA0DC7" w14:paraId="674F266D" w14:textId="77777777" w:rsidTr="00891F1E">
        <w:trPr>
          <w:trHeight w:val="80"/>
        </w:trPr>
        <w:tc>
          <w:tcPr>
            <w:tcW w:w="3119" w:type="dxa"/>
            <w:tcBorders>
              <w:top w:val="single" w:sz="4" w:space="0" w:color="auto"/>
              <w:left w:val="nil"/>
              <w:bottom w:val="single" w:sz="4" w:space="0" w:color="auto"/>
              <w:right w:val="nil"/>
            </w:tcBorders>
            <w:shd w:val="clear" w:color="auto" w:fill="auto"/>
            <w:vAlign w:val="center"/>
          </w:tcPr>
          <w:p w14:paraId="1C2897C6" w14:textId="3751C1C5" w:rsidR="0045031E" w:rsidRPr="00EA0DC7" w:rsidRDefault="0045031E" w:rsidP="0045031E">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701" w:type="dxa"/>
            <w:tcBorders>
              <w:top w:val="single" w:sz="4" w:space="0" w:color="auto"/>
              <w:left w:val="nil"/>
              <w:bottom w:val="single" w:sz="4" w:space="0" w:color="auto"/>
              <w:right w:val="nil"/>
            </w:tcBorders>
            <w:shd w:val="clear" w:color="auto" w:fill="auto"/>
            <w:noWrap/>
            <w:vAlign w:val="center"/>
          </w:tcPr>
          <w:p w14:paraId="5C534C3D" w14:textId="56837D3B" w:rsidR="0045031E" w:rsidRPr="00EA0DC7" w:rsidRDefault="0045031E" w:rsidP="0045031E">
            <w:pPr>
              <w:spacing w:before="240" w:line="240" w:lineRule="auto"/>
              <w:jc w:val="center"/>
              <w:rPr>
                <w:rFonts w:eastAsia="Times New Roman" w:cs="Arial"/>
                <w:szCs w:val="24"/>
              </w:rPr>
            </w:pPr>
            <w:r w:rsidRPr="00EA0DC7">
              <w:rPr>
                <w:rFonts w:eastAsia="Times New Roman" w:cs="Arial"/>
                <w:b/>
                <w:bCs/>
                <w:szCs w:val="24"/>
              </w:rPr>
              <w:t>Assessment/ evaluation of supervisees</w:t>
            </w:r>
          </w:p>
        </w:tc>
        <w:tc>
          <w:tcPr>
            <w:tcW w:w="1417" w:type="dxa"/>
            <w:tcBorders>
              <w:top w:val="single" w:sz="4" w:space="0" w:color="auto"/>
              <w:left w:val="nil"/>
              <w:bottom w:val="single" w:sz="4" w:space="0" w:color="auto"/>
              <w:right w:val="nil"/>
            </w:tcBorders>
            <w:shd w:val="clear" w:color="auto" w:fill="auto"/>
            <w:noWrap/>
            <w:vAlign w:val="center"/>
          </w:tcPr>
          <w:p w14:paraId="02A09AAD" w14:textId="0D681209" w:rsidR="0045031E" w:rsidRPr="00EA0DC7" w:rsidRDefault="0045031E" w:rsidP="0045031E">
            <w:pPr>
              <w:spacing w:before="240" w:line="240" w:lineRule="auto"/>
              <w:jc w:val="center"/>
              <w:rPr>
                <w:rFonts w:eastAsia="Times New Roman" w:cs="Arial"/>
                <w:szCs w:val="24"/>
              </w:rPr>
            </w:pPr>
            <w:r w:rsidRPr="00EA0DC7">
              <w:rPr>
                <w:rFonts w:eastAsia="Times New Roman" w:cs="Arial"/>
                <w:b/>
                <w:bCs/>
                <w:szCs w:val="24"/>
              </w:rPr>
              <w:t>Evaluating/monitoring work with clients</w:t>
            </w:r>
          </w:p>
        </w:tc>
        <w:tc>
          <w:tcPr>
            <w:tcW w:w="1560" w:type="dxa"/>
            <w:tcBorders>
              <w:top w:val="single" w:sz="4" w:space="0" w:color="auto"/>
              <w:left w:val="nil"/>
              <w:bottom w:val="single" w:sz="4" w:space="0" w:color="auto"/>
              <w:right w:val="nil"/>
            </w:tcBorders>
            <w:vAlign w:val="center"/>
          </w:tcPr>
          <w:p w14:paraId="665AA282" w14:textId="6C888F53" w:rsidR="0045031E" w:rsidRPr="00EA0DC7" w:rsidRDefault="0045031E" w:rsidP="0045031E">
            <w:pPr>
              <w:spacing w:before="240" w:line="240" w:lineRule="auto"/>
              <w:jc w:val="center"/>
              <w:rPr>
                <w:rFonts w:eastAsia="Times New Roman" w:cs="Arial"/>
                <w:szCs w:val="24"/>
              </w:rPr>
            </w:pPr>
            <w:r w:rsidRPr="00EA0DC7">
              <w:rPr>
                <w:rFonts w:eastAsia="Times New Roman" w:cs="Arial"/>
                <w:b/>
                <w:bCs/>
                <w:szCs w:val="24"/>
              </w:rPr>
              <w:t>Feedback from supervisor and/or supervisee</w:t>
            </w:r>
          </w:p>
        </w:tc>
        <w:tc>
          <w:tcPr>
            <w:tcW w:w="1134" w:type="dxa"/>
            <w:tcBorders>
              <w:top w:val="single" w:sz="4" w:space="0" w:color="auto"/>
              <w:left w:val="nil"/>
              <w:bottom w:val="single" w:sz="4" w:space="0" w:color="auto"/>
              <w:right w:val="nil"/>
            </w:tcBorders>
            <w:vAlign w:val="center"/>
          </w:tcPr>
          <w:p w14:paraId="3E192FE5" w14:textId="655A5C77" w:rsidR="0045031E" w:rsidRPr="00EA0DC7" w:rsidRDefault="0045031E" w:rsidP="0045031E">
            <w:pPr>
              <w:spacing w:before="240" w:line="240" w:lineRule="auto"/>
              <w:jc w:val="center"/>
              <w:rPr>
                <w:rFonts w:eastAsia="Times New Roman" w:cs="Arial"/>
                <w:szCs w:val="24"/>
              </w:rPr>
            </w:pPr>
            <w:r w:rsidRPr="00EA0DC7">
              <w:rPr>
                <w:rFonts w:eastAsia="Times New Roman" w:cs="Arial"/>
                <w:b/>
                <w:bCs/>
                <w:szCs w:val="24"/>
              </w:rPr>
              <w:t>Feed</w:t>
            </w:r>
            <w:r w:rsidR="00981DD9" w:rsidRPr="00EA0DC7">
              <w:rPr>
                <w:rFonts w:eastAsia="Times New Roman" w:cs="Arial"/>
                <w:b/>
                <w:bCs/>
                <w:szCs w:val="24"/>
              </w:rPr>
              <w:t>-</w:t>
            </w:r>
            <w:r w:rsidRPr="00EA0DC7">
              <w:rPr>
                <w:rFonts w:eastAsia="Times New Roman" w:cs="Arial"/>
                <w:b/>
                <w:bCs/>
                <w:szCs w:val="24"/>
              </w:rPr>
              <w:t>back from clients</w:t>
            </w:r>
          </w:p>
        </w:tc>
      </w:tr>
      <w:tr w:rsidR="00EA0DC7" w:rsidRPr="00EA0DC7" w14:paraId="2E11F9CE" w14:textId="77777777" w:rsidTr="00891F1E">
        <w:trPr>
          <w:trHeight w:val="80"/>
        </w:trPr>
        <w:tc>
          <w:tcPr>
            <w:tcW w:w="3119" w:type="dxa"/>
            <w:tcBorders>
              <w:top w:val="single" w:sz="4" w:space="0" w:color="auto"/>
              <w:left w:val="nil"/>
              <w:bottom w:val="nil"/>
              <w:right w:val="nil"/>
            </w:tcBorders>
            <w:shd w:val="clear" w:color="auto" w:fill="auto"/>
            <w:hideMark/>
          </w:tcPr>
          <w:p w14:paraId="10E8DAC4" w14:textId="77777777" w:rsidR="003F0CDB" w:rsidRPr="00EA0DC7" w:rsidRDefault="003F0CDB" w:rsidP="0045031E">
            <w:pPr>
              <w:spacing w:before="240" w:line="240" w:lineRule="auto"/>
              <w:jc w:val="left"/>
              <w:rPr>
                <w:rFonts w:eastAsia="Times New Roman" w:cs="Arial"/>
                <w:szCs w:val="24"/>
              </w:rPr>
            </w:pPr>
            <w:r w:rsidRPr="00EA0DC7">
              <w:rPr>
                <w:rFonts w:eastAsia="Times New Roman" w:cs="Arial"/>
                <w:szCs w:val="24"/>
              </w:rPr>
              <w:t>Granello (2000)</w:t>
            </w:r>
          </w:p>
        </w:tc>
        <w:tc>
          <w:tcPr>
            <w:tcW w:w="1701" w:type="dxa"/>
            <w:tcBorders>
              <w:top w:val="single" w:sz="4" w:space="0" w:color="auto"/>
              <w:left w:val="nil"/>
              <w:bottom w:val="nil"/>
              <w:right w:val="nil"/>
            </w:tcBorders>
            <w:shd w:val="clear" w:color="auto" w:fill="auto"/>
            <w:noWrap/>
            <w:vAlign w:val="center"/>
            <w:hideMark/>
          </w:tcPr>
          <w:p w14:paraId="501D5217" w14:textId="77777777" w:rsidR="003F0CDB" w:rsidRPr="00EA0DC7" w:rsidRDefault="003F0CDB" w:rsidP="0045031E">
            <w:pPr>
              <w:spacing w:before="240"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single" w:sz="4" w:space="0" w:color="auto"/>
              <w:left w:val="nil"/>
              <w:bottom w:val="nil"/>
              <w:right w:val="nil"/>
            </w:tcBorders>
            <w:shd w:val="clear" w:color="auto" w:fill="auto"/>
            <w:noWrap/>
            <w:vAlign w:val="center"/>
            <w:hideMark/>
          </w:tcPr>
          <w:p w14:paraId="0FE321BD" w14:textId="77777777" w:rsidR="003F0CDB" w:rsidRPr="00EA0DC7" w:rsidRDefault="003F0CDB" w:rsidP="0045031E">
            <w:pPr>
              <w:spacing w:before="240"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single" w:sz="4" w:space="0" w:color="auto"/>
              <w:left w:val="nil"/>
              <w:bottom w:val="nil"/>
              <w:right w:val="nil"/>
            </w:tcBorders>
            <w:vAlign w:val="center"/>
          </w:tcPr>
          <w:p w14:paraId="1791F9EC" w14:textId="77777777" w:rsidR="003F0CDB" w:rsidRPr="00EA0DC7" w:rsidRDefault="003F0CDB" w:rsidP="0045031E">
            <w:pPr>
              <w:spacing w:before="240"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single" w:sz="4" w:space="0" w:color="auto"/>
              <w:left w:val="nil"/>
              <w:bottom w:val="nil"/>
              <w:right w:val="nil"/>
            </w:tcBorders>
            <w:vAlign w:val="center"/>
          </w:tcPr>
          <w:p w14:paraId="562D974B" w14:textId="77777777" w:rsidR="003F0CDB" w:rsidRPr="00EA0DC7" w:rsidRDefault="003F0CDB" w:rsidP="0045031E">
            <w:pPr>
              <w:spacing w:before="240" w:line="240" w:lineRule="auto"/>
              <w:jc w:val="center"/>
              <w:rPr>
                <w:rFonts w:eastAsia="Times New Roman" w:cs="Arial"/>
                <w:szCs w:val="24"/>
              </w:rPr>
            </w:pPr>
          </w:p>
        </w:tc>
      </w:tr>
      <w:tr w:rsidR="00EA0DC7" w:rsidRPr="00EA0DC7" w14:paraId="517DD8BC" w14:textId="77777777" w:rsidTr="00891F1E">
        <w:trPr>
          <w:trHeight w:val="80"/>
        </w:trPr>
        <w:tc>
          <w:tcPr>
            <w:tcW w:w="3119" w:type="dxa"/>
            <w:tcBorders>
              <w:top w:val="nil"/>
              <w:left w:val="nil"/>
              <w:right w:val="nil"/>
            </w:tcBorders>
            <w:shd w:val="clear" w:color="auto" w:fill="auto"/>
            <w:hideMark/>
          </w:tcPr>
          <w:p w14:paraId="02A91A59"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Gilbert &amp; Evans (2000)</w:t>
            </w:r>
          </w:p>
        </w:tc>
        <w:tc>
          <w:tcPr>
            <w:tcW w:w="1701" w:type="dxa"/>
            <w:tcBorders>
              <w:top w:val="nil"/>
              <w:left w:val="nil"/>
              <w:right w:val="nil"/>
            </w:tcBorders>
            <w:shd w:val="clear" w:color="auto" w:fill="auto"/>
            <w:noWrap/>
            <w:vAlign w:val="center"/>
            <w:hideMark/>
          </w:tcPr>
          <w:p w14:paraId="2C6478E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right w:val="nil"/>
            </w:tcBorders>
            <w:shd w:val="clear" w:color="auto" w:fill="auto"/>
            <w:noWrap/>
            <w:vAlign w:val="center"/>
            <w:hideMark/>
          </w:tcPr>
          <w:p w14:paraId="257E6AE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nil"/>
              <w:left w:val="nil"/>
              <w:right w:val="nil"/>
            </w:tcBorders>
            <w:vAlign w:val="center"/>
          </w:tcPr>
          <w:p w14:paraId="7DD88AA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vAlign w:val="center"/>
          </w:tcPr>
          <w:p w14:paraId="774C9F07" w14:textId="77777777" w:rsidR="003F0CDB" w:rsidRPr="00EA0DC7" w:rsidRDefault="003F0CDB" w:rsidP="00957911">
            <w:pPr>
              <w:spacing w:line="240" w:lineRule="auto"/>
              <w:jc w:val="center"/>
              <w:rPr>
                <w:rFonts w:eastAsia="Times New Roman" w:cs="Arial"/>
                <w:szCs w:val="24"/>
              </w:rPr>
            </w:pPr>
          </w:p>
        </w:tc>
      </w:tr>
      <w:tr w:rsidR="00EA0DC7" w:rsidRPr="00EA0DC7" w14:paraId="46A0EA29" w14:textId="77777777" w:rsidTr="00891F1E">
        <w:trPr>
          <w:trHeight w:val="80"/>
        </w:trPr>
        <w:tc>
          <w:tcPr>
            <w:tcW w:w="3119" w:type="dxa"/>
            <w:tcBorders>
              <w:left w:val="nil"/>
              <w:right w:val="nil"/>
            </w:tcBorders>
            <w:shd w:val="clear" w:color="auto" w:fill="auto"/>
            <w:hideMark/>
          </w:tcPr>
          <w:p w14:paraId="7D4BF7FF"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 xml:space="preserve">Scaife (2001) </w:t>
            </w:r>
          </w:p>
        </w:tc>
        <w:tc>
          <w:tcPr>
            <w:tcW w:w="1701" w:type="dxa"/>
            <w:tcBorders>
              <w:left w:val="nil"/>
              <w:right w:val="nil"/>
            </w:tcBorders>
            <w:shd w:val="clear" w:color="auto" w:fill="auto"/>
            <w:noWrap/>
            <w:vAlign w:val="center"/>
            <w:hideMark/>
          </w:tcPr>
          <w:p w14:paraId="6675F848" w14:textId="77777777" w:rsidR="003F0CDB" w:rsidRPr="00EA0DC7" w:rsidRDefault="003F0CDB" w:rsidP="00957911">
            <w:pPr>
              <w:spacing w:line="240" w:lineRule="auto"/>
              <w:jc w:val="center"/>
              <w:rPr>
                <w:rFonts w:eastAsia="Times New Roman" w:cs="Arial"/>
                <w:szCs w:val="24"/>
              </w:rPr>
            </w:pPr>
          </w:p>
        </w:tc>
        <w:tc>
          <w:tcPr>
            <w:tcW w:w="1417" w:type="dxa"/>
            <w:tcBorders>
              <w:left w:val="nil"/>
              <w:right w:val="nil"/>
            </w:tcBorders>
            <w:shd w:val="clear" w:color="auto" w:fill="auto"/>
            <w:noWrap/>
            <w:vAlign w:val="center"/>
            <w:hideMark/>
          </w:tcPr>
          <w:p w14:paraId="56C2CBBB" w14:textId="77777777" w:rsidR="003F0CDB" w:rsidRPr="00EA0DC7" w:rsidRDefault="003F0CDB" w:rsidP="00957911">
            <w:pPr>
              <w:spacing w:line="240" w:lineRule="auto"/>
              <w:jc w:val="center"/>
              <w:rPr>
                <w:rFonts w:eastAsia="Times New Roman" w:cs="Arial"/>
                <w:szCs w:val="24"/>
              </w:rPr>
            </w:pPr>
          </w:p>
        </w:tc>
        <w:tc>
          <w:tcPr>
            <w:tcW w:w="1560" w:type="dxa"/>
            <w:tcBorders>
              <w:left w:val="nil"/>
              <w:right w:val="nil"/>
            </w:tcBorders>
            <w:vAlign w:val="center"/>
          </w:tcPr>
          <w:p w14:paraId="0A0E9C2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left w:val="nil"/>
              <w:right w:val="nil"/>
            </w:tcBorders>
            <w:vAlign w:val="center"/>
          </w:tcPr>
          <w:p w14:paraId="6D894820" w14:textId="77777777" w:rsidR="003F0CDB" w:rsidRPr="00EA0DC7" w:rsidRDefault="003F0CDB" w:rsidP="00957911">
            <w:pPr>
              <w:spacing w:line="240" w:lineRule="auto"/>
              <w:jc w:val="center"/>
              <w:rPr>
                <w:rFonts w:eastAsia="Times New Roman" w:cs="Arial"/>
                <w:szCs w:val="24"/>
              </w:rPr>
            </w:pPr>
          </w:p>
        </w:tc>
      </w:tr>
      <w:tr w:rsidR="00EA0DC7" w:rsidRPr="00EA0DC7" w14:paraId="0022C9EA" w14:textId="77777777" w:rsidTr="00891F1E">
        <w:trPr>
          <w:trHeight w:val="80"/>
        </w:trPr>
        <w:tc>
          <w:tcPr>
            <w:tcW w:w="3119" w:type="dxa"/>
            <w:tcBorders>
              <w:left w:val="nil"/>
              <w:bottom w:val="nil"/>
              <w:right w:val="nil"/>
            </w:tcBorders>
            <w:shd w:val="clear" w:color="auto" w:fill="auto"/>
            <w:hideMark/>
          </w:tcPr>
          <w:p w14:paraId="26440E86"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Frawley-O'Dea &amp; Sarnat (2001)</w:t>
            </w:r>
          </w:p>
        </w:tc>
        <w:tc>
          <w:tcPr>
            <w:tcW w:w="1701" w:type="dxa"/>
            <w:tcBorders>
              <w:left w:val="nil"/>
              <w:bottom w:val="nil"/>
              <w:right w:val="nil"/>
            </w:tcBorders>
            <w:shd w:val="clear" w:color="auto" w:fill="auto"/>
            <w:noWrap/>
            <w:vAlign w:val="center"/>
            <w:hideMark/>
          </w:tcPr>
          <w:p w14:paraId="1BEDE62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left w:val="nil"/>
              <w:bottom w:val="nil"/>
              <w:right w:val="nil"/>
            </w:tcBorders>
            <w:shd w:val="clear" w:color="auto" w:fill="auto"/>
            <w:noWrap/>
            <w:vAlign w:val="center"/>
            <w:hideMark/>
          </w:tcPr>
          <w:p w14:paraId="10A4085E" w14:textId="77777777" w:rsidR="003F0CDB" w:rsidRPr="00EA0DC7" w:rsidRDefault="003F0CDB" w:rsidP="00957911">
            <w:pPr>
              <w:spacing w:line="240" w:lineRule="auto"/>
              <w:jc w:val="center"/>
              <w:rPr>
                <w:rFonts w:eastAsia="Times New Roman" w:cs="Arial"/>
                <w:szCs w:val="24"/>
              </w:rPr>
            </w:pPr>
          </w:p>
        </w:tc>
        <w:tc>
          <w:tcPr>
            <w:tcW w:w="1560" w:type="dxa"/>
            <w:tcBorders>
              <w:left w:val="nil"/>
              <w:bottom w:val="nil"/>
              <w:right w:val="nil"/>
            </w:tcBorders>
            <w:vAlign w:val="center"/>
          </w:tcPr>
          <w:p w14:paraId="7FE1C49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left w:val="nil"/>
              <w:bottom w:val="nil"/>
              <w:right w:val="nil"/>
            </w:tcBorders>
            <w:vAlign w:val="center"/>
          </w:tcPr>
          <w:p w14:paraId="133F5815" w14:textId="77777777" w:rsidR="003F0CDB" w:rsidRPr="00EA0DC7" w:rsidRDefault="003F0CDB" w:rsidP="00957911">
            <w:pPr>
              <w:spacing w:line="240" w:lineRule="auto"/>
              <w:jc w:val="center"/>
              <w:rPr>
                <w:rFonts w:eastAsia="Times New Roman" w:cs="Arial"/>
                <w:szCs w:val="24"/>
              </w:rPr>
            </w:pPr>
          </w:p>
        </w:tc>
      </w:tr>
      <w:tr w:rsidR="00EA0DC7" w:rsidRPr="00EA0DC7" w14:paraId="719D5BEE" w14:textId="77777777" w:rsidTr="00891F1E">
        <w:trPr>
          <w:trHeight w:val="80"/>
        </w:trPr>
        <w:tc>
          <w:tcPr>
            <w:tcW w:w="3119" w:type="dxa"/>
            <w:tcBorders>
              <w:top w:val="nil"/>
              <w:left w:val="nil"/>
              <w:bottom w:val="nil"/>
              <w:right w:val="nil"/>
            </w:tcBorders>
            <w:shd w:val="clear" w:color="auto" w:fill="auto"/>
            <w:hideMark/>
          </w:tcPr>
          <w:p w14:paraId="51A8D6E5"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Lee &amp; Everett (2004)</w:t>
            </w:r>
          </w:p>
        </w:tc>
        <w:tc>
          <w:tcPr>
            <w:tcW w:w="1701" w:type="dxa"/>
            <w:tcBorders>
              <w:top w:val="nil"/>
              <w:left w:val="nil"/>
              <w:bottom w:val="nil"/>
              <w:right w:val="nil"/>
            </w:tcBorders>
            <w:shd w:val="clear" w:color="auto" w:fill="auto"/>
            <w:noWrap/>
            <w:vAlign w:val="center"/>
            <w:hideMark/>
          </w:tcPr>
          <w:p w14:paraId="5548F49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6ADB640C"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7D9A067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18F7B31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EA0DC7" w:rsidRPr="00EA0DC7" w14:paraId="4B2D4CF0" w14:textId="77777777" w:rsidTr="00891F1E">
        <w:trPr>
          <w:trHeight w:val="80"/>
        </w:trPr>
        <w:tc>
          <w:tcPr>
            <w:tcW w:w="3119" w:type="dxa"/>
            <w:tcBorders>
              <w:top w:val="nil"/>
              <w:left w:val="nil"/>
              <w:bottom w:val="nil"/>
              <w:right w:val="nil"/>
            </w:tcBorders>
            <w:shd w:val="clear" w:color="auto" w:fill="auto"/>
            <w:hideMark/>
          </w:tcPr>
          <w:p w14:paraId="3CDCA19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Ladany et al. (2005)</w:t>
            </w:r>
          </w:p>
        </w:tc>
        <w:tc>
          <w:tcPr>
            <w:tcW w:w="1701" w:type="dxa"/>
            <w:tcBorders>
              <w:top w:val="nil"/>
              <w:left w:val="nil"/>
              <w:bottom w:val="nil"/>
              <w:right w:val="nil"/>
            </w:tcBorders>
            <w:shd w:val="clear" w:color="auto" w:fill="auto"/>
            <w:noWrap/>
            <w:vAlign w:val="center"/>
            <w:hideMark/>
          </w:tcPr>
          <w:p w14:paraId="7730CA1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25C5CE31"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083EEC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506B9B2F" w14:textId="77777777" w:rsidR="003F0CDB" w:rsidRPr="00EA0DC7" w:rsidRDefault="003F0CDB" w:rsidP="00957911">
            <w:pPr>
              <w:spacing w:line="240" w:lineRule="auto"/>
              <w:jc w:val="center"/>
              <w:rPr>
                <w:rFonts w:eastAsia="Times New Roman" w:cs="Arial"/>
                <w:szCs w:val="24"/>
              </w:rPr>
            </w:pPr>
          </w:p>
        </w:tc>
      </w:tr>
      <w:tr w:rsidR="00EA0DC7" w:rsidRPr="00EA0DC7" w14:paraId="430FEDB0" w14:textId="77777777" w:rsidTr="00891F1E">
        <w:trPr>
          <w:trHeight w:val="284"/>
        </w:trPr>
        <w:tc>
          <w:tcPr>
            <w:tcW w:w="3119" w:type="dxa"/>
            <w:tcBorders>
              <w:top w:val="nil"/>
              <w:left w:val="nil"/>
              <w:bottom w:val="nil"/>
              <w:right w:val="nil"/>
            </w:tcBorders>
            <w:shd w:val="clear" w:color="auto" w:fill="auto"/>
            <w:hideMark/>
          </w:tcPr>
          <w:p w14:paraId="23ED7E7D"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Armstrong &amp; Freeston (2006)</w:t>
            </w:r>
          </w:p>
        </w:tc>
        <w:tc>
          <w:tcPr>
            <w:tcW w:w="1701" w:type="dxa"/>
            <w:tcBorders>
              <w:top w:val="nil"/>
              <w:left w:val="nil"/>
              <w:bottom w:val="nil"/>
              <w:right w:val="nil"/>
            </w:tcBorders>
            <w:shd w:val="clear" w:color="auto" w:fill="auto"/>
            <w:noWrap/>
            <w:vAlign w:val="center"/>
            <w:hideMark/>
          </w:tcPr>
          <w:p w14:paraId="691A3914" w14:textId="77777777" w:rsidR="003F0CDB" w:rsidRPr="00EA0DC7" w:rsidRDefault="003F0CDB" w:rsidP="00957911">
            <w:pPr>
              <w:spacing w:line="240" w:lineRule="auto"/>
              <w:jc w:val="center"/>
              <w:rPr>
                <w:rFonts w:eastAsia="Times New Roman" w:cs="Arial"/>
                <w:szCs w:val="24"/>
              </w:rPr>
            </w:pPr>
          </w:p>
        </w:tc>
        <w:tc>
          <w:tcPr>
            <w:tcW w:w="1417" w:type="dxa"/>
            <w:tcBorders>
              <w:top w:val="nil"/>
              <w:left w:val="nil"/>
              <w:bottom w:val="nil"/>
              <w:right w:val="nil"/>
            </w:tcBorders>
            <w:shd w:val="clear" w:color="auto" w:fill="auto"/>
            <w:noWrap/>
            <w:vAlign w:val="center"/>
            <w:hideMark/>
          </w:tcPr>
          <w:p w14:paraId="2E0CB2E5"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3837D3FB" w14:textId="77777777" w:rsidR="003F0CDB" w:rsidRPr="00EA0DC7" w:rsidRDefault="003F0CDB" w:rsidP="00957911">
            <w:pPr>
              <w:spacing w:line="240" w:lineRule="auto"/>
              <w:jc w:val="center"/>
              <w:rPr>
                <w:rFonts w:eastAsia="Times New Roman" w:cs="Arial"/>
                <w:szCs w:val="24"/>
              </w:rPr>
            </w:pPr>
          </w:p>
        </w:tc>
        <w:tc>
          <w:tcPr>
            <w:tcW w:w="1134" w:type="dxa"/>
            <w:tcBorders>
              <w:top w:val="nil"/>
              <w:left w:val="nil"/>
              <w:bottom w:val="nil"/>
              <w:right w:val="nil"/>
            </w:tcBorders>
            <w:vAlign w:val="center"/>
          </w:tcPr>
          <w:p w14:paraId="50CC2763" w14:textId="77777777" w:rsidR="003F0CDB" w:rsidRPr="00EA0DC7" w:rsidRDefault="003F0CDB" w:rsidP="00957911">
            <w:pPr>
              <w:spacing w:line="240" w:lineRule="auto"/>
              <w:jc w:val="center"/>
              <w:rPr>
                <w:rFonts w:eastAsia="Times New Roman" w:cs="Arial"/>
                <w:szCs w:val="24"/>
              </w:rPr>
            </w:pPr>
          </w:p>
        </w:tc>
      </w:tr>
      <w:tr w:rsidR="00EA0DC7" w:rsidRPr="00EA0DC7" w14:paraId="1799ED4A" w14:textId="77777777" w:rsidTr="00891F1E">
        <w:trPr>
          <w:trHeight w:val="80"/>
        </w:trPr>
        <w:tc>
          <w:tcPr>
            <w:tcW w:w="3119" w:type="dxa"/>
            <w:tcBorders>
              <w:top w:val="nil"/>
              <w:left w:val="nil"/>
              <w:bottom w:val="nil"/>
              <w:right w:val="nil"/>
            </w:tcBorders>
            <w:shd w:val="clear" w:color="auto" w:fill="auto"/>
            <w:hideMark/>
          </w:tcPr>
          <w:p w14:paraId="551E41EB"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Morgan &amp; Sprenkle (2007)</w:t>
            </w:r>
          </w:p>
        </w:tc>
        <w:tc>
          <w:tcPr>
            <w:tcW w:w="1701" w:type="dxa"/>
            <w:tcBorders>
              <w:top w:val="nil"/>
              <w:left w:val="nil"/>
              <w:bottom w:val="nil"/>
              <w:right w:val="nil"/>
            </w:tcBorders>
            <w:shd w:val="clear" w:color="auto" w:fill="auto"/>
            <w:noWrap/>
            <w:vAlign w:val="center"/>
            <w:hideMark/>
          </w:tcPr>
          <w:p w14:paraId="04D3AB1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nil"/>
              <w:right w:val="nil"/>
            </w:tcBorders>
            <w:shd w:val="clear" w:color="auto" w:fill="auto"/>
            <w:noWrap/>
            <w:vAlign w:val="center"/>
            <w:hideMark/>
          </w:tcPr>
          <w:p w14:paraId="475664B8"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bottom w:val="nil"/>
              <w:right w:val="nil"/>
            </w:tcBorders>
            <w:vAlign w:val="center"/>
          </w:tcPr>
          <w:p w14:paraId="5862D3D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nil"/>
              <w:right w:val="nil"/>
            </w:tcBorders>
            <w:vAlign w:val="center"/>
          </w:tcPr>
          <w:p w14:paraId="6266AA23" w14:textId="77777777" w:rsidR="003F0CDB" w:rsidRPr="00EA0DC7" w:rsidRDefault="003F0CDB" w:rsidP="00957911">
            <w:pPr>
              <w:spacing w:line="240" w:lineRule="auto"/>
              <w:jc w:val="center"/>
              <w:rPr>
                <w:rFonts w:eastAsia="Times New Roman" w:cs="Arial"/>
                <w:szCs w:val="24"/>
              </w:rPr>
            </w:pPr>
          </w:p>
        </w:tc>
      </w:tr>
      <w:tr w:rsidR="00EA0DC7" w:rsidRPr="00EA0DC7" w14:paraId="3E035183" w14:textId="77777777" w:rsidTr="00891F1E">
        <w:trPr>
          <w:trHeight w:val="80"/>
        </w:trPr>
        <w:tc>
          <w:tcPr>
            <w:tcW w:w="3119" w:type="dxa"/>
            <w:tcBorders>
              <w:top w:val="nil"/>
              <w:left w:val="nil"/>
              <w:right w:val="nil"/>
            </w:tcBorders>
            <w:shd w:val="clear" w:color="auto" w:fill="auto"/>
            <w:hideMark/>
          </w:tcPr>
          <w:p w14:paraId="0730EAEE"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Inskipp and Proctor (2009)</w:t>
            </w:r>
          </w:p>
        </w:tc>
        <w:tc>
          <w:tcPr>
            <w:tcW w:w="1701" w:type="dxa"/>
            <w:tcBorders>
              <w:top w:val="nil"/>
              <w:left w:val="nil"/>
              <w:right w:val="nil"/>
            </w:tcBorders>
            <w:shd w:val="clear" w:color="auto" w:fill="auto"/>
            <w:noWrap/>
            <w:vAlign w:val="center"/>
            <w:hideMark/>
          </w:tcPr>
          <w:p w14:paraId="7AB1650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right w:val="nil"/>
            </w:tcBorders>
            <w:shd w:val="clear" w:color="auto" w:fill="auto"/>
            <w:noWrap/>
            <w:vAlign w:val="center"/>
            <w:hideMark/>
          </w:tcPr>
          <w:p w14:paraId="027DC312" w14:textId="77777777" w:rsidR="003F0CDB" w:rsidRPr="00EA0DC7" w:rsidRDefault="003F0CDB" w:rsidP="00957911">
            <w:pPr>
              <w:spacing w:line="240" w:lineRule="auto"/>
              <w:jc w:val="center"/>
              <w:rPr>
                <w:rFonts w:eastAsia="Times New Roman" w:cs="Arial"/>
                <w:szCs w:val="24"/>
              </w:rPr>
            </w:pPr>
          </w:p>
        </w:tc>
        <w:tc>
          <w:tcPr>
            <w:tcW w:w="1560" w:type="dxa"/>
            <w:tcBorders>
              <w:top w:val="nil"/>
              <w:left w:val="nil"/>
              <w:right w:val="nil"/>
            </w:tcBorders>
            <w:vAlign w:val="center"/>
          </w:tcPr>
          <w:p w14:paraId="2DB1310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right w:val="nil"/>
            </w:tcBorders>
            <w:vAlign w:val="center"/>
          </w:tcPr>
          <w:p w14:paraId="01B2A8D3" w14:textId="77777777" w:rsidR="003F0CDB" w:rsidRPr="00EA0DC7" w:rsidRDefault="003F0CDB" w:rsidP="00957911">
            <w:pPr>
              <w:spacing w:line="240" w:lineRule="auto"/>
              <w:jc w:val="center"/>
              <w:rPr>
                <w:rFonts w:eastAsia="Times New Roman" w:cs="Arial"/>
                <w:szCs w:val="24"/>
              </w:rPr>
            </w:pPr>
          </w:p>
        </w:tc>
      </w:tr>
      <w:tr w:rsidR="00EA0DC7" w:rsidRPr="00EA0DC7" w14:paraId="3B1699FD" w14:textId="77777777" w:rsidTr="00891F1E">
        <w:trPr>
          <w:trHeight w:val="80"/>
        </w:trPr>
        <w:tc>
          <w:tcPr>
            <w:tcW w:w="3119" w:type="dxa"/>
            <w:tcBorders>
              <w:top w:val="nil"/>
              <w:left w:val="nil"/>
              <w:bottom w:val="single" w:sz="4" w:space="0" w:color="000000"/>
              <w:right w:val="nil"/>
            </w:tcBorders>
            <w:shd w:val="clear" w:color="auto" w:fill="auto"/>
            <w:hideMark/>
          </w:tcPr>
          <w:p w14:paraId="205AE48A" w14:textId="77777777" w:rsidR="003F0CDB" w:rsidRPr="00EA0DC7" w:rsidRDefault="003F0CDB" w:rsidP="00957911">
            <w:pPr>
              <w:spacing w:line="240" w:lineRule="auto"/>
              <w:jc w:val="left"/>
              <w:rPr>
                <w:rFonts w:eastAsia="Times New Roman" w:cs="Arial"/>
                <w:szCs w:val="24"/>
              </w:rPr>
            </w:pPr>
            <w:r w:rsidRPr="00EA0DC7">
              <w:rPr>
                <w:rFonts w:eastAsia="Times New Roman" w:cs="Arial"/>
                <w:szCs w:val="24"/>
              </w:rPr>
              <w:t>Page and Wosket (2015)</w:t>
            </w:r>
          </w:p>
        </w:tc>
        <w:tc>
          <w:tcPr>
            <w:tcW w:w="1701" w:type="dxa"/>
            <w:tcBorders>
              <w:top w:val="nil"/>
              <w:left w:val="nil"/>
              <w:bottom w:val="single" w:sz="4" w:space="0" w:color="000000"/>
              <w:right w:val="nil"/>
            </w:tcBorders>
            <w:shd w:val="clear" w:color="auto" w:fill="auto"/>
            <w:noWrap/>
            <w:vAlign w:val="center"/>
            <w:hideMark/>
          </w:tcPr>
          <w:p w14:paraId="59FE335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417" w:type="dxa"/>
            <w:tcBorders>
              <w:top w:val="nil"/>
              <w:left w:val="nil"/>
              <w:bottom w:val="single" w:sz="4" w:space="0" w:color="000000"/>
              <w:right w:val="nil"/>
            </w:tcBorders>
            <w:shd w:val="clear" w:color="auto" w:fill="auto"/>
            <w:noWrap/>
            <w:vAlign w:val="center"/>
            <w:hideMark/>
          </w:tcPr>
          <w:p w14:paraId="0805373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60" w:type="dxa"/>
            <w:tcBorders>
              <w:top w:val="nil"/>
              <w:left w:val="nil"/>
              <w:bottom w:val="single" w:sz="4" w:space="0" w:color="000000"/>
              <w:right w:val="nil"/>
            </w:tcBorders>
            <w:vAlign w:val="center"/>
          </w:tcPr>
          <w:p w14:paraId="4B2467A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134" w:type="dxa"/>
            <w:tcBorders>
              <w:top w:val="nil"/>
              <w:left w:val="nil"/>
              <w:bottom w:val="single" w:sz="4" w:space="0" w:color="000000"/>
              <w:right w:val="nil"/>
            </w:tcBorders>
            <w:vAlign w:val="center"/>
          </w:tcPr>
          <w:p w14:paraId="4EA8C190" w14:textId="77777777" w:rsidR="003F0CDB" w:rsidRPr="00EA0DC7" w:rsidRDefault="003F0CDB" w:rsidP="00957911">
            <w:pPr>
              <w:spacing w:line="240" w:lineRule="auto"/>
              <w:jc w:val="center"/>
              <w:rPr>
                <w:rFonts w:eastAsia="Times New Roman" w:cs="Arial"/>
                <w:szCs w:val="24"/>
              </w:rPr>
            </w:pPr>
          </w:p>
        </w:tc>
      </w:tr>
    </w:tbl>
    <w:p w14:paraId="6D1E4F3B" w14:textId="77777777" w:rsidR="003F0CDB" w:rsidRPr="00EA0DC7" w:rsidRDefault="003F0CDB" w:rsidP="003F0CDB">
      <w:pPr>
        <w:rPr>
          <w:rFonts w:eastAsia="Times New Roman" w:cs="Arial"/>
          <w:szCs w:val="24"/>
        </w:rPr>
      </w:pPr>
    </w:p>
    <w:p w14:paraId="3ED27FD9" w14:textId="77777777" w:rsidR="003F0CDB" w:rsidRPr="00EA0DC7" w:rsidRDefault="003F0CDB" w:rsidP="003F0CDB">
      <w:pPr>
        <w:rPr>
          <w:rFonts w:eastAsia="Times New Roman" w:cs="Arial"/>
          <w:szCs w:val="24"/>
        </w:rPr>
      </w:pPr>
      <w:r w:rsidRPr="00EA0DC7">
        <w:rPr>
          <w:rFonts w:eastAsia="Times New Roman" w:cs="Arial"/>
          <w:szCs w:val="24"/>
        </w:rPr>
        <w:br w:type="page"/>
      </w:r>
    </w:p>
    <w:p w14:paraId="2C7F7396" w14:textId="28E702C6" w:rsidR="003F0CDB" w:rsidRPr="00EA0DC7" w:rsidRDefault="003F0CDB" w:rsidP="006B3274">
      <w:pPr>
        <w:pStyle w:val="Heading2"/>
        <w:rPr>
          <w:lang w:eastAsia="zh-CN"/>
        </w:rPr>
      </w:pPr>
      <w:bookmarkStart w:id="242" w:name="_Toc23881306"/>
      <w:bookmarkStart w:id="243" w:name="_Toc24548597"/>
      <w:bookmarkStart w:id="244" w:name="_Toc24548700"/>
      <w:bookmarkStart w:id="245" w:name="_Toc47039887"/>
      <w:r w:rsidRPr="00EA0DC7">
        <w:rPr>
          <w:lang w:eastAsia="zh-CN"/>
        </w:rPr>
        <w:lastRenderedPageBreak/>
        <w:t xml:space="preserve">Appendix </w:t>
      </w:r>
      <w:r w:rsidR="00D247AC" w:rsidRPr="00EA0DC7">
        <w:rPr>
          <w:lang w:eastAsia="zh-CN"/>
        </w:rPr>
        <w:t>2</w:t>
      </w:r>
      <w:r w:rsidRPr="00EA0DC7">
        <w:rPr>
          <w:lang w:eastAsia="zh-CN"/>
        </w:rPr>
        <w:t>H</w:t>
      </w:r>
      <w:r w:rsidR="006B3274" w:rsidRPr="00EA0DC7">
        <w:rPr>
          <w:lang w:eastAsia="zh-CN"/>
        </w:rPr>
        <w:t>. Management aspect focus in supervision models</w:t>
      </w:r>
      <w:bookmarkEnd w:id="242"/>
      <w:bookmarkEnd w:id="243"/>
      <w:bookmarkEnd w:id="244"/>
      <w:bookmarkEnd w:id="245"/>
    </w:p>
    <w:p w14:paraId="30820D79" w14:textId="78FD7424" w:rsidR="003F0CDB" w:rsidRPr="00EA0DC7" w:rsidRDefault="003F0CDB" w:rsidP="003F0CDB">
      <w:pPr>
        <w:keepNext/>
        <w:spacing w:line="240" w:lineRule="auto"/>
        <w:rPr>
          <w:rFonts w:eastAsia="Calibri" w:cs="Arial"/>
          <w:bCs/>
          <w:i/>
          <w:szCs w:val="24"/>
          <w:lang w:eastAsia="en-US"/>
        </w:rPr>
      </w:pPr>
      <w:r w:rsidRPr="00EA0DC7">
        <w:rPr>
          <w:rFonts w:eastAsia="Calibri" w:cs="Arial"/>
          <w:bCs/>
          <w:szCs w:val="24"/>
          <w:lang w:eastAsia="en-US"/>
        </w:rPr>
        <w:t xml:space="preserve">Table </w:t>
      </w:r>
      <w:r w:rsidR="00D247AC" w:rsidRPr="00EA0DC7">
        <w:rPr>
          <w:rFonts w:eastAsia="Calibri" w:cs="Arial"/>
          <w:bCs/>
          <w:szCs w:val="24"/>
          <w:lang w:eastAsia="en-US"/>
        </w:rPr>
        <w:t>2H</w:t>
      </w:r>
      <w:r w:rsidRPr="00EA0DC7">
        <w:rPr>
          <w:rFonts w:eastAsia="Calibri" w:cs="Arial"/>
          <w:bCs/>
          <w:szCs w:val="24"/>
          <w:lang w:eastAsia="en-US"/>
        </w:rPr>
        <w:t>. Model focus on management aspects of supervision.</w:t>
      </w:r>
    </w:p>
    <w:tbl>
      <w:tblPr>
        <w:tblW w:w="8364" w:type="dxa"/>
        <w:tblLayout w:type="fixed"/>
        <w:tblLook w:val="04A0" w:firstRow="1" w:lastRow="0" w:firstColumn="1" w:lastColumn="0" w:noHBand="0" w:noVBand="1"/>
      </w:tblPr>
      <w:tblGrid>
        <w:gridCol w:w="2977"/>
        <w:gridCol w:w="1134"/>
        <w:gridCol w:w="1418"/>
        <w:gridCol w:w="1164"/>
        <w:gridCol w:w="1671"/>
      </w:tblGrid>
      <w:tr w:rsidR="003F0CDB" w:rsidRPr="00EA0DC7" w14:paraId="1BE6E6F9" w14:textId="77777777" w:rsidTr="001A0398">
        <w:trPr>
          <w:trHeight w:val="726"/>
        </w:trPr>
        <w:tc>
          <w:tcPr>
            <w:tcW w:w="2977" w:type="dxa"/>
            <w:tcBorders>
              <w:top w:val="single" w:sz="4" w:space="0" w:color="auto"/>
              <w:left w:val="nil"/>
              <w:bottom w:val="single" w:sz="4" w:space="0" w:color="auto"/>
              <w:right w:val="nil"/>
            </w:tcBorders>
            <w:shd w:val="clear" w:color="auto" w:fill="auto"/>
            <w:noWrap/>
            <w:vAlign w:val="center"/>
            <w:hideMark/>
          </w:tcPr>
          <w:p w14:paraId="084B957B" w14:textId="77777777" w:rsidR="003F0CDB" w:rsidRPr="00EA0DC7" w:rsidRDefault="003F0CDB" w:rsidP="00C10224">
            <w:pPr>
              <w:spacing w:before="240" w:after="0" w:line="240" w:lineRule="auto"/>
              <w:jc w:val="center"/>
              <w:rPr>
                <w:rFonts w:eastAsia="Times New Roman" w:cs="Arial"/>
                <w:bCs/>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14:paraId="56B23DD7" w14:textId="77777777" w:rsidR="003F0CDB" w:rsidRPr="00EA0DC7" w:rsidRDefault="003F0CDB" w:rsidP="00C10224">
            <w:pPr>
              <w:spacing w:before="240" w:line="240" w:lineRule="auto"/>
              <w:jc w:val="center"/>
              <w:rPr>
                <w:rFonts w:eastAsia="Times New Roman" w:cs="Arial"/>
                <w:b/>
                <w:bCs/>
                <w:sz w:val="20"/>
                <w:szCs w:val="20"/>
              </w:rPr>
            </w:pPr>
            <w:r w:rsidRPr="00EA0DC7">
              <w:rPr>
                <w:rFonts w:eastAsia="Times New Roman" w:cs="Arial"/>
                <w:b/>
                <w:bCs/>
                <w:sz w:val="20"/>
                <w:szCs w:val="20"/>
              </w:rPr>
              <w:t>Contract</w:t>
            </w:r>
          </w:p>
        </w:tc>
        <w:tc>
          <w:tcPr>
            <w:tcW w:w="1418" w:type="dxa"/>
            <w:tcBorders>
              <w:top w:val="single" w:sz="4" w:space="0" w:color="auto"/>
              <w:left w:val="nil"/>
              <w:bottom w:val="single" w:sz="4" w:space="0" w:color="auto"/>
              <w:right w:val="nil"/>
            </w:tcBorders>
            <w:shd w:val="clear" w:color="auto" w:fill="auto"/>
            <w:vAlign w:val="center"/>
            <w:hideMark/>
          </w:tcPr>
          <w:p w14:paraId="0EFB36C0" w14:textId="77777777" w:rsidR="003F0CDB" w:rsidRPr="00EA0DC7" w:rsidRDefault="003F0CDB" w:rsidP="00C10224">
            <w:pPr>
              <w:spacing w:before="240" w:line="240" w:lineRule="auto"/>
              <w:jc w:val="center"/>
              <w:rPr>
                <w:rFonts w:eastAsia="Times New Roman" w:cs="Arial"/>
                <w:b/>
                <w:bCs/>
                <w:sz w:val="20"/>
                <w:szCs w:val="20"/>
              </w:rPr>
            </w:pPr>
            <w:r w:rsidRPr="00EA0DC7">
              <w:rPr>
                <w:rFonts w:eastAsia="Times New Roman" w:cs="Arial"/>
                <w:b/>
                <w:bCs/>
                <w:sz w:val="20"/>
                <w:szCs w:val="20"/>
              </w:rPr>
              <w:t>Re-contracting</w:t>
            </w:r>
          </w:p>
        </w:tc>
        <w:tc>
          <w:tcPr>
            <w:tcW w:w="1164" w:type="dxa"/>
            <w:tcBorders>
              <w:top w:val="single" w:sz="4" w:space="0" w:color="auto"/>
              <w:left w:val="nil"/>
              <w:bottom w:val="single" w:sz="4" w:space="0" w:color="auto"/>
              <w:right w:val="nil"/>
            </w:tcBorders>
            <w:vAlign w:val="center"/>
          </w:tcPr>
          <w:p w14:paraId="56702ED4" w14:textId="311ADD33" w:rsidR="003F0CDB" w:rsidRPr="00EA0DC7" w:rsidRDefault="003F0CDB" w:rsidP="00C10224">
            <w:pPr>
              <w:spacing w:before="240" w:line="240" w:lineRule="auto"/>
              <w:jc w:val="center"/>
              <w:rPr>
                <w:rFonts w:eastAsia="Times New Roman" w:cs="Arial"/>
                <w:b/>
                <w:bCs/>
                <w:sz w:val="20"/>
                <w:szCs w:val="20"/>
              </w:rPr>
            </w:pPr>
            <w:r w:rsidRPr="00EA0DC7">
              <w:rPr>
                <w:rFonts w:eastAsia="Times New Roman" w:cs="Arial"/>
                <w:b/>
                <w:bCs/>
                <w:sz w:val="20"/>
                <w:szCs w:val="20"/>
              </w:rPr>
              <w:t>Terminat</w:t>
            </w:r>
            <w:r w:rsidR="001A0398" w:rsidRPr="00EA0DC7">
              <w:rPr>
                <w:rFonts w:eastAsia="Times New Roman" w:cs="Arial"/>
                <w:b/>
                <w:bCs/>
                <w:sz w:val="20"/>
                <w:szCs w:val="20"/>
              </w:rPr>
              <w:t>-</w:t>
            </w:r>
            <w:r w:rsidRPr="00EA0DC7">
              <w:rPr>
                <w:rFonts w:eastAsia="Times New Roman" w:cs="Arial"/>
                <w:b/>
                <w:bCs/>
                <w:sz w:val="20"/>
                <w:szCs w:val="20"/>
              </w:rPr>
              <w:t>ion</w:t>
            </w:r>
          </w:p>
        </w:tc>
        <w:tc>
          <w:tcPr>
            <w:tcW w:w="1671" w:type="dxa"/>
            <w:tcBorders>
              <w:top w:val="single" w:sz="4" w:space="0" w:color="auto"/>
              <w:left w:val="nil"/>
              <w:bottom w:val="single" w:sz="4" w:space="0" w:color="auto"/>
              <w:right w:val="nil"/>
            </w:tcBorders>
            <w:vAlign w:val="center"/>
          </w:tcPr>
          <w:p w14:paraId="28C15502" w14:textId="77777777" w:rsidR="003F0CDB" w:rsidRPr="00EA0DC7" w:rsidRDefault="003F0CDB" w:rsidP="00C10224">
            <w:pPr>
              <w:spacing w:before="240" w:line="240" w:lineRule="auto"/>
              <w:jc w:val="center"/>
              <w:rPr>
                <w:rFonts w:eastAsia="Times New Roman" w:cs="Arial"/>
                <w:b/>
                <w:bCs/>
                <w:sz w:val="20"/>
                <w:szCs w:val="20"/>
              </w:rPr>
            </w:pPr>
            <w:r w:rsidRPr="00EA0DC7">
              <w:rPr>
                <w:rFonts w:eastAsia="Times New Roman" w:cs="Arial"/>
                <w:b/>
                <w:bCs/>
                <w:sz w:val="20"/>
                <w:szCs w:val="20"/>
              </w:rPr>
              <w:t>Supervision of supervision</w:t>
            </w:r>
          </w:p>
        </w:tc>
      </w:tr>
      <w:tr w:rsidR="003F0CDB" w:rsidRPr="00EA0DC7" w14:paraId="18095194" w14:textId="77777777" w:rsidTr="001A0398">
        <w:trPr>
          <w:trHeight w:val="1112"/>
        </w:trPr>
        <w:tc>
          <w:tcPr>
            <w:tcW w:w="2977" w:type="dxa"/>
            <w:tcBorders>
              <w:top w:val="single" w:sz="4" w:space="0" w:color="auto"/>
              <w:left w:val="nil"/>
              <w:right w:val="nil"/>
              <w:tl2br w:val="single" w:sz="4" w:space="0" w:color="auto"/>
            </w:tcBorders>
            <w:shd w:val="clear" w:color="auto" w:fill="auto"/>
            <w:hideMark/>
          </w:tcPr>
          <w:p w14:paraId="0437AF9C" w14:textId="77777777" w:rsidR="003F0CDB" w:rsidRPr="00EA0DC7" w:rsidRDefault="003F0CDB" w:rsidP="00C10224">
            <w:pPr>
              <w:spacing w:before="240" w:after="0" w:line="240" w:lineRule="auto"/>
              <w:jc w:val="right"/>
              <w:rPr>
                <w:rFonts w:eastAsia="Times New Roman" w:cs="Arial"/>
                <w:b/>
                <w:sz w:val="20"/>
                <w:szCs w:val="20"/>
              </w:rPr>
            </w:pPr>
            <w:r w:rsidRPr="00EA0DC7">
              <w:rPr>
                <w:rFonts w:eastAsia="Times New Roman" w:cs="Arial"/>
                <w:b/>
                <w:sz w:val="20"/>
                <w:szCs w:val="20"/>
              </w:rPr>
              <w:t>No. of models</w:t>
            </w:r>
          </w:p>
          <w:p w14:paraId="67589C48" w14:textId="77777777" w:rsidR="003F0CDB" w:rsidRPr="00EA0DC7" w:rsidRDefault="003F0CDB" w:rsidP="00957911">
            <w:pPr>
              <w:spacing w:after="0" w:line="240" w:lineRule="auto"/>
              <w:jc w:val="right"/>
              <w:rPr>
                <w:rFonts w:eastAsia="Times New Roman" w:cs="Arial"/>
                <w:b/>
                <w:sz w:val="20"/>
                <w:szCs w:val="20"/>
              </w:rPr>
            </w:pPr>
            <w:r w:rsidRPr="00EA0DC7">
              <w:rPr>
                <w:rFonts w:eastAsia="Times New Roman" w:cs="Arial"/>
                <w:b/>
                <w:sz w:val="20"/>
                <w:szCs w:val="20"/>
              </w:rPr>
              <w:t>with</w:t>
            </w:r>
          </w:p>
          <w:p w14:paraId="4D70613A" w14:textId="77777777" w:rsidR="003F0CDB" w:rsidRPr="00EA0DC7" w:rsidRDefault="003F0CDB" w:rsidP="00957911">
            <w:pPr>
              <w:spacing w:after="0" w:line="240" w:lineRule="auto"/>
              <w:jc w:val="right"/>
              <w:rPr>
                <w:rFonts w:eastAsia="Times New Roman" w:cs="Arial"/>
                <w:b/>
                <w:bCs/>
                <w:sz w:val="20"/>
                <w:szCs w:val="20"/>
              </w:rPr>
            </w:pPr>
            <w:r w:rsidRPr="00EA0DC7">
              <w:rPr>
                <w:rFonts w:eastAsia="Times New Roman" w:cs="Arial"/>
                <w:b/>
                <w:sz w:val="20"/>
                <w:szCs w:val="20"/>
              </w:rPr>
              <w:t>element</w:t>
            </w:r>
          </w:p>
          <w:p w14:paraId="6B4EDD90" w14:textId="77777777" w:rsidR="003F0CDB" w:rsidRPr="00EA0DC7" w:rsidRDefault="003F0CDB" w:rsidP="00C10224">
            <w:pPr>
              <w:spacing w:line="240" w:lineRule="auto"/>
              <w:rPr>
                <w:rFonts w:eastAsia="Times New Roman" w:cs="Arial"/>
                <w:b/>
                <w:bCs/>
                <w:sz w:val="20"/>
                <w:szCs w:val="20"/>
              </w:rPr>
            </w:pPr>
            <w:r w:rsidRPr="00EA0DC7">
              <w:rPr>
                <w:rFonts w:eastAsia="Times New Roman" w:cs="Arial"/>
                <w:b/>
                <w:bCs/>
                <w:sz w:val="20"/>
                <w:szCs w:val="20"/>
              </w:rPr>
              <w:t>Model/ approach</w:t>
            </w:r>
          </w:p>
        </w:tc>
        <w:tc>
          <w:tcPr>
            <w:tcW w:w="1134" w:type="dxa"/>
            <w:tcBorders>
              <w:top w:val="single" w:sz="4" w:space="0" w:color="auto"/>
              <w:left w:val="nil"/>
              <w:right w:val="nil"/>
            </w:tcBorders>
            <w:shd w:val="clear" w:color="auto" w:fill="auto"/>
            <w:vAlign w:val="center"/>
            <w:hideMark/>
          </w:tcPr>
          <w:p w14:paraId="4B96C1F1"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12</w:t>
            </w:r>
          </w:p>
          <w:p w14:paraId="719B124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(23.08%)</w:t>
            </w:r>
          </w:p>
        </w:tc>
        <w:tc>
          <w:tcPr>
            <w:tcW w:w="1418" w:type="dxa"/>
            <w:tcBorders>
              <w:top w:val="single" w:sz="4" w:space="0" w:color="auto"/>
              <w:left w:val="nil"/>
              <w:right w:val="nil"/>
            </w:tcBorders>
            <w:shd w:val="clear" w:color="auto" w:fill="auto"/>
            <w:vAlign w:val="center"/>
            <w:hideMark/>
          </w:tcPr>
          <w:p w14:paraId="6519959F"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w:t>
            </w:r>
          </w:p>
          <w:p w14:paraId="218DCE9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(3.85%)</w:t>
            </w:r>
          </w:p>
        </w:tc>
        <w:tc>
          <w:tcPr>
            <w:tcW w:w="1164" w:type="dxa"/>
            <w:tcBorders>
              <w:top w:val="single" w:sz="4" w:space="0" w:color="auto"/>
              <w:left w:val="nil"/>
              <w:right w:val="nil"/>
            </w:tcBorders>
            <w:vAlign w:val="center"/>
          </w:tcPr>
          <w:p w14:paraId="583BBB9E"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9</w:t>
            </w:r>
          </w:p>
          <w:p w14:paraId="069975CB"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(17.31%)</w:t>
            </w:r>
          </w:p>
        </w:tc>
        <w:tc>
          <w:tcPr>
            <w:tcW w:w="1671" w:type="dxa"/>
            <w:tcBorders>
              <w:top w:val="single" w:sz="4" w:space="0" w:color="auto"/>
              <w:left w:val="nil"/>
              <w:right w:val="nil"/>
            </w:tcBorders>
            <w:vAlign w:val="center"/>
          </w:tcPr>
          <w:p w14:paraId="4848949C"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5</w:t>
            </w:r>
          </w:p>
          <w:p w14:paraId="2379F06D"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(9.62%)</w:t>
            </w:r>
          </w:p>
        </w:tc>
      </w:tr>
      <w:tr w:rsidR="003F0CDB" w:rsidRPr="00EA0DC7" w14:paraId="05797D9D" w14:textId="77777777" w:rsidTr="001A0398">
        <w:trPr>
          <w:trHeight w:val="573"/>
        </w:trPr>
        <w:tc>
          <w:tcPr>
            <w:tcW w:w="2977" w:type="dxa"/>
            <w:tcBorders>
              <w:left w:val="nil"/>
              <w:bottom w:val="nil"/>
              <w:right w:val="nil"/>
            </w:tcBorders>
            <w:shd w:val="clear" w:color="auto" w:fill="auto"/>
            <w:hideMark/>
          </w:tcPr>
          <w:p w14:paraId="388B5549" w14:textId="77777777" w:rsidR="003F0CDB" w:rsidRPr="00EA0DC7" w:rsidRDefault="003F0CDB" w:rsidP="00C10224">
            <w:pPr>
              <w:spacing w:before="240" w:line="240" w:lineRule="auto"/>
              <w:jc w:val="left"/>
              <w:rPr>
                <w:rFonts w:eastAsia="Times New Roman" w:cs="Arial"/>
                <w:sz w:val="20"/>
                <w:szCs w:val="20"/>
              </w:rPr>
            </w:pPr>
            <w:r w:rsidRPr="00EA0DC7">
              <w:rPr>
                <w:rFonts w:eastAsia="Times New Roman" w:cs="Arial"/>
                <w:sz w:val="20"/>
                <w:szCs w:val="20"/>
              </w:rPr>
              <w:t>Hogan (1964)</w:t>
            </w:r>
          </w:p>
        </w:tc>
        <w:tc>
          <w:tcPr>
            <w:tcW w:w="1134" w:type="dxa"/>
            <w:tcBorders>
              <w:left w:val="nil"/>
              <w:bottom w:val="nil"/>
              <w:right w:val="nil"/>
            </w:tcBorders>
            <w:shd w:val="clear" w:color="auto" w:fill="auto"/>
            <w:noWrap/>
            <w:vAlign w:val="center"/>
            <w:hideMark/>
          </w:tcPr>
          <w:p w14:paraId="5453A60A" w14:textId="77777777" w:rsidR="003F0CDB" w:rsidRPr="00EA0DC7" w:rsidRDefault="003F0CDB" w:rsidP="00C10224">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nil"/>
              <w:right w:val="nil"/>
            </w:tcBorders>
            <w:shd w:val="clear" w:color="auto" w:fill="auto"/>
            <w:noWrap/>
            <w:vAlign w:val="center"/>
            <w:hideMark/>
          </w:tcPr>
          <w:p w14:paraId="2815A347" w14:textId="77777777" w:rsidR="003F0CDB" w:rsidRPr="00EA0DC7" w:rsidRDefault="003F0CDB" w:rsidP="00C10224">
            <w:pPr>
              <w:spacing w:before="240" w:line="240" w:lineRule="auto"/>
              <w:jc w:val="center"/>
              <w:rPr>
                <w:rFonts w:eastAsia="Times New Roman" w:cs="Arial"/>
                <w:sz w:val="20"/>
                <w:szCs w:val="20"/>
              </w:rPr>
            </w:pPr>
          </w:p>
        </w:tc>
        <w:tc>
          <w:tcPr>
            <w:tcW w:w="1164" w:type="dxa"/>
            <w:tcBorders>
              <w:left w:val="nil"/>
              <w:bottom w:val="nil"/>
              <w:right w:val="nil"/>
            </w:tcBorders>
            <w:vAlign w:val="center"/>
          </w:tcPr>
          <w:p w14:paraId="6125A5DF" w14:textId="77777777" w:rsidR="003F0CDB" w:rsidRPr="00EA0DC7" w:rsidRDefault="003F0CDB" w:rsidP="00C10224">
            <w:pPr>
              <w:spacing w:before="240" w:line="240" w:lineRule="auto"/>
              <w:jc w:val="center"/>
              <w:rPr>
                <w:rFonts w:eastAsia="Times New Roman" w:cs="Arial"/>
                <w:sz w:val="20"/>
                <w:szCs w:val="20"/>
              </w:rPr>
            </w:pPr>
          </w:p>
        </w:tc>
        <w:tc>
          <w:tcPr>
            <w:tcW w:w="1671" w:type="dxa"/>
            <w:tcBorders>
              <w:left w:val="nil"/>
              <w:bottom w:val="nil"/>
              <w:right w:val="nil"/>
            </w:tcBorders>
            <w:vAlign w:val="center"/>
          </w:tcPr>
          <w:p w14:paraId="7C5935FF" w14:textId="77777777" w:rsidR="003F0CDB" w:rsidRPr="00EA0DC7" w:rsidRDefault="003F0CDB" w:rsidP="00C10224">
            <w:pPr>
              <w:spacing w:before="240" w:line="240" w:lineRule="auto"/>
              <w:jc w:val="center"/>
              <w:rPr>
                <w:rFonts w:eastAsia="Times New Roman" w:cs="Arial"/>
                <w:sz w:val="20"/>
                <w:szCs w:val="20"/>
              </w:rPr>
            </w:pPr>
          </w:p>
        </w:tc>
      </w:tr>
      <w:tr w:rsidR="003F0CDB" w:rsidRPr="00EA0DC7" w14:paraId="01FF3824" w14:textId="77777777" w:rsidTr="001A0398">
        <w:trPr>
          <w:trHeight w:val="423"/>
        </w:trPr>
        <w:tc>
          <w:tcPr>
            <w:tcW w:w="2977" w:type="dxa"/>
            <w:tcBorders>
              <w:top w:val="nil"/>
              <w:left w:val="nil"/>
              <w:bottom w:val="nil"/>
              <w:right w:val="nil"/>
            </w:tcBorders>
            <w:shd w:val="clear" w:color="auto" w:fill="auto"/>
            <w:hideMark/>
          </w:tcPr>
          <w:p w14:paraId="20D49AD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Ekstein &amp; Wallerstein (1972)</w:t>
            </w:r>
          </w:p>
        </w:tc>
        <w:tc>
          <w:tcPr>
            <w:tcW w:w="1134" w:type="dxa"/>
            <w:tcBorders>
              <w:top w:val="nil"/>
              <w:left w:val="nil"/>
              <w:bottom w:val="nil"/>
              <w:right w:val="nil"/>
            </w:tcBorders>
            <w:shd w:val="clear" w:color="auto" w:fill="auto"/>
            <w:noWrap/>
            <w:vAlign w:val="center"/>
            <w:hideMark/>
          </w:tcPr>
          <w:p w14:paraId="17443944"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2F55AA6A"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04776DA4"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74B5EAD7" w14:textId="77777777" w:rsidR="003F0CDB" w:rsidRPr="00EA0DC7" w:rsidRDefault="003F0CDB" w:rsidP="00957911">
            <w:pPr>
              <w:spacing w:line="240" w:lineRule="auto"/>
              <w:jc w:val="center"/>
              <w:rPr>
                <w:rFonts w:eastAsia="Times New Roman" w:cs="Arial"/>
                <w:sz w:val="20"/>
                <w:szCs w:val="20"/>
              </w:rPr>
            </w:pPr>
          </w:p>
        </w:tc>
      </w:tr>
      <w:tr w:rsidR="003F0CDB" w:rsidRPr="00EA0DC7" w14:paraId="1021D98C" w14:textId="77777777" w:rsidTr="001A0398">
        <w:trPr>
          <w:trHeight w:val="80"/>
        </w:trPr>
        <w:tc>
          <w:tcPr>
            <w:tcW w:w="2977" w:type="dxa"/>
            <w:tcBorders>
              <w:top w:val="nil"/>
              <w:left w:val="nil"/>
              <w:bottom w:val="nil"/>
              <w:right w:val="nil"/>
            </w:tcBorders>
            <w:shd w:val="clear" w:color="auto" w:fill="auto"/>
            <w:hideMark/>
          </w:tcPr>
          <w:p w14:paraId="37195E4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Mueller &amp; Kell (1971)</w:t>
            </w:r>
          </w:p>
        </w:tc>
        <w:tc>
          <w:tcPr>
            <w:tcW w:w="1134" w:type="dxa"/>
            <w:tcBorders>
              <w:top w:val="nil"/>
              <w:left w:val="nil"/>
              <w:bottom w:val="nil"/>
              <w:right w:val="nil"/>
            </w:tcBorders>
            <w:shd w:val="clear" w:color="auto" w:fill="auto"/>
            <w:noWrap/>
            <w:vAlign w:val="center"/>
            <w:hideMark/>
          </w:tcPr>
          <w:p w14:paraId="634268D0"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05BBEC0D"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155B6533"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6E460B06" w14:textId="77777777" w:rsidR="003F0CDB" w:rsidRPr="00EA0DC7" w:rsidRDefault="003F0CDB" w:rsidP="00957911">
            <w:pPr>
              <w:spacing w:line="240" w:lineRule="auto"/>
              <w:jc w:val="center"/>
              <w:rPr>
                <w:rFonts w:eastAsia="Times New Roman" w:cs="Arial"/>
                <w:sz w:val="20"/>
                <w:szCs w:val="20"/>
              </w:rPr>
            </w:pPr>
          </w:p>
        </w:tc>
      </w:tr>
      <w:tr w:rsidR="003F0CDB" w:rsidRPr="00EA0DC7" w14:paraId="5F03B951" w14:textId="77777777" w:rsidTr="001A0398">
        <w:trPr>
          <w:trHeight w:val="80"/>
        </w:trPr>
        <w:tc>
          <w:tcPr>
            <w:tcW w:w="2977" w:type="dxa"/>
            <w:tcBorders>
              <w:top w:val="nil"/>
              <w:left w:val="nil"/>
              <w:bottom w:val="nil"/>
              <w:right w:val="nil"/>
            </w:tcBorders>
            <w:shd w:val="clear" w:color="auto" w:fill="auto"/>
            <w:hideMark/>
          </w:tcPr>
          <w:p w14:paraId="7DA386C7"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Delaney (1972)</w:t>
            </w:r>
          </w:p>
        </w:tc>
        <w:tc>
          <w:tcPr>
            <w:tcW w:w="1134" w:type="dxa"/>
            <w:tcBorders>
              <w:top w:val="nil"/>
              <w:left w:val="nil"/>
              <w:bottom w:val="nil"/>
              <w:right w:val="nil"/>
            </w:tcBorders>
            <w:shd w:val="clear" w:color="auto" w:fill="auto"/>
            <w:noWrap/>
            <w:vAlign w:val="center"/>
            <w:hideMark/>
          </w:tcPr>
          <w:p w14:paraId="057685F8"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2EFE305E"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6892659B"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5350D4E2" w14:textId="77777777" w:rsidR="003F0CDB" w:rsidRPr="00EA0DC7" w:rsidRDefault="003F0CDB" w:rsidP="00957911">
            <w:pPr>
              <w:spacing w:line="240" w:lineRule="auto"/>
              <w:jc w:val="center"/>
              <w:rPr>
                <w:rFonts w:eastAsia="Times New Roman" w:cs="Arial"/>
                <w:sz w:val="20"/>
                <w:szCs w:val="20"/>
              </w:rPr>
            </w:pPr>
          </w:p>
        </w:tc>
      </w:tr>
      <w:tr w:rsidR="003F0CDB" w:rsidRPr="00EA0DC7" w14:paraId="5842ED60" w14:textId="77777777" w:rsidTr="001A0398">
        <w:trPr>
          <w:trHeight w:val="80"/>
        </w:trPr>
        <w:tc>
          <w:tcPr>
            <w:tcW w:w="2977" w:type="dxa"/>
            <w:tcBorders>
              <w:top w:val="nil"/>
              <w:left w:val="nil"/>
              <w:bottom w:val="nil"/>
              <w:right w:val="nil"/>
            </w:tcBorders>
            <w:shd w:val="clear" w:color="auto" w:fill="auto"/>
            <w:hideMark/>
          </w:tcPr>
          <w:p w14:paraId="2CE942C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Ard (1973)</w:t>
            </w:r>
          </w:p>
        </w:tc>
        <w:tc>
          <w:tcPr>
            <w:tcW w:w="1134" w:type="dxa"/>
            <w:tcBorders>
              <w:top w:val="nil"/>
              <w:left w:val="nil"/>
              <w:bottom w:val="nil"/>
              <w:right w:val="nil"/>
            </w:tcBorders>
            <w:shd w:val="clear" w:color="auto" w:fill="auto"/>
            <w:noWrap/>
            <w:vAlign w:val="center"/>
            <w:hideMark/>
          </w:tcPr>
          <w:p w14:paraId="0BB28FE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5C48383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64" w:type="dxa"/>
            <w:tcBorders>
              <w:top w:val="nil"/>
              <w:left w:val="nil"/>
              <w:bottom w:val="nil"/>
              <w:right w:val="nil"/>
            </w:tcBorders>
            <w:vAlign w:val="center"/>
          </w:tcPr>
          <w:p w14:paraId="59A14389"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1AA8C96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1276C4FB" w14:textId="77777777" w:rsidTr="001A0398">
        <w:trPr>
          <w:trHeight w:val="80"/>
        </w:trPr>
        <w:tc>
          <w:tcPr>
            <w:tcW w:w="2977" w:type="dxa"/>
            <w:tcBorders>
              <w:top w:val="nil"/>
              <w:left w:val="nil"/>
              <w:bottom w:val="nil"/>
              <w:right w:val="nil"/>
            </w:tcBorders>
            <w:shd w:val="clear" w:color="auto" w:fill="auto"/>
            <w:hideMark/>
          </w:tcPr>
          <w:p w14:paraId="1A9952D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Bernard (1979)</w:t>
            </w:r>
          </w:p>
        </w:tc>
        <w:tc>
          <w:tcPr>
            <w:tcW w:w="1134" w:type="dxa"/>
            <w:tcBorders>
              <w:top w:val="nil"/>
              <w:left w:val="nil"/>
              <w:bottom w:val="nil"/>
              <w:right w:val="nil"/>
            </w:tcBorders>
            <w:shd w:val="clear" w:color="auto" w:fill="auto"/>
            <w:noWrap/>
            <w:vAlign w:val="center"/>
            <w:hideMark/>
          </w:tcPr>
          <w:p w14:paraId="070CE412"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14963CB7"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62A3F878"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477FF214" w14:textId="77777777" w:rsidR="003F0CDB" w:rsidRPr="00EA0DC7" w:rsidRDefault="003F0CDB" w:rsidP="00957911">
            <w:pPr>
              <w:spacing w:line="240" w:lineRule="auto"/>
              <w:jc w:val="center"/>
              <w:rPr>
                <w:rFonts w:eastAsia="Times New Roman" w:cs="Arial"/>
                <w:sz w:val="20"/>
                <w:szCs w:val="20"/>
              </w:rPr>
            </w:pPr>
          </w:p>
        </w:tc>
      </w:tr>
      <w:tr w:rsidR="003F0CDB" w:rsidRPr="00EA0DC7" w14:paraId="64986A26" w14:textId="77777777" w:rsidTr="001A0398">
        <w:trPr>
          <w:trHeight w:val="80"/>
        </w:trPr>
        <w:tc>
          <w:tcPr>
            <w:tcW w:w="2977" w:type="dxa"/>
            <w:tcBorders>
              <w:top w:val="nil"/>
              <w:left w:val="nil"/>
              <w:bottom w:val="nil"/>
              <w:right w:val="nil"/>
            </w:tcBorders>
            <w:shd w:val="clear" w:color="auto" w:fill="auto"/>
            <w:hideMark/>
          </w:tcPr>
          <w:p w14:paraId="716F913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Littrell et al. (1979)</w:t>
            </w:r>
          </w:p>
        </w:tc>
        <w:tc>
          <w:tcPr>
            <w:tcW w:w="1134" w:type="dxa"/>
            <w:tcBorders>
              <w:top w:val="nil"/>
              <w:left w:val="nil"/>
              <w:bottom w:val="nil"/>
              <w:right w:val="nil"/>
            </w:tcBorders>
            <w:shd w:val="clear" w:color="auto" w:fill="auto"/>
            <w:noWrap/>
            <w:vAlign w:val="center"/>
            <w:hideMark/>
          </w:tcPr>
          <w:p w14:paraId="60240357"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60A0F858"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1A643CB6"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1279C572" w14:textId="77777777" w:rsidR="003F0CDB" w:rsidRPr="00EA0DC7" w:rsidRDefault="003F0CDB" w:rsidP="00957911">
            <w:pPr>
              <w:spacing w:line="240" w:lineRule="auto"/>
              <w:jc w:val="center"/>
              <w:rPr>
                <w:rFonts w:eastAsia="Times New Roman" w:cs="Arial"/>
                <w:sz w:val="20"/>
                <w:szCs w:val="20"/>
              </w:rPr>
            </w:pPr>
          </w:p>
        </w:tc>
      </w:tr>
      <w:tr w:rsidR="003F0CDB" w:rsidRPr="00EA0DC7" w14:paraId="7FC7F106" w14:textId="77777777" w:rsidTr="001A0398">
        <w:trPr>
          <w:trHeight w:val="459"/>
        </w:trPr>
        <w:tc>
          <w:tcPr>
            <w:tcW w:w="2977" w:type="dxa"/>
            <w:tcBorders>
              <w:top w:val="nil"/>
              <w:left w:val="nil"/>
              <w:bottom w:val="nil"/>
              <w:right w:val="nil"/>
            </w:tcBorders>
            <w:shd w:val="clear" w:color="auto" w:fill="auto"/>
            <w:hideMark/>
          </w:tcPr>
          <w:p w14:paraId="462D157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Langs (1980)</w:t>
            </w:r>
          </w:p>
        </w:tc>
        <w:tc>
          <w:tcPr>
            <w:tcW w:w="1134" w:type="dxa"/>
            <w:tcBorders>
              <w:top w:val="nil"/>
              <w:left w:val="nil"/>
              <w:bottom w:val="nil"/>
              <w:right w:val="nil"/>
            </w:tcBorders>
            <w:shd w:val="clear" w:color="auto" w:fill="auto"/>
            <w:noWrap/>
            <w:vAlign w:val="center"/>
            <w:hideMark/>
          </w:tcPr>
          <w:p w14:paraId="4A9C372A"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65FD190D"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39B6FCE9"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bottom w:val="nil"/>
              <w:right w:val="nil"/>
            </w:tcBorders>
            <w:vAlign w:val="center"/>
          </w:tcPr>
          <w:p w14:paraId="3C1153C8" w14:textId="77777777" w:rsidR="003F0CDB" w:rsidRPr="00EA0DC7" w:rsidRDefault="003F0CDB" w:rsidP="00957911">
            <w:pPr>
              <w:spacing w:line="240" w:lineRule="auto"/>
              <w:jc w:val="center"/>
              <w:rPr>
                <w:rFonts w:eastAsia="Times New Roman" w:cs="Arial"/>
                <w:sz w:val="20"/>
                <w:szCs w:val="20"/>
              </w:rPr>
            </w:pPr>
          </w:p>
        </w:tc>
      </w:tr>
      <w:tr w:rsidR="003F0CDB" w:rsidRPr="00EA0DC7" w14:paraId="26849B91" w14:textId="77777777" w:rsidTr="001A0398">
        <w:trPr>
          <w:trHeight w:val="235"/>
        </w:trPr>
        <w:tc>
          <w:tcPr>
            <w:tcW w:w="2977" w:type="dxa"/>
            <w:tcBorders>
              <w:top w:val="nil"/>
              <w:left w:val="nil"/>
              <w:bottom w:val="nil"/>
              <w:right w:val="nil"/>
            </w:tcBorders>
            <w:shd w:val="clear" w:color="auto" w:fill="auto"/>
            <w:hideMark/>
          </w:tcPr>
          <w:p w14:paraId="34767D6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Rice (1980)</w:t>
            </w:r>
          </w:p>
        </w:tc>
        <w:tc>
          <w:tcPr>
            <w:tcW w:w="1134" w:type="dxa"/>
            <w:tcBorders>
              <w:top w:val="nil"/>
              <w:left w:val="nil"/>
              <w:bottom w:val="nil"/>
              <w:right w:val="nil"/>
            </w:tcBorders>
            <w:shd w:val="clear" w:color="auto" w:fill="auto"/>
            <w:noWrap/>
            <w:vAlign w:val="center"/>
            <w:hideMark/>
          </w:tcPr>
          <w:p w14:paraId="40B67705"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3300CC0A"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40A07193"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6631FB5A" w14:textId="77777777" w:rsidR="003F0CDB" w:rsidRPr="00EA0DC7" w:rsidRDefault="003F0CDB" w:rsidP="00957911">
            <w:pPr>
              <w:spacing w:line="240" w:lineRule="auto"/>
              <w:jc w:val="center"/>
              <w:rPr>
                <w:rFonts w:eastAsia="Times New Roman" w:cs="Arial"/>
                <w:sz w:val="20"/>
                <w:szCs w:val="20"/>
              </w:rPr>
            </w:pPr>
          </w:p>
        </w:tc>
      </w:tr>
      <w:tr w:rsidR="003F0CDB" w:rsidRPr="00EA0DC7" w14:paraId="0145100A" w14:textId="77777777" w:rsidTr="001A0398">
        <w:trPr>
          <w:trHeight w:val="135"/>
        </w:trPr>
        <w:tc>
          <w:tcPr>
            <w:tcW w:w="2977" w:type="dxa"/>
            <w:tcBorders>
              <w:top w:val="nil"/>
              <w:left w:val="nil"/>
              <w:bottom w:val="nil"/>
              <w:right w:val="nil"/>
            </w:tcBorders>
            <w:shd w:val="clear" w:color="auto" w:fill="auto"/>
            <w:hideMark/>
          </w:tcPr>
          <w:p w14:paraId="4850C46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Linehan (1980)</w:t>
            </w:r>
          </w:p>
        </w:tc>
        <w:tc>
          <w:tcPr>
            <w:tcW w:w="1134" w:type="dxa"/>
            <w:tcBorders>
              <w:top w:val="nil"/>
              <w:left w:val="nil"/>
              <w:bottom w:val="nil"/>
              <w:right w:val="nil"/>
            </w:tcBorders>
            <w:shd w:val="clear" w:color="auto" w:fill="auto"/>
            <w:noWrap/>
            <w:vAlign w:val="center"/>
            <w:hideMark/>
          </w:tcPr>
          <w:p w14:paraId="5D8C264B"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64A5FAE3"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4E96C908"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9AB0755" w14:textId="77777777" w:rsidR="003F0CDB" w:rsidRPr="00EA0DC7" w:rsidRDefault="003F0CDB" w:rsidP="00957911">
            <w:pPr>
              <w:spacing w:line="240" w:lineRule="auto"/>
              <w:jc w:val="center"/>
              <w:rPr>
                <w:rFonts w:eastAsia="Times New Roman" w:cs="Arial"/>
                <w:sz w:val="20"/>
                <w:szCs w:val="20"/>
              </w:rPr>
            </w:pPr>
          </w:p>
        </w:tc>
      </w:tr>
      <w:tr w:rsidR="003F0CDB" w:rsidRPr="00EA0DC7" w14:paraId="0B5207AE" w14:textId="77777777" w:rsidTr="001A0398">
        <w:trPr>
          <w:trHeight w:val="238"/>
        </w:trPr>
        <w:tc>
          <w:tcPr>
            <w:tcW w:w="2977" w:type="dxa"/>
            <w:tcBorders>
              <w:top w:val="nil"/>
              <w:left w:val="nil"/>
              <w:right w:val="nil"/>
            </w:tcBorders>
            <w:shd w:val="clear" w:color="auto" w:fill="auto"/>
            <w:hideMark/>
          </w:tcPr>
          <w:p w14:paraId="51850009"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Beier &amp; Young (1980)</w:t>
            </w:r>
          </w:p>
        </w:tc>
        <w:tc>
          <w:tcPr>
            <w:tcW w:w="1134" w:type="dxa"/>
            <w:tcBorders>
              <w:top w:val="nil"/>
              <w:left w:val="nil"/>
              <w:right w:val="nil"/>
            </w:tcBorders>
            <w:shd w:val="clear" w:color="auto" w:fill="auto"/>
            <w:noWrap/>
            <w:vAlign w:val="center"/>
            <w:hideMark/>
          </w:tcPr>
          <w:p w14:paraId="765F4025"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3F2CBFCE"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32C71F1F"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1C01C793" w14:textId="77777777" w:rsidR="003F0CDB" w:rsidRPr="00EA0DC7" w:rsidRDefault="003F0CDB" w:rsidP="00957911">
            <w:pPr>
              <w:spacing w:line="240" w:lineRule="auto"/>
              <w:jc w:val="center"/>
              <w:rPr>
                <w:rFonts w:eastAsia="Times New Roman" w:cs="Arial"/>
                <w:sz w:val="20"/>
                <w:szCs w:val="20"/>
              </w:rPr>
            </w:pPr>
          </w:p>
        </w:tc>
      </w:tr>
      <w:tr w:rsidR="003F0CDB" w:rsidRPr="00EA0DC7" w14:paraId="4F736EED" w14:textId="77777777" w:rsidTr="001A0398">
        <w:trPr>
          <w:trHeight w:val="459"/>
        </w:trPr>
        <w:tc>
          <w:tcPr>
            <w:tcW w:w="2977" w:type="dxa"/>
            <w:tcBorders>
              <w:top w:val="nil"/>
              <w:left w:val="nil"/>
              <w:right w:val="nil"/>
            </w:tcBorders>
            <w:shd w:val="clear" w:color="auto" w:fill="auto"/>
            <w:hideMark/>
          </w:tcPr>
          <w:p w14:paraId="64FD574E"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Stoltenberg (1981)</w:t>
            </w:r>
          </w:p>
        </w:tc>
        <w:tc>
          <w:tcPr>
            <w:tcW w:w="1134" w:type="dxa"/>
            <w:tcBorders>
              <w:top w:val="nil"/>
              <w:left w:val="nil"/>
              <w:right w:val="nil"/>
            </w:tcBorders>
            <w:shd w:val="clear" w:color="auto" w:fill="auto"/>
            <w:noWrap/>
            <w:vAlign w:val="center"/>
            <w:hideMark/>
          </w:tcPr>
          <w:p w14:paraId="660B34E8"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56F9A5DC"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425CD33F"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7E20E80E" w14:textId="77777777" w:rsidR="003F0CDB" w:rsidRPr="00EA0DC7" w:rsidRDefault="003F0CDB" w:rsidP="00957911">
            <w:pPr>
              <w:spacing w:line="240" w:lineRule="auto"/>
              <w:jc w:val="center"/>
              <w:rPr>
                <w:rFonts w:eastAsia="Times New Roman" w:cs="Arial"/>
                <w:sz w:val="20"/>
                <w:szCs w:val="20"/>
              </w:rPr>
            </w:pPr>
          </w:p>
        </w:tc>
      </w:tr>
      <w:tr w:rsidR="003F0CDB" w:rsidRPr="00EA0DC7" w14:paraId="79C2473A" w14:textId="77777777" w:rsidTr="001A0398">
        <w:trPr>
          <w:trHeight w:val="80"/>
        </w:trPr>
        <w:tc>
          <w:tcPr>
            <w:tcW w:w="2977" w:type="dxa"/>
            <w:tcBorders>
              <w:left w:val="nil"/>
              <w:bottom w:val="nil"/>
              <w:right w:val="nil"/>
            </w:tcBorders>
            <w:shd w:val="clear" w:color="auto" w:fill="auto"/>
            <w:hideMark/>
          </w:tcPr>
          <w:p w14:paraId="1A734E1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Loganbill et al. (1982)</w:t>
            </w:r>
          </w:p>
        </w:tc>
        <w:tc>
          <w:tcPr>
            <w:tcW w:w="1134" w:type="dxa"/>
            <w:tcBorders>
              <w:left w:val="nil"/>
              <w:bottom w:val="nil"/>
              <w:right w:val="nil"/>
            </w:tcBorders>
            <w:shd w:val="clear" w:color="auto" w:fill="auto"/>
            <w:noWrap/>
            <w:vAlign w:val="center"/>
            <w:hideMark/>
          </w:tcPr>
          <w:p w14:paraId="5487B9F2"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75F560D6" w14:textId="77777777" w:rsidR="003F0CDB" w:rsidRPr="00EA0DC7" w:rsidRDefault="003F0CDB" w:rsidP="00957911">
            <w:pPr>
              <w:spacing w:line="240" w:lineRule="auto"/>
              <w:jc w:val="center"/>
              <w:rPr>
                <w:rFonts w:eastAsia="Times New Roman" w:cs="Arial"/>
                <w:sz w:val="20"/>
                <w:szCs w:val="20"/>
              </w:rPr>
            </w:pPr>
          </w:p>
        </w:tc>
        <w:tc>
          <w:tcPr>
            <w:tcW w:w="1164" w:type="dxa"/>
            <w:tcBorders>
              <w:left w:val="nil"/>
              <w:bottom w:val="nil"/>
              <w:right w:val="nil"/>
            </w:tcBorders>
            <w:vAlign w:val="center"/>
          </w:tcPr>
          <w:p w14:paraId="6190EF78" w14:textId="77777777" w:rsidR="003F0CDB" w:rsidRPr="00EA0DC7" w:rsidRDefault="003F0CDB" w:rsidP="00957911">
            <w:pPr>
              <w:spacing w:line="240" w:lineRule="auto"/>
              <w:jc w:val="center"/>
              <w:rPr>
                <w:rFonts w:eastAsia="Times New Roman" w:cs="Arial"/>
                <w:sz w:val="20"/>
                <w:szCs w:val="20"/>
              </w:rPr>
            </w:pPr>
          </w:p>
        </w:tc>
        <w:tc>
          <w:tcPr>
            <w:tcW w:w="1671" w:type="dxa"/>
            <w:tcBorders>
              <w:left w:val="nil"/>
              <w:bottom w:val="nil"/>
              <w:right w:val="nil"/>
            </w:tcBorders>
            <w:vAlign w:val="center"/>
          </w:tcPr>
          <w:p w14:paraId="103FC702" w14:textId="77777777" w:rsidR="003F0CDB" w:rsidRPr="00EA0DC7" w:rsidRDefault="003F0CDB" w:rsidP="00957911">
            <w:pPr>
              <w:spacing w:line="240" w:lineRule="auto"/>
              <w:jc w:val="center"/>
              <w:rPr>
                <w:rFonts w:eastAsia="Times New Roman" w:cs="Arial"/>
                <w:sz w:val="20"/>
                <w:szCs w:val="20"/>
              </w:rPr>
            </w:pPr>
          </w:p>
        </w:tc>
      </w:tr>
      <w:tr w:rsidR="003F0CDB" w:rsidRPr="00EA0DC7" w14:paraId="7A3FAF81" w14:textId="77777777" w:rsidTr="001A0398">
        <w:trPr>
          <w:trHeight w:val="80"/>
        </w:trPr>
        <w:tc>
          <w:tcPr>
            <w:tcW w:w="2977" w:type="dxa"/>
            <w:tcBorders>
              <w:top w:val="nil"/>
              <w:left w:val="nil"/>
              <w:right w:val="nil"/>
            </w:tcBorders>
            <w:shd w:val="clear" w:color="auto" w:fill="auto"/>
            <w:hideMark/>
          </w:tcPr>
          <w:p w14:paraId="2D33826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Yogev (1982)</w:t>
            </w:r>
          </w:p>
        </w:tc>
        <w:tc>
          <w:tcPr>
            <w:tcW w:w="1134" w:type="dxa"/>
            <w:tcBorders>
              <w:top w:val="nil"/>
              <w:left w:val="nil"/>
              <w:bottom w:val="nil"/>
              <w:right w:val="nil"/>
            </w:tcBorders>
            <w:shd w:val="clear" w:color="auto" w:fill="auto"/>
            <w:noWrap/>
            <w:vAlign w:val="center"/>
            <w:hideMark/>
          </w:tcPr>
          <w:p w14:paraId="2C1F1093"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3ECB98BD"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23AF737D"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1CEE3A4F" w14:textId="77777777" w:rsidR="003F0CDB" w:rsidRPr="00EA0DC7" w:rsidRDefault="003F0CDB" w:rsidP="00957911">
            <w:pPr>
              <w:spacing w:line="240" w:lineRule="auto"/>
              <w:jc w:val="center"/>
              <w:rPr>
                <w:rFonts w:eastAsia="Times New Roman" w:cs="Arial"/>
                <w:sz w:val="20"/>
                <w:szCs w:val="20"/>
              </w:rPr>
            </w:pPr>
          </w:p>
        </w:tc>
      </w:tr>
      <w:tr w:rsidR="003F0CDB" w:rsidRPr="00EA0DC7" w14:paraId="5884D0B1" w14:textId="77777777" w:rsidTr="001A0398">
        <w:trPr>
          <w:trHeight w:val="80"/>
        </w:trPr>
        <w:tc>
          <w:tcPr>
            <w:tcW w:w="2977" w:type="dxa"/>
            <w:shd w:val="clear" w:color="auto" w:fill="auto"/>
            <w:hideMark/>
          </w:tcPr>
          <w:p w14:paraId="783CDAA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Blocher (1983)</w:t>
            </w:r>
          </w:p>
        </w:tc>
        <w:tc>
          <w:tcPr>
            <w:tcW w:w="1134" w:type="dxa"/>
            <w:tcBorders>
              <w:top w:val="nil"/>
              <w:left w:val="nil"/>
              <w:bottom w:val="nil"/>
              <w:right w:val="nil"/>
            </w:tcBorders>
            <w:shd w:val="clear" w:color="auto" w:fill="auto"/>
            <w:noWrap/>
            <w:vAlign w:val="center"/>
            <w:hideMark/>
          </w:tcPr>
          <w:p w14:paraId="519D1CFF"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136E44DF"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0854D783"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39DC6E6B" w14:textId="77777777" w:rsidR="003F0CDB" w:rsidRPr="00EA0DC7" w:rsidRDefault="003F0CDB" w:rsidP="00957911">
            <w:pPr>
              <w:spacing w:line="240" w:lineRule="auto"/>
              <w:jc w:val="center"/>
              <w:rPr>
                <w:rFonts w:eastAsia="Times New Roman" w:cs="Arial"/>
                <w:sz w:val="20"/>
                <w:szCs w:val="20"/>
              </w:rPr>
            </w:pPr>
          </w:p>
        </w:tc>
      </w:tr>
      <w:tr w:rsidR="003F0CDB" w:rsidRPr="00EA0DC7" w14:paraId="745A61E5" w14:textId="77777777" w:rsidTr="001A0398">
        <w:trPr>
          <w:trHeight w:val="80"/>
        </w:trPr>
        <w:tc>
          <w:tcPr>
            <w:tcW w:w="2977" w:type="dxa"/>
            <w:shd w:val="clear" w:color="auto" w:fill="auto"/>
          </w:tcPr>
          <w:p w14:paraId="7A46FDA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Bordin (1983)</w:t>
            </w:r>
          </w:p>
        </w:tc>
        <w:tc>
          <w:tcPr>
            <w:tcW w:w="1134" w:type="dxa"/>
            <w:tcBorders>
              <w:top w:val="nil"/>
              <w:left w:val="nil"/>
              <w:bottom w:val="nil"/>
              <w:right w:val="nil"/>
            </w:tcBorders>
            <w:shd w:val="clear" w:color="auto" w:fill="auto"/>
            <w:noWrap/>
            <w:vAlign w:val="center"/>
            <w:hideMark/>
          </w:tcPr>
          <w:p w14:paraId="107CCF79"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1F30219C"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1486308C"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7B011A49" w14:textId="77777777" w:rsidR="003F0CDB" w:rsidRPr="00EA0DC7" w:rsidRDefault="003F0CDB" w:rsidP="00957911">
            <w:pPr>
              <w:spacing w:line="240" w:lineRule="auto"/>
              <w:jc w:val="center"/>
              <w:rPr>
                <w:rFonts w:eastAsia="Times New Roman" w:cs="Arial"/>
                <w:sz w:val="20"/>
                <w:szCs w:val="20"/>
              </w:rPr>
            </w:pPr>
          </w:p>
        </w:tc>
      </w:tr>
      <w:tr w:rsidR="003F0CDB" w:rsidRPr="00EA0DC7" w14:paraId="484365C3" w14:textId="77777777" w:rsidTr="001A0398">
        <w:trPr>
          <w:trHeight w:val="80"/>
        </w:trPr>
        <w:tc>
          <w:tcPr>
            <w:tcW w:w="2977" w:type="dxa"/>
            <w:tcBorders>
              <w:left w:val="nil"/>
              <w:right w:val="nil"/>
            </w:tcBorders>
            <w:shd w:val="clear" w:color="auto" w:fill="auto"/>
            <w:hideMark/>
          </w:tcPr>
          <w:p w14:paraId="4A6A864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Hosford &amp; Barmann (1983)</w:t>
            </w:r>
          </w:p>
        </w:tc>
        <w:tc>
          <w:tcPr>
            <w:tcW w:w="1134" w:type="dxa"/>
            <w:tcBorders>
              <w:top w:val="nil"/>
              <w:left w:val="nil"/>
              <w:right w:val="nil"/>
            </w:tcBorders>
            <w:shd w:val="clear" w:color="auto" w:fill="auto"/>
            <w:noWrap/>
            <w:vAlign w:val="center"/>
            <w:hideMark/>
          </w:tcPr>
          <w:p w14:paraId="73AF1867"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right w:val="nil"/>
            </w:tcBorders>
            <w:shd w:val="clear" w:color="auto" w:fill="auto"/>
            <w:noWrap/>
            <w:vAlign w:val="center"/>
            <w:hideMark/>
          </w:tcPr>
          <w:p w14:paraId="1F481EDB"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2CD47FB7"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6F34663F" w14:textId="77777777" w:rsidR="003F0CDB" w:rsidRPr="00EA0DC7" w:rsidRDefault="003F0CDB" w:rsidP="00957911">
            <w:pPr>
              <w:spacing w:line="240" w:lineRule="auto"/>
              <w:jc w:val="center"/>
              <w:rPr>
                <w:rFonts w:eastAsia="Times New Roman" w:cs="Arial"/>
                <w:sz w:val="20"/>
                <w:szCs w:val="20"/>
              </w:rPr>
            </w:pPr>
          </w:p>
        </w:tc>
      </w:tr>
      <w:tr w:rsidR="003F0CDB" w:rsidRPr="00EA0DC7" w14:paraId="33A0B031" w14:textId="77777777" w:rsidTr="001A0398">
        <w:trPr>
          <w:trHeight w:val="80"/>
        </w:trPr>
        <w:tc>
          <w:tcPr>
            <w:tcW w:w="2977" w:type="dxa"/>
            <w:tcBorders>
              <w:top w:val="nil"/>
              <w:left w:val="nil"/>
              <w:right w:val="nil"/>
            </w:tcBorders>
            <w:shd w:val="clear" w:color="auto" w:fill="auto"/>
            <w:hideMark/>
          </w:tcPr>
          <w:p w14:paraId="5CA3D2D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Patterson (1983)</w:t>
            </w:r>
          </w:p>
        </w:tc>
        <w:tc>
          <w:tcPr>
            <w:tcW w:w="1134" w:type="dxa"/>
            <w:tcBorders>
              <w:top w:val="nil"/>
              <w:left w:val="nil"/>
              <w:right w:val="nil"/>
            </w:tcBorders>
            <w:shd w:val="clear" w:color="auto" w:fill="auto"/>
            <w:noWrap/>
            <w:vAlign w:val="center"/>
            <w:hideMark/>
          </w:tcPr>
          <w:p w14:paraId="13DB61C3"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62423467"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20E146F6"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7D6C0249" w14:textId="77777777" w:rsidR="003F0CDB" w:rsidRPr="00EA0DC7" w:rsidRDefault="003F0CDB" w:rsidP="00957911">
            <w:pPr>
              <w:spacing w:line="240" w:lineRule="auto"/>
              <w:jc w:val="center"/>
              <w:rPr>
                <w:rFonts w:eastAsia="Times New Roman" w:cs="Arial"/>
                <w:sz w:val="20"/>
                <w:szCs w:val="20"/>
              </w:rPr>
            </w:pPr>
          </w:p>
        </w:tc>
      </w:tr>
      <w:tr w:rsidR="003F0CDB" w:rsidRPr="00EA0DC7" w14:paraId="6688397A" w14:textId="77777777" w:rsidTr="001A0398">
        <w:trPr>
          <w:trHeight w:val="80"/>
        </w:trPr>
        <w:tc>
          <w:tcPr>
            <w:tcW w:w="2977" w:type="dxa"/>
            <w:tcBorders>
              <w:left w:val="nil"/>
              <w:right w:val="nil"/>
            </w:tcBorders>
            <w:shd w:val="clear" w:color="auto" w:fill="auto"/>
            <w:hideMark/>
          </w:tcPr>
          <w:p w14:paraId="36942370" w14:textId="77777777" w:rsidR="003F0CDB" w:rsidRPr="00EA0DC7" w:rsidRDefault="003F0CDB" w:rsidP="001A0398">
            <w:pPr>
              <w:spacing w:line="240" w:lineRule="auto"/>
              <w:jc w:val="left"/>
              <w:rPr>
                <w:rFonts w:eastAsia="Times New Roman" w:cs="Arial"/>
                <w:sz w:val="20"/>
                <w:szCs w:val="20"/>
              </w:rPr>
            </w:pPr>
            <w:r w:rsidRPr="00EA0DC7">
              <w:rPr>
                <w:rFonts w:eastAsia="Times New Roman" w:cs="Arial"/>
                <w:sz w:val="20"/>
                <w:szCs w:val="20"/>
              </w:rPr>
              <w:t>Wessler &amp; Ellis (1983)</w:t>
            </w:r>
          </w:p>
        </w:tc>
        <w:tc>
          <w:tcPr>
            <w:tcW w:w="1134" w:type="dxa"/>
            <w:tcBorders>
              <w:left w:val="nil"/>
              <w:right w:val="nil"/>
            </w:tcBorders>
            <w:shd w:val="clear" w:color="auto" w:fill="auto"/>
            <w:noWrap/>
            <w:vAlign w:val="center"/>
            <w:hideMark/>
          </w:tcPr>
          <w:p w14:paraId="6C205F25" w14:textId="77777777" w:rsidR="003F0CDB" w:rsidRPr="00EA0DC7" w:rsidRDefault="003F0CDB" w:rsidP="001A0398">
            <w:pPr>
              <w:spacing w:line="240" w:lineRule="auto"/>
              <w:jc w:val="center"/>
              <w:rPr>
                <w:rFonts w:eastAsia="Times New Roman" w:cs="Arial"/>
                <w:sz w:val="20"/>
                <w:szCs w:val="20"/>
              </w:rPr>
            </w:pPr>
          </w:p>
        </w:tc>
        <w:tc>
          <w:tcPr>
            <w:tcW w:w="1418" w:type="dxa"/>
            <w:tcBorders>
              <w:left w:val="nil"/>
              <w:right w:val="nil"/>
            </w:tcBorders>
            <w:shd w:val="clear" w:color="auto" w:fill="auto"/>
            <w:noWrap/>
            <w:vAlign w:val="center"/>
            <w:hideMark/>
          </w:tcPr>
          <w:p w14:paraId="30EEF804" w14:textId="77777777" w:rsidR="003F0CDB" w:rsidRPr="00EA0DC7" w:rsidRDefault="003F0CDB" w:rsidP="001A0398">
            <w:pPr>
              <w:spacing w:line="240" w:lineRule="auto"/>
              <w:jc w:val="center"/>
              <w:rPr>
                <w:rFonts w:eastAsia="Times New Roman" w:cs="Arial"/>
                <w:sz w:val="20"/>
                <w:szCs w:val="20"/>
              </w:rPr>
            </w:pPr>
          </w:p>
        </w:tc>
        <w:tc>
          <w:tcPr>
            <w:tcW w:w="1164" w:type="dxa"/>
            <w:tcBorders>
              <w:left w:val="nil"/>
              <w:right w:val="nil"/>
            </w:tcBorders>
            <w:vAlign w:val="center"/>
          </w:tcPr>
          <w:p w14:paraId="5AAD88BE" w14:textId="77777777" w:rsidR="003F0CDB" w:rsidRPr="00EA0DC7" w:rsidRDefault="003F0CDB" w:rsidP="001A0398">
            <w:pPr>
              <w:spacing w:line="240" w:lineRule="auto"/>
              <w:jc w:val="center"/>
              <w:rPr>
                <w:rFonts w:eastAsia="Times New Roman" w:cs="Arial"/>
                <w:sz w:val="20"/>
                <w:szCs w:val="20"/>
              </w:rPr>
            </w:pPr>
          </w:p>
        </w:tc>
        <w:tc>
          <w:tcPr>
            <w:tcW w:w="1671" w:type="dxa"/>
            <w:tcBorders>
              <w:left w:val="nil"/>
              <w:right w:val="nil"/>
            </w:tcBorders>
            <w:vAlign w:val="center"/>
          </w:tcPr>
          <w:p w14:paraId="4E63D251" w14:textId="77777777" w:rsidR="003F0CDB" w:rsidRPr="00EA0DC7" w:rsidRDefault="003F0CDB" w:rsidP="001A0398">
            <w:pPr>
              <w:spacing w:line="240" w:lineRule="auto"/>
              <w:jc w:val="center"/>
              <w:rPr>
                <w:rFonts w:eastAsia="Times New Roman" w:cs="Arial"/>
                <w:sz w:val="20"/>
                <w:szCs w:val="20"/>
              </w:rPr>
            </w:pPr>
          </w:p>
        </w:tc>
      </w:tr>
      <w:tr w:rsidR="003F0CDB" w:rsidRPr="00EA0DC7" w14:paraId="28732178" w14:textId="77777777" w:rsidTr="001A0398">
        <w:trPr>
          <w:trHeight w:val="80"/>
        </w:trPr>
        <w:tc>
          <w:tcPr>
            <w:tcW w:w="2977" w:type="dxa"/>
            <w:tcBorders>
              <w:top w:val="nil"/>
              <w:left w:val="nil"/>
              <w:right w:val="nil"/>
            </w:tcBorders>
            <w:shd w:val="clear" w:color="auto" w:fill="auto"/>
            <w:hideMark/>
          </w:tcPr>
          <w:p w14:paraId="1311E52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Connell (1984)</w:t>
            </w:r>
          </w:p>
        </w:tc>
        <w:tc>
          <w:tcPr>
            <w:tcW w:w="1134" w:type="dxa"/>
            <w:tcBorders>
              <w:top w:val="nil"/>
              <w:left w:val="nil"/>
              <w:right w:val="nil"/>
            </w:tcBorders>
            <w:shd w:val="clear" w:color="auto" w:fill="auto"/>
            <w:noWrap/>
            <w:vAlign w:val="center"/>
            <w:hideMark/>
          </w:tcPr>
          <w:p w14:paraId="30919962"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5CB61A9E"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51280D51"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0893C82D" w14:textId="77777777" w:rsidR="003F0CDB" w:rsidRPr="00EA0DC7" w:rsidRDefault="003F0CDB" w:rsidP="00957911">
            <w:pPr>
              <w:spacing w:line="240" w:lineRule="auto"/>
              <w:jc w:val="center"/>
              <w:rPr>
                <w:rFonts w:eastAsia="Times New Roman" w:cs="Arial"/>
                <w:sz w:val="20"/>
                <w:szCs w:val="20"/>
              </w:rPr>
            </w:pPr>
          </w:p>
        </w:tc>
      </w:tr>
      <w:tr w:rsidR="003F0CDB" w:rsidRPr="00EA0DC7" w14:paraId="3CEF8D9B" w14:textId="77777777" w:rsidTr="001A0398">
        <w:trPr>
          <w:trHeight w:val="80"/>
        </w:trPr>
        <w:tc>
          <w:tcPr>
            <w:tcW w:w="2977" w:type="dxa"/>
            <w:tcBorders>
              <w:left w:val="nil"/>
              <w:bottom w:val="single" w:sz="4" w:space="0" w:color="auto"/>
              <w:right w:val="nil"/>
            </w:tcBorders>
            <w:shd w:val="clear" w:color="auto" w:fill="auto"/>
            <w:hideMark/>
          </w:tcPr>
          <w:p w14:paraId="63D7B82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Grater (1985)</w:t>
            </w:r>
          </w:p>
        </w:tc>
        <w:tc>
          <w:tcPr>
            <w:tcW w:w="1134" w:type="dxa"/>
            <w:tcBorders>
              <w:left w:val="nil"/>
              <w:bottom w:val="single" w:sz="4" w:space="0" w:color="auto"/>
              <w:right w:val="nil"/>
            </w:tcBorders>
            <w:shd w:val="clear" w:color="auto" w:fill="auto"/>
            <w:noWrap/>
            <w:vAlign w:val="center"/>
            <w:hideMark/>
          </w:tcPr>
          <w:p w14:paraId="65BFCB63"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single" w:sz="4" w:space="0" w:color="auto"/>
              <w:right w:val="nil"/>
            </w:tcBorders>
            <w:shd w:val="clear" w:color="auto" w:fill="auto"/>
            <w:noWrap/>
            <w:vAlign w:val="center"/>
            <w:hideMark/>
          </w:tcPr>
          <w:p w14:paraId="09EA8968" w14:textId="77777777" w:rsidR="003F0CDB" w:rsidRPr="00EA0DC7" w:rsidRDefault="003F0CDB" w:rsidP="00957911">
            <w:pPr>
              <w:spacing w:line="240" w:lineRule="auto"/>
              <w:jc w:val="center"/>
              <w:rPr>
                <w:rFonts w:eastAsia="Times New Roman" w:cs="Arial"/>
                <w:sz w:val="20"/>
                <w:szCs w:val="20"/>
              </w:rPr>
            </w:pPr>
          </w:p>
        </w:tc>
        <w:tc>
          <w:tcPr>
            <w:tcW w:w="1164" w:type="dxa"/>
            <w:tcBorders>
              <w:left w:val="nil"/>
              <w:bottom w:val="single" w:sz="4" w:space="0" w:color="auto"/>
              <w:right w:val="nil"/>
            </w:tcBorders>
            <w:vAlign w:val="center"/>
          </w:tcPr>
          <w:p w14:paraId="05A6189A" w14:textId="77777777" w:rsidR="003F0CDB" w:rsidRPr="00EA0DC7" w:rsidRDefault="003F0CDB" w:rsidP="00957911">
            <w:pPr>
              <w:spacing w:line="240" w:lineRule="auto"/>
              <w:jc w:val="center"/>
              <w:rPr>
                <w:rFonts w:eastAsia="Times New Roman" w:cs="Arial"/>
                <w:sz w:val="20"/>
                <w:szCs w:val="20"/>
              </w:rPr>
            </w:pPr>
          </w:p>
        </w:tc>
        <w:tc>
          <w:tcPr>
            <w:tcW w:w="1671" w:type="dxa"/>
            <w:tcBorders>
              <w:left w:val="nil"/>
              <w:bottom w:val="single" w:sz="4" w:space="0" w:color="auto"/>
              <w:right w:val="nil"/>
            </w:tcBorders>
            <w:vAlign w:val="center"/>
          </w:tcPr>
          <w:p w14:paraId="500A79CD" w14:textId="77777777" w:rsidR="003F0CDB" w:rsidRPr="00EA0DC7" w:rsidRDefault="003F0CDB" w:rsidP="00957911">
            <w:pPr>
              <w:spacing w:line="240" w:lineRule="auto"/>
              <w:jc w:val="center"/>
              <w:rPr>
                <w:rFonts w:eastAsia="Times New Roman" w:cs="Arial"/>
                <w:sz w:val="20"/>
                <w:szCs w:val="20"/>
              </w:rPr>
            </w:pPr>
          </w:p>
        </w:tc>
      </w:tr>
      <w:tr w:rsidR="001A0398" w:rsidRPr="00EA0DC7" w14:paraId="4ABAF4C7" w14:textId="77777777" w:rsidTr="001A0398">
        <w:trPr>
          <w:trHeight w:val="80"/>
        </w:trPr>
        <w:tc>
          <w:tcPr>
            <w:tcW w:w="2977" w:type="dxa"/>
            <w:tcBorders>
              <w:top w:val="single" w:sz="4" w:space="0" w:color="auto"/>
              <w:left w:val="nil"/>
              <w:bottom w:val="single" w:sz="4" w:space="0" w:color="auto"/>
              <w:right w:val="nil"/>
            </w:tcBorders>
            <w:shd w:val="clear" w:color="auto" w:fill="auto"/>
            <w:vAlign w:val="center"/>
          </w:tcPr>
          <w:p w14:paraId="782FACC4"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134" w:type="dxa"/>
            <w:tcBorders>
              <w:top w:val="single" w:sz="4" w:space="0" w:color="auto"/>
              <w:left w:val="nil"/>
              <w:bottom w:val="single" w:sz="4" w:space="0" w:color="auto"/>
              <w:right w:val="nil"/>
            </w:tcBorders>
            <w:shd w:val="clear" w:color="auto" w:fill="auto"/>
            <w:noWrap/>
            <w:vAlign w:val="center"/>
          </w:tcPr>
          <w:p w14:paraId="5803E525"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Contract</w:t>
            </w:r>
          </w:p>
        </w:tc>
        <w:tc>
          <w:tcPr>
            <w:tcW w:w="1418" w:type="dxa"/>
            <w:tcBorders>
              <w:top w:val="single" w:sz="4" w:space="0" w:color="auto"/>
              <w:left w:val="nil"/>
              <w:bottom w:val="single" w:sz="4" w:space="0" w:color="auto"/>
              <w:right w:val="nil"/>
            </w:tcBorders>
            <w:shd w:val="clear" w:color="auto" w:fill="auto"/>
            <w:noWrap/>
            <w:vAlign w:val="center"/>
          </w:tcPr>
          <w:p w14:paraId="287AA5B8"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Re-contracting</w:t>
            </w:r>
          </w:p>
        </w:tc>
        <w:tc>
          <w:tcPr>
            <w:tcW w:w="1164" w:type="dxa"/>
            <w:tcBorders>
              <w:top w:val="single" w:sz="4" w:space="0" w:color="auto"/>
              <w:left w:val="nil"/>
              <w:bottom w:val="single" w:sz="4" w:space="0" w:color="auto"/>
              <w:right w:val="nil"/>
            </w:tcBorders>
            <w:vAlign w:val="center"/>
          </w:tcPr>
          <w:p w14:paraId="04343F31" w14:textId="762C033B"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Terminat-ion</w:t>
            </w:r>
          </w:p>
        </w:tc>
        <w:tc>
          <w:tcPr>
            <w:tcW w:w="1671" w:type="dxa"/>
            <w:tcBorders>
              <w:top w:val="single" w:sz="4" w:space="0" w:color="auto"/>
              <w:left w:val="nil"/>
              <w:bottom w:val="single" w:sz="4" w:space="0" w:color="auto"/>
              <w:right w:val="nil"/>
            </w:tcBorders>
            <w:vAlign w:val="center"/>
          </w:tcPr>
          <w:p w14:paraId="6368E8E1"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Supervision of supervision</w:t>
            </w:r>
          </w:p>
        </w:tc>
      </w:tr>
      <w:tr w:rsidR="003F0CDB" w:rsidRPr="00EA0DC7" w14:paraId="0362FA74" w14:textId="77777777" w:rsidTr="001A0398">
        <w:trPr>
          <w:trHeight w:val="80"/>
        </w:trPr>
        <w:tc>
          <w:tcPr>
            <w:tcW w:w="2977" w:type="dxa"/>
            <w:tcBorders>
              <w:left w:val="nil"/>
              <w:bottom w:val="nil"/>
              <w:right w:val="nil"/>
            </w:tcBorders>
            <w:shd w:val="clear" w:color="auto" w:fill="auto"/>
            <w:hideMark/>
          </w:tcPr>
          <w:p w14:paraId="5D82744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Friedmand &amp; Kaslow (1986)</w:t>
            </w:r>
          </w:p>
        </w:tc>
        <w:tc>
          <w:tcPr>
            <w:tcW w:w="1134" w:type="dxa"/>
            <w:tcBorders>
              <w:left w:val="nil"/>
              <w:bottom w:val="nil"/>
              <w:right w:val="nil"/>
            </w:tcBorders>
            <w:shd w:val="clear" w:color="auto" w:fill="auto"/>
            <w:noWrap/>
            <w:vAlign w:val="center"/>
            <w:hideMark/>
          </w:tcPr>
          <w:p w14:paraId="70B29888"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0E929F15" w14:textId="77777777" w:rsidR="003F0CDB" w:rsidRPr="00EA0DC7" w:rsidRDefault="003F0CDB" w:rsidP="00957911">
            <w:pPr>
              <w:spacing w:line="240" w:lineRule="auto"/>
              <w:jc w:val="center"/>
              <w:rPr>
                <w:rFonts w:eastAsia="Times New Roman" w:cs="Arial"/>
                <w:sz w:val="20"/>
                <w:szCs w:val="20"/>
              </w:rPr>
            </w:pPr>
          </w:p>
        </w:tc>
        <w:tc>
          <w:tcPr>
            <w:tcW w:w="1164" w:type="dxa"/>
            <w:tcBorders>
              <w:left w:val="nil"/>
              <w:bottom w:val="nil"/>
              <w:right w:val="nil"/>
            </w:tcBorders>
            <w:vAlign w:val="center"/>
          </w:tcPr>
          <w:p w14:paraId="29ED9DE8"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left w:val="nil"/>
              <w:bottom w:val="nil"/>
              <w:right w:val="nil"/>
            </w:tcBorders>
            <w:vAlign w:val="center"/>
          </w:tcPr>
          <w:p w14:paraId="1BCF8661" w14:textId="77777777" w:rsidR="003F0CDB" w:rsidRPr="00EA0DC7" w:rsidRDefault="003F0CDB" w:rsidP="00957911">
            <w:pPr>
              <w:spacing w:line="240" w:lineRule="auto"/>
              <w:jc w:val="center"/>
              <w:rPr>
                <w:rFonts w:eastAsia="Times New Roman" w:cs="Arial"/>
                <w:sz w:val="20"/>
                <w:szCs w:val="20"/>
              </w:rPr>
            </w:pPr>
          </w:p>
        </w:tc>
      </w:tr>
      <w:tr w:rsidR="003F0CDB" w:rsidRPr="00EA0DC7" w14:paraId="1B4C2480" w14:textId="77777777" w:rsidTr="001A0398">
        <w:trPr>
          <w:trHeight w:val="80"/>
        </w:trPr>
        <w:tc>
          <w:tcPr>
            <w:tcW w:w="2977" w:type="dxa"/>
            <w:tcBorders>
              <w:top w:val="nil"/>
              <w:left w:val="nil"/>
              <w:right w:val="nil"/>
            </w:tcBorders>
            <w:shd w:val="clear" w:color="auto" w:fill="auto"/>
            <w:hideMark/>
          </w:tcPr>
          <w:p w14:paraId="072EE4F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Hess (1986)</w:t>
            </w:r>
          </w:p>
        </w:tc>
        <w:tc>
          <w:tcPr>
            <w:tcW w:w="1134" w:type="dxa"/>
            <w:tcBorders>
              <w:top w:val="nil"/>
              <w:left w:val="nil"/>
              <w:right w:val="nil"/>
            </w:tcBorders>
            <w:shd w:val="clear" w:color="auto" w:fill="auto"/>
            <w:noWrap/>
            <w:vAlign w:val="center"/>
            <w:hideMark/>
          </w:tcPr>
          <w:p w14:paraId="2D13CE99"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6BE993C1"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7AD63A96"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079286DB" w14:textId="77777777" w:rsidR="003F0CDB" w:rsidRPr="00EA0DC7" w:rsidRDefault="003F0CDB" w:rsidP="00957911">
            <w:pPr>
              <w:spacing w:line="240" w:lineRule="auto"/>
              <w:jc w:val="center"/>
              <w:rPr>
                <w:rFonts w:eastAsia="Times New Roman" w:cs="Arial"/>
                <w:sz w:val="20"/>
                <w:szCs w:val="20"/>
              </w:rPr>
            </w:pPr>
          </w:p>
        </w:tc>
      </w:tr>
      <w:tr w:rsidR="003F0CDB" w:rsidRPr="00EA0DC7" w14:paraId="29AEB629" w14:textId="77777777" w:rsidTr="001A0398">
        <w:trPr>
          <w:trHeight w:val="80"/>
        </w:trPr>
        <w:tc>
          <w:tcPr>
            <w:tcW w:w="2977" w:type="dxa"/>
            <w:tcBorders>
              <w:top w:val="nil"/>
              <w:left w:val="nil"/>
              <w:bottom w:val="nil"/>
              <w:right w:val="nil"/>
            </w:tcBorders>
            <w:shd w:val="clear" w:color="auto" w:fill="auto"/>
            <w:hideMark/>
          </w:tcPr>
          <w:p w14:paraId="53210B0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Stoltenberg &amp; Delworth (1987)</w:t>
            </w:r>
          </w:p>
        </w:tc>
        <w:tc>
          <w:tcPr>
            <w:tcW w:w="1134" w:type="dxa"/>
            <w:tcBorders>
              <w:top w:val="nil"/>
              <w:left w:val="nil"/>
              <w:bottom w:val="nil"/>
              <w:right w:val="nil"/>
            </w:tcBorders>
            <w:shd w:val="clear" w:color="auto" w:fill="auto"/>
            <w:noWrap/>
            <w:vAlign w:val="center"/>
            <w:hideMark/>
          </w:tcPr>
          <w:p w14:paraId="35B10527"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631F7B70"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49CF6276"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34011C7D" w14:textId="77777777" w:rsidR="003F0CDB" w:rsidRPr="00EA0DC7" w:rsidRDefault="003F0CDB" w:rsidP="00957911">
            <w:pPr>
              <w:spacing w:line="240" w:lineRule="auto"/>
              <w:jc w:val="center"/>
              <w:rPr>
                <w:rFonts w:eastAsia="Times New Roman" w:cs="Arial"/>
                <w:sz w:val="20"/>
                <w:szCs w:val="20"/>
              </w:rPr>
            </w:pPr>
          </w:p>
        </w:tc>
      </w:tr>
      <w:tr w:rsidR="003F0CDB" w:rsidRPr="00EA0DC7" w14:paraId="7928D0A2" w14:textId="77777777" w:rsidTr="001A0398">
        <w:trPr>
          <w:trHeight w:val="80"/>
        </w:trPr>
        <w:tc>
          <w:tcPr>
            <w:tcW w:w="2977" w:type="dxa"/>
            <w:tcBorders>
              <w:top w:val="nil"/>
              <w:left w:val="nil"/>
              <w:bottom w:val="nil"/>
              <w:right w:val="nil"/>
            </w:tcBorders>
            <w:shd w:val="clear" w:color="auto" w:fill="auto"/>
            <w:hideMark/>
          </w:tcPr>
          <w:p w14:paraId="2E8F191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Ault-Riche (1988)</w:t>
            </w:r>
          </w:p>
        </w:tc>
        <w:tc>
          <w:tcPr>
            <w:tcW w:w="1134" w:type="dxa"/>
            <w:tcBorders>
              <w:top w:val="nil"/>
              <w:left w:val="nil"/>
              <w:bottom w:val="nil"/>
              <w:right w:val="nil"/>
            </w:tcBorders>
            <w:shd w:val="clear" w:color="auto" w:fill="auto"/>
            <w:noWrap/>
            <w:vAlign w:val="center"/>
            <w:hideMark/>
          </w:tcPr>
          <w:p w14:paraId="42C1504E"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0D32A3D8"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6AC45156"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8712F1B" w14:textId="77777777" w:rsidR="003F0CDB" w:rsidRPr="00EA0DC7" w:rsidRDefault="003F0CDB" w:rsidP="00957911">
            <w:pPr>
              <w:spacing w:line="240" w:lineRule="auto"/>
              <w:jc w:val="center"/>
              <w:rPr>
                <w:rFonts w:eastAsia="Times New Roman" w:cs="Arial"/>
                <w:sz w:val="20"/>
                <w:szCs w:val="20"/>
              </w:rPr>
            </w:pPr>
          </w:p>
        </w:tc>
      </w:tr>
      <w:tr w:rsidR="003F0CDB" w:rsidRPr="00EA0DC7" w14:paraId="605C31C2" w14:textId="77777777" w:rsidTr="001A0398">
        <w:trPr>
          <w:trHeight w:val="80"/>
        </w:trPr>
        <w:tc>
          <w:tcPr>
            <w:tcW w:w="2977" w:type="dxa"/>
            <w:tcBorders>
              <w:top w:val="nil"/>
              <w:left w:val="nil"/>
              <w:right w:val="nil"/>
            </w:tcBorders>
            <w:shd w:val="clear" w:color="auto" w:fill="auto"/>
            <w:hideMark/>
          </w:tcPr>
          <w:p w14:paraId="2DD8CF0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Watkins (1990)</w:t>
            </w:r>
          </w:p>
        </w:tc>
        <w:tc>
          <w:tcPr>
            <w:tcW w:w="1134" w:type="dxa"/>
            <w:tcBorders>
              <w:top w:val="nil"/>
              <w:left w:val="nil"/>
              <w:right w:val="nil"/>
            </w:tcBorders>
            <w:shd w:val="clear" w:color="auto" w:fill="auto"/>
            <w:noWrap/>
            <w:vAlign w:val="center"/>
            <w:hideMark/>
          </w:tcPr>
          <w:p w14:paraId="718B7398"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0DDE7A92"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2B10D95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right w:val="nil"/>
            </w:tcBorders>
            <w:vAlign w:val="center"/>
          </w:tcPr>
          <w:p w14:paraId="406E3E63" w14:textId="77777777" w:rsidR="003F0CDB" w:rsidRPr="00EA0DC7" w:rsidRDefault="003F0CDB" w:rsidP="00957911">
            <w:pPr>
              <w:spacing w:line="240" w:lineRule="auto"/>
              <w:jc w:val="center"/>
              <w:rPr>
                <w:rFonts w:eastAsia="Times New Roman" w:cs="Arial"/>
                <w:sz w:val="20"/>
                <w:szCs w:val="20"/>
              </w:rPr>
            </w:pPr>
          </w:p>
        </w:tc>
      </w:tr>
      <w:tr w:rsidR="003F0CDB" w:rsidRPr="00EA0DC7" w14:paraId="02BDF4F5" w14:textId="77777777" w:rsidTr="001A0398">
        <w:trPr>
          <w:trHeight w:val="80"/>
        </w:trPr>
        <w:tc>
          <w:tcPr>
            <w:tcW w:w="2977" w:type="dxa"/>
            <w:tcBorders>
              <w:top w:val="nil"/>
              <w:left w:val="nil"/>
              <w:right w:val="nil"/>
            </w:tcBorders>
            <w:shd w:val="clear" w:color="auto" w:fill="auto"/>
            <w:hideMark/>
          </w:tcPr>
          <w:p w14:paraId="4BEDB87E"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Wetchler (1990)</w:t>
            </w:r>
          </w:p>
        </w:tc>
        <w:tc>
          <w:tcPr>
            <w:tcW w:w="1134" w:type="dxa"/>
            <w:tcBorders>
              <w:top w:val="nil"/>
              <w:left w:val="nil"/>
              <w:right w:val="nil"/>
            </w:tcBorders>
            <w:shd w:val="clear" w:color="auto" w:fill="auto"/>
            <w:noWrap/>
            <w:vAlign w:val="center"/>
            <w:hideMark/>
          </w:tcPr>
          <w:p w14:paraId="79CB8B84"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0B44DAD"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7014B019"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64B4AF82" w14:textId="77777777" w:rsidR="003F0CDB" w:rsidRPr="00EA0DC7" w:rsidRDefault="003F0CDB" w:rsidP="00957911">
            <w:pPr>
              <w:spacing w:line="240" w:lineRule="auto"/>
              <w:jc w:val="center"/>
              <w:rPr>
                <w:rFonts w:eastAsia="Times New Roman" w:cs="Arial"/>
                <w:sz w:val="20"/>
                <w:szCs w:val="20"/>
              </w:rPr>
            </w:pPr>
          </w:p>
        </w:tc>
      </w:tr>
      <w:tr w:rsidR="003F0CDB" w:rsidRPr="00EA0DC7" w14:paraId="0036CABA" w14:textId="77777777" w:rsidTr="001A0398">
        <w:trPr>
          <w:trHeight w:val="80"/>
        </w:trPr>
        <w:tc>
          <w:tcPr>
            <w:tcW w:w="2977" w:type="dxa"/>
            <w:tcBorders>
              <w:left w:val="nil"/>
              <w:bottom w:val="nil"/>
              <w:right w:val="nil"/>
            </w:tcBorders>
            <w:shd w:val="clear" w:color="auto" w:fill="auto"/>
            <w:hideMark/>
          </w:tcPr>
          <w:p w14:paraId="4C6B0F9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Mead (1990)</w:t>
            </w:r>
          </w:p>
        </w:tc>
        <w:tc>
          <w:tcPr>
            <w:tcW w:w="1134" w:type="dxa"/>
            <w:tcBorders>
              <w:left w:val="nil"/>
              <w:bottom w:val="nil"/>
              <w:right w:val="nil"/>
            </w:tcBorders>
            <w:shd w:val="clear" w:color="auto" w:fill="auto"/>
            <w:noWrap/>
            <w:vAlign w:val="center"/>
            <w:hideMark/>
          </w:tcPr>
          <w:p w14:paraId="4242746B"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0A7905D1" w14:textId="77777777" w:rsidR="003F0CDB" w:rsidRPr="00EA0DC7" w:rsidRDefault="003F0CDB" w:rsidP="00957911">
            <w:pPr>
              <w:spacing w:line="240" w:lineRule="auto"/>
              <w:jc w:val="center"/>
              <w:rPr>
                <w:rFonts w:eastAsia="Times New Roman" w:cs="Arial"/>
                <w:sz w:val="20"/>
                <w:szCs w:val="20"/>
              </w:rPr>
            </w:pPr>
          </w:p>
        </w:tc>
        <w:tc>
          <w:tcPr>
            <w:tcW w:w="1164" w:type="dxa"/>
            <w:tcBorders>
              <w:left w:val="nil"/>
              <w:bottom w:val="nil"/>
              <w:right w:val="nil"/>
            </w:tcBorders>
            <w:vAlign w:val="center"/>
          </w:tcPr>
          <w:p w14:paraId="5FE0C757" w14:textId="77777777" w:rsidR="003F0CDB" w:rsidRPr="00EA0DC7" w:rsidRDefault="003F0CDB" w:rsidP="00957911">
            <w:pPr>
              <w:spacing w:line="240" w:lineRule="auto"/>
              <w:jc w:val="center"/>
              <w:rPr>
                <w:rFonts w:eastAsia="Times New Roman" w:cs="Arial"/>
                <w:sz w:val="20"/>
                <w:szCs w:val="20"/>
              </w:rPr>
            </w:pPr>
          </w:p>
        </w:tc>
        <w:tc>
          <w:tcPr>
            <w:tcW w:w="1671" w:type="dxa"/>
            <w:tcBorders>
              <w:left w:val="nil"/>
              <w:bottom w:val="nil"/>
              <w:right w:val="nil"/>
            </w:tcBorders>
            <w:vAlign w:val="center"/>
          </w:tcPr>
          <w:p w14:paraId="4D4C3915" w14:textId="77777777" w:rsidR="003F0CDB" w:rsidRPr="00EA0DC7" w:rsidRDefault="003F0CDB" w:rsidP="00957911">
            <w:pPr>
              <w:spacing w:line="240" w:lineRule="auto"/>
              <w:jc w:val="center"/>
              <w:rPr>
                <w:rFonts w:eastAsia="Times New Roman" w:cs="Arial"/>
                <w:sz w:val="20"/>
                <w:szCs w:val="20"/>
              </w:rPr>
            </w:pPr>
          </w:p>
        </w:tc>
      </w:tr>
      <w:tr w:rsidR="003F0CDB" w:rsidRPr="00EA0DC7" w14:paraId="4A733CC5" w14:textId="77777777" w:rsidTr="001A0398">
        <w:trPr>
          <w:trHeight w:val="80"/>
        </w:trPr>
        <w:tc>
          <w:tcPr>
            <w:tcW w:w="2977" w:type="dxa"/>
            <w:tcBorders>
              <w:top w:val="nil"/>
              <w:left w:val="nil"/>
              <w:bottom w:val="nil"/>
              <w:right w:val="nil"/>
            </w:tcBorders>
            <w:shd w:val="clear" w:color="auto" w:fill="auto"/>
            <w:hideMark/>
          </w:tcPr>
          <w:p w14:paraId="510BEAD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Hawkins &amp; Shohet (1993)</w:t>
            </w:r>
          </w:p>
        </w:tc>
        <w:tc>
          <w:tcPr>
            <w:tcW w:w="1134" w:type="dxa"/>
            <w:tcBorders>
              <w:top w:val="nil"/>
              <w:left w:val="nil"/>
              <w:bottom w:val="nil"/>
              <w:right w:val="nil"/>
            </w:tcBorders>
            <w:shd w:val="clear" w:color="auto" w:fill="auto"/>
            <w:noWrap/>
            <w:vAlign w:val="center"/>
            <w:hideMark/>
          </w:tcPr>
          <w:p w14:paraId="513DB09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46AD9C8D"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0D5BB06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bottom w:val="nil"/>
              <w:right w:val="nil"/>
            </w:tcBorders>
            <w:vAlign w:val="center"/>
          </w:tcPr>
          <w:p w14:paraId="118C3252" w14:textId="77777777" w:rsidR="003F0CDB" w:rsidRPr="00EA0DC7" w:rsidRDefault="003F0CDB" w:rsidP="00957911">
            <w:pPr>
              <w:spacing w:line="240" w:lineRule="auto"/>
              <w:jc w:val="center"/>
              <w:rPr>
                <w:rFonts w:eastAsia="Times New Roman" w:cs="Arial"/>
                <w:sz w:val="20"/>
                <w:szCs w:val="20"/>
              </w:rPr>
            </w:pPr>
          </w:p>
        </w:tc>
      </w:tr>
      <w:tr w:rsidR="003F0CDB" w:rsidRPr="00EA0DC7" w14:paraId="139095B8" w14:textId="77777777" w:rsidTr="001A0398">
        <w:trPr>
          <w:trHeight w:val="80"/>
        </w:trPr>
        <w:tc>
          <w:tcPr>
            <w:tcW w:w="2977" w:type="dxa"/>
            <w:tcBorders>
              <w:top w:val="nil"/>
              <w:left w:val="nil"/>
              <w:bottom w:val="nil"/>
              <w:right w:val="nil"/>
            </w:tcBorders>
            <w:shd w:val="clear" w:color="auto" w:fill="auto"/>
            <w:hideMark/>
          </w:tcPr>
          <w:p w14:paraId="41EF284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Rodenhauser (1994)</w:t>
            </w:r>
          </w:p>
        </w:tc>
        <w:tc>
          <w:tcPr>
            <w:tcW w:w="1134" w:type="dxa"/>
            <w:tcBorders>
              <w:top w:val="nil"/>
              <w:left w:val="nil"/>
              <w:bottom w:val="nil"/>
              <w:right w:val="nil"/>
            </w:tcBorders>
            <w:shd w:val="clear" w:color="auto" w:fill="auto"/>
            <w:noWrap/>
            <w:vAlign w:val="center"/>
            <w:hideMark/>
          </w:tcPr>
          <w:p w14:paraId="0EE84BE3"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00B40A20"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15F52C1E"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79AA411B" w14:textId="77777777" w:rsidR="003F0CDB" w:rsidRPr="00EA0DC7" w:rsidRDefault="003F0CDB" w:rsidP="00957911">
            <w:pPr>
              <w:spacing w:line="240" w:lineRule="auto"/>
              <w:jc w:val="center"/>
              <w:rPr>
                <w:rFonts w:eastAsia="Times New Roman" w:cs="Arial"/>
                <w:sz w:val="20"/>
                <w:szCs w:val="20"/>
              </w:rPr>
            </w:pPr>
          </w:p>
        </w:tc>
      </w:tr>
      <w:tr w:rsidR="003F0CDB" w:rsidRPr="00EA0DC7" w14:paraId="27A8D339" w14:textId="77777777" w:rsidTr="001A0398">
        <w:trPr>
          <w:trHeight w:val="80"/>
        </w:trPr>
        <w:tc>
          <w:tcPr>
            <w:tcW w:w="2977" w:type="dxa"/>
            <w:tcBorders>
              <w:top w:val="nil"/>
              <w:left w:val="nil"/>
              <w:bottom w:val="nil"/>
              <w:right w:val="nil"/>
            </w:tcBorders>
            <w:shd w:val="clear" w:color="auto" w:fill="auto"/>
            <w:hideMark/>
          </w:tcPr>
          <w:p w14:paraId="2CCC7B1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Thomas (1994)</w:t>
            </w:r>
          </w:p>
        </w:tc>
        <w:tc>
          <w:tcPr>
            <w:tcW w:w="1134" w:type="dxa"/>
            <w:tcBorders>
              <w:top w:val="nil"/>
              <w:left w:val="nil"/>
              <w:bottom w:val="nil"/>
              <w:right w:val="nil"/>
            </w:tcBorders>
            <w:shd w:val="clear" w:color="auto" w:fill="auto"/>
            <w:noWrap/>
            <w:vAlign w:val="center"/>
            <w:hideMark/>
          </w:tcPr>
          <w:p w14:paraId="3B9B6452"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53646964"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4E2C05BB"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9E4C010" w14:textId="77777777" w:rsidR="003F0CDB" w:rsidRPr="00EA0DC7" w:rsidRDefault="003F0CDB" w:rsidP="00957911">
            <w:pPr>
              <w:spacing w:line="240" w:lineRule="auto"/>
              <w:jc w:val="center"/>
              <w:rPr>
                <w:rFonts w:eastAsia="Times New Roman" w:cs="Arial"/>
                <w:sz w:val="20"/>
                <w:szCs w:val="20"/>
              </w:rPr>
            </w:pPr>
          </w:p>
        </w:tc>
      </w:tr>
      <w:tr w:rsidR="003F0CDB" w:rsidRPr="00EA0DC7" w14:paraId="25BD93F7" w14:textId="77777777" w:rsidTr="001A0398">
        <w:trPr>
          <w:trHeight w:val="125"/>
        </w:trPr>
        <w:tc>
          <w:tcPr>
            <w:tcW w:w="2977" w:type="dxa"/>
            <w:tcBorders>
              <w:top w:val="nil"/>
              <w:left w:val="nil"/>
              <w:bottom w:val="nil"/>
              <w:right w:val="nil"/>
            </w:tcBorders>
            <w:shd w:val="clear" w:color="auto" w:fill="auto"/>
            <w:hideMark/>
          </w:tcPr>
          <w:p w14:paraId="12BBE80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Rigazio-DiGilio &amp; Anderson (1994)</w:t>
            </w:r>
          </w:p>
        </w:tc>
        <w:tc>
          <w:tcPr>
            <w:tcW w:w="1134" w:type="dxa"/>
            <w:tcBorders>
              <w:top w:val="nil"/>
              <w:left w:val="nil"/>
              <w:bottom w:val="nil"/>
              <w:right w:val="nil"/>
            </w:tcBorders>
            <w:shd w:val="clear" w:color="auto" w:fill="auto"/>
            <w:noWrap/>
            <w:vAlign w:val="center"/>
            <w:hideMark/>
          </w:tcPr>
          <w:p w14:paraId="4DC148D5"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0B13E9A0"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15F6553A"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26304B18" w14:textId="77777777" w:rsidR="003F0CDB" w:rsidRPr="00EA0DC7" w:rsidRDefault="003F0CDB" w:rsidP="00957911">
            <w:pPr>
              <w:spacing w:line="240" w:lineRule="auto"/>
              <w:jc w:val="center"/>
              <w:rPr>
                <w:rFonts w:eastAsia="Times New Roman" w:cs="Arial"/>
                <w:sz w:val="20"/>
                <w:szCs w:val="20"/>
              </w:rPr>
            </w:pPr>
          </w:p>
        </w:tc>
      </w:tr>
      <w:tr w:rsidR="003F0CDB" w:rsidRPr="00EA0DC7" w14:paraId="4C7CB29B" w14:textId="77777777" w:rsidTr="001A0398">
        <w:trPr>
          <w:trHeight w:val="80"/>
        </w:trPr>
        <w:tc>
          <w:tcPr>
            <w:tcW w:w="2977" w:type="dxa"/>
            <w:tcBorders>
              <w:top w:val="nil"/>
              <w:left w:val="nil"/>
              <w:bottom w:val="nil"/>
              <w:right w:val="nil"/>
            </w:tcBorders>
            <w:shd w:val="clear" w:color="auto" w:fill="auto"/>
            <w:hideMark/>
          </w:tcPr>
          <w:p w14:paraId="74E21FB4"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Holloway (1995)</w:t>
            </w:r>
          </w:p>
        </w:tc>
        <w:tc>
          <w:tcPr>
            <w:tcW w:w="1134" w:type="dxa"/>
            <w:tcBorders>
              <w:top w:val="nil"/>
              <w:left w:val="nil"/>
              <w:bottom w:val="nil"/>
              <w:right w:val="nil"/>
            </w:tcBorders>
            <w:shd w:val="clear" w:color="auto" w:fill="auto"/>
            <w:noWrap/>
            <w:vAlign w:val="center"/>
            <w:hideMark/>
          </w:tcPr>
          <w:p w14:paraId="21E72657"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3BB6AB73"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69DC3E6E"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4153F221" w14:textId="77777777" w:rsidR="003F0CDB" w:rsidRPr="00EA0DC7" w:rsidRDefault="003F0CDB" w:rsidP="00957911">
            <w:pPr>
              <w:spacing w:line="240" w:lineRule="auto"/>
              <w:jc w:val="center"/>
              <w:rPr>
                <w:rFonts w:eastAsia="Times New Roman" w:cs="Arial"/>
                <w:sz w:val="20"/>
                <w:szCs w:val="20"/>
              </w:rPr>
            </w:pPr>
          </w:p>
        </w:tc>
      </w:tr>
      <w:tr w:rsidR="003F0CDB" w:rsidRPr="00EA0DC7" w14:paraId="3264DA50" w14:textId="77777777" w:rsidTr="001A0398">
        <w:trPr>
          <w:trHeight w:val="80"/>
        </w:trPr>
        <w:tc>
          <w:tcPr>
            <w:tcW w:w="2977" w:type="dxa"/>
            <w:tcBorders>
              <w:top w:val="nil"/>
              <w:left w:val="nil"/>
              <w:bottom w:val="nil"/>
              <w:right w:val="nil"/>
            </w:tcBorders>
            <w:shd w:val="clear" w:color="auto" w:fill="auto"/>
            <w:hideMark/>
          </w:tcPr>
          <w:p w14:paraId="66DCBD3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Hipp &amp; Munson (1995)</w:t>
            </w:r>
          </w:p>
        </w:tc>
        <w:tc>
          <w:tcPr>
            <w:tcW w:w="1134" w:type="dxa"/>
            <w:tcBorders>
              <w:top w:val="nil"/>
              <w:left w:val="nil"/>
              <w:bottom w:val="nil"/>
              <w:right w:val="nil"/>
            </w:tcBorders>
            <w:shd w:val="clear" w:color="auto" w:fill="auto"/>
            <w:noWrap/>
            <w:vAlign w:val="center"/>
            <w:hideMark/>
          </w:tcPr>
          <w:p w14:paraId="3D550B07"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0294F007"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26C8DFE9"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342BD4D" w14:textId="77777777" w:rsidR="003F0CDB" w:rsidRPr="00EA0DC7" w:rsidRDefault="003F0CDB" w:rsidP="00957911">
            <w:pPr>
              <w:spacing w:line="240" w:lineRule="auto"/>
              <w:jc w:val="center"/>
              <w:rPr>
                <w:rFonts w:eastAsia="Times New Roman" w:cs="Arial"/>
                <w:sz w:val="20"/>
                <w:szCs w:val="20"/>
              </w:rPr>
            </w:pPr>
          </w:p>
        </w:tc>
      </w:tr>
      <w:tr w:rsidR="003F0CDB" w:rsidRPr="00EA0DC7" w14:paraId="006AA6BD" w14:textId="77777777" w:rsidTr="001A0398">
        <w:trPr>
          <w:trHeight w:val="80"/>
        </w:trPr>
        <w:tc>
          <w:tcPr>
            <w:tcW w:w="2977" w:type="dxa"/>
            <w:tcBorders>
              <w:top w:val="nil"/>
              <w:left w:val="nil"/>
              <w:bottom w:val="nil"/>
              <w:right w:val="nil"/>
            </w:tcBorders>
            <w:shd w:val="clear" w:color="auto" w:fill="auto"/>
            <w:hideMark/>
          </w:tcPr>
          <w:p w14:paraId="6217F067"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Carroll (1996)</w:t>
            </w:r>
          </w:p>
        </w:tc>
        <w:tc>
          <w:tcPr>
            <w:tcW w:w="1134" w:type="dxa"/>
            <w:tcBorders>
              <w:top w:val="nil"/>
              <w:left w:val="nil"/>
              <w:bottom w:val="nil"/>
              <w:right w:val="nil"/>
            </w:tcBorders>
            <w:shd w:val="clear" w:color="auto" w:fill="auto"/>
            <w:noWrap/>
            <w:vAlign w:val="center"/>
            <w:hideMark/>
          </w:tcPr>
          <w:p w14:paraId="4B6E78E2"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68204B4B"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39F56A3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bottom w:val="nil"/>
              <w:right w:val="nil"/>
            </w:tcBorders>
            <w:vAlign w:val="center"/>
          </w:tcPr>
          <w:p w14:paraId="16F998E1" w14:textId="77777777" w:rsidR="003F0CDB" w:rsidRPr="00EA0DC7" w:rsidRDefault="003F0CDB" w:rsidP="00957911">
            <w:pPr>
              <w:spacing w:line="240" w:lineRule="auto"/>
              <w:jc w:val="center"/>
              <w:rPr>
                <w:rFonts w:eastAsia="Times New Roman" w:cs="Arial"/>
                <w:sz w:val="20"/>
                <w:szCs w:val="20"/>
              </w:rPr>
            </w:pPr>
          </w:p>
        </w:tc>
      </w:tr>
      <w:tr w:rsidR="003F0CDB" w:rsidRPr="00EA0DC7" w14:paraId="72E7A5D6" w14:textId="77777777" w:rsidTr="001A0398">
        <w:trPr>
          <w:trHeight w:val="80"/>
        </w:trPr>
        <w:tc>
          <w:tcPr>
            <w:tcW w:w="2977" w:type="dxa"/>
            <w:tcBorders>
              <w:top w:val="nil"/>
              <w:left w:val="nil"/>
              <w:bottom w:val="nil"/>
              <w:right w:val="nil"/>
            </w:tcBorders>
            <w:shd w:val="clear" w:color="auto" w:fill="auto"/>
            <w:hideMark/>
          </w:tcPr>
          <w:p w14:paraId="168B6094"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Carroll (1996)</w:t>
            </w:r>
          </w:p>
        </w:tc>
        <w:tc>
          <w:tcPr>
            <w:tcW w:w="1134" w:type="dxa"/>
            <w:tcBorders>
              <w:top w:val="nil"/>
              <w:left w:val="nil"/>
              <w:bottom w:val="nil"/>
              <w:right w:val="nil"/>
            </w:tcBorders>
            <w:shd w:val="clear" w:color="auto" w:fill="auto"/>
            <w:noWrap/>
            <w:vAlign w:val="center"/>
            <w:hideMark/>
          </w:tcPr>
          <w:p w14:paraId="7C04BEEB"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5D1D28B4"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42AF7634"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6056898C" w14:textId="77777777" w:rsidR="003F0CDB" w:rsidRPr="00EA0DC7" w:rsidRDefault="003F0CDB" w:rsidP="00957911">
            <w:pPr>
              <w:spacing w:line="240" w:lineRule="auto"/>
              <w:jc w:val="center"/>
              <w:rPr>
                <w:rFonts w:eastAsia="Times New Roman" w:cs="Arial"/>
                <w:sz w:val="20"/>
                <w:szCs w:val="20"/>
              </w:rPr>
            </w:pPr>
          </w:p>
        </w:tc>
      </w:tr>
      <w:tr w:rsidR="003F0CDB" w:rsidRPr="00EA0DC7" w14:paraId="4EFFE787" w14:textId="77777777" w:rsidTr="001A0398">
        <w:trPr>
          <w:trHeight w:val="80"/>
        </w:trPr>
        <w:tc>
          <w:tcPr>
            <w:tcW w:w="2977" w:type="dxa"/>
            <w:tcBorders>
              <w:top w:val="nil"/>
              <w:left w:val="nil"/>
              <w:bottom w:val="nil"/>
              <w:right w:val="nil"/>
            </w:tcBorders>
            <w:shd w:val="clear" w:color="auto" w:fill="auto"/>
            <w:hideMark/>
          </w:tcPr>
          <w:p w14:paraId="3BD1E4C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Haber (1996)</w:t>
            </w:r>
          </w:p>
        </w:tc>
        <w:tc>
          <w:tcPr>
            <w:tcW w:w="1134" w:type="dxa"/>
            <w:tcBorders>
              <w:top w:val="nil"/>
              <w:left w:val="nil"/>
              <w:bottom w:val="nil"/>
              <w:right w:val="nil"/>
            </w:tcBorders>
            <w:shd w:val="clear" w:color="auto" w:fill="auto"/>
            <w:noWrap/>
            <w:vAlign w:val="center"/>
            <w:hideMark/>
          </w:tcPr>
          <w:p w14:paraId="7E4163B3"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2D9AD4F2"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27E818C3"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E0ACA4F" w14:textId="77777777" w:rsidR="003F0CDB" w:rsidRPr="00EA0DC7" w:rsidRDefault="003F0CDB" w:rsidP="00957911">
            <w:pPr>
              <w:spacing w:line="240" w:lineRule="auto"/>
              <w:jc w:val="center"/>
              <w:rPr>
                <w:rFonts w:eastAsia="Times New Roman" w:cs="Arial"/>
                <w:sz w:val="20"/>
                <w:szCs w:val="20"/>
              </w:rPr>
            </w:pPr>
          </w:p>
        </w:tc>
      </w:tr>
      <w:tr w:rsidR="003F0CDB" w:rsidRPr="00EA0DC7" w14:paraId="13101F11" w14:textId="77777777" w:rsidTr="001A0398">
        <w:trPr>
          <w:trHeight w:val="80"/>
        </w:trPr>
        <w:tc>
          <w:tcPr>
            <w:tcW w:w="2977" w:type="dxa"/>
            <w:tcBorders>
              <w:top w:val="nil"/>
              <w:left w:val="nil"/>
              <w:bottom w:val="nil"/>
              <w:right w:val="nil"/>
            </w:tcBorders>
            <w:shd w:val="clear" w:color="auto" w:fill="auto"/>
            <w:hideMark/>
          </w:tcPr>
          <w:p w14:paraId="4A62140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Liese &amp; Beck (1997)</w:t>
            </w:r>
          </w:p>
        </w:tc>
        <w:tc>
          <w:tcPr>
            <w:tcW w:w="1134" w:type="dxa"/>
            <w:tcBorders>
              <w:top w:val="nil"/>
              <w:left w:val="nil"/>
              <w:bottom w:val="nil"/>
              <w:right w:val="nil"/>
            </w:tcBorders>
            <w:shd w:val="clear" w:color="auto" w:fill="auto"/>
            <w:noWrap/>
            <w:vAlign w:val="center"/>
            <w:hideMark/>
          </w:tcPr>
          <w:p w14:paraId="2FA78FF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4A4B93E8"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5076118F"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5C8C7277"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74E6778F" w14:textId="77777777" w:rsidTr="001A0398">
        <w:trPr>
          <w:trHeight w:val="80"/>
        </w:trPr>
        <w:tc>
          <w:tcPr>
            <w:tcW w:w="2977" w:type="dxa"/>
            <w:tcBorders>
              <w:top w:val="nil"/>
              <w:left w:val="nil"/>
              <w:bottom w:val="nil"/>
              <w:right w:val="nil"/>
            </w:tcBorders>
            <w:shd w:val="clear" w:color="auto" w:fill="auto"/>
            <w:hideMark/>
          </w:tcPr>
          <w:p w14:paraId="6C848ED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Ward &amp; House (1998)</w:t>
            </w:r>
          </w:p>
        </w:tc>
        <w:tc>
          <w:tcPr>
            <w:tcW w:w="1134" w:type="dxa"/>
            <w:tcBorders>
              <w:top w:val="nil"/>
              <w:left w:val="nil"/>
              <w:bottom w:val="nil"/>
              <w:right w:val="nil"/>
            </w:tcBorders>
            <w:shd w:val="clear" w:color="auto" w:fill="auto"/>
            <w:noWrap/>
            <w:vAlign w:val="center"/>
            <w:hideMark/>
          </w:tcPr>
          <w:p w14:paraId="34699D4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52C2D93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64" w:type="dxa"/>
            <w:tcBorders>
              <w:top w:val="nil"/>
              <w:left w:val="nil"/>
              <w:bottom w:val="nil"/>
              <w:right w:val="nil"/>
            </w:tcBorders>
            <w:vAlign w:val="center"/>
          </w:tcPr>
          <w:p w14:paraId="181531C9"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0023B51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62795BE4" w14:textId="77777777" w:rsidTr="001A0398">
        <w:trPr>
          <w:trHeight w:val="80"/>
        </w:trPr>
        <w:tc>
          <w:tcPr>
            <w:tcW w:w="2977" w:type="dxa"/>
            <w:tcBorders>
              <w:top w:val="nil"/>
              <w:left w:val="nil"/>
              <w:bottom w:val="nil"/>
              <w:right w:val="nil"/>
            </w:tcBorders>
            <w:shd w:val="clear" w:color="auto" w:fill="auto"/>
            <w:hideMark/>
          </w:tcPr>
          <w:p w14:paraId="4885AB1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Bob (1999)</w:t>
            </w:r>
          </w:p>
        </w:tc>
        <w:tc>
          <w:tcPr>
            <w:tcW w:w="1134" w:type="dxa"/>
            <w:tcBorders>
              <w:top w:val="nil"/>
              <w:left w:val="nil"/>
              <w:bottom w:val="nil"/>
              <w:right w:val="nil"/>
            </w:tcBorders>
            <w:shd w:val="clear" w:color="auto" w:fill="auto"/>
            <w:noWrap/>
            <w:vAlign w:val="center"/>
            <w:hideMark/>
          </w:tcPr>
          <w:p w14:paraId="4B01D9F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top w:val="nil"/>
              <w:left w:val="nil"/>
              <w:bottom w:val="nil"/>
              <w:right w:val="nil"/>
            </w:tcBorders>
            <w:shd w:val="clear" w:color="auto" w:fill="auto"/>
            <w:noWrap/>
            <w:vAlign w:val="center"/>
            <w:hideMark/>
          </w:tcPr>
          <w:p w14:paraId="2112AFB2"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64EAFB88"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25C06F4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2F1C976C" w14:textId="77777777" w:rsidTr="001A0398">
        <w:trPr>
          <w:trHeight w:val="80"/>
        </w:trPr>
        <w:tc>
          <w:tcPr>
            <w:tcW w:w="2977" w:type="dxa"/>
            <w:tcBorders>
              <w:top w:val="nil"/>
              <w:left w:val="nil"/>
              <w:right w:val="nil"/>
            </w:tcBorders>
            <w:shd w:val="clear" w:color="auto" w:fill="auto"/>
            <w:hideMark/>
          </w:tcPr>
          <w:p w14:paraId="64C73203"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Nelson &amp; Johnson (1999)</w:t>
            </w:r>
          </w:p>
        </w:tc>
        <w:tc>
          <w:tcPr>
            <w:tcW w:w="1134" w:type="dxa"/>
            <w:tcBorders>
              <w:top w:val="nil"/>
              <w:left w:val="nil"/>
              <w:right w:val="nil"/>
            </w:tcBorders>
            <w:shd w:val="clear" w:color="auto" w:fill="auto"/>
            <w:noWrap/>
            <w:vAlign w:val="center"/>
            <w:hideMark/>
          </w:tcPr>
          <w:p w14:paraId="48D6846A"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68A2C2DA"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471A180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right w:val="nil"/>
            </w:tcBorders>
            <w:vAlign w:val="center"/>
          </w:tcPr>
          <w:p w14:paraId="4F19E2BF" w14:textId="77777777" w:rsidR="003F0CDB" w:rsidRPr="00EA0DC7" w:rsidRDefault="003F0CDB" w:rsidP="00957911">
            <w:pPr>
              <w:spacing w:line="240" w:lineRule="auto"/>
              <w:jc w:val="center"/>
              <w:rPr>
                <w:rFonts w:eastAsia="Times New Roman" w:cs="Arial"/>
                <w:sz w:val="20"/>
                <w:szCs w:val="20"/>
              </w:rPr>
            </w:pPr>
          </w:p>
        </w:tc>
      </w:tr>
      <w:tr w:rsidR="003F0CDB" w:rsidRPr="00EA0DC7" w14:paraId="2234E1D7" w14:textId="77777777" w:rsidTr="001A0398">
        <w:trPr>
          <w:trHeight w:val="80"/>
        </w:trPr>
        <w:tc>
          <w:tcPr>
            <w:tcW w:w="2977" w:type="dxa"/>
            <w:tcBorders>
              <w:top w:val="nil"/>
              <w:left w:val="nil"/>
              <w:right w:val="nil"/>
            </w:tcBorders>
            <w:shd w:val="clear" w:color="auto" w:fill="auto"/>
            <w:hideMark/>
          </w:tcPr>
          <w:p w14:paraId="76E9E27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Edwards &amp; Chen (1999)</w:t>
            </w:r>
          </w:p>
        </w:tc>
        <w:tc>
          <w:tcPr>
            <w:tcW w:w="1134" w:type="dxa"/>
            <w:tcBorders>
              <w:top w:val="nil"/>
              <w:left w:val="nil"/>
              <w:right w:val="nil"/>
            </w:tcBorders>
            <w:shd w:val="clear" w:color="auto" w:fill="auto"/>
            <w:noWrap/>
            <w:vAlign w:val="center"/>
            <w:hideMark/>
          </w:tcPr>
          <w:p w14:paraId="05A3214B"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5E40F729"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7D56D39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right w:val="nil"/>
            </w:tcBorders>
            <w:vAlign w:val="center"/>
          </w:tcPr>
          <w:p w14:paraId="06FFE65B" w14:textId="77777777" w:rsidR="003F0CDB" w:rsidRPr="00EA0DC7" w:rsidRDefault="003F0CDB" w:rsidP="00957911">
            <w:pPr>
              <w:spacing w:line="240" w:lineRule="auto"/>
              <w:jc w:val="center"/>
              <w:rPr>
                <w:rFonts w:eastAsia="Times New Roman" w:cs="Arial"/>
                <w:sz w:val="20"/>
                <w:szCs w:val="20"/>
              </w:rPr>
            </w:pPr>
          </w:p>
        </w:tc>
      </w:tr>
      <w:tr w:rsidR="003F0CDB" w:rsidRPr="00EA0DC7" w14:paraId="14EEA411" w14:textId="77777777" w:rsidTr="001A0398">
        <w:trPr>
          <w:trHeight w:val="80"/>
        </w:trPr>
        <w:tc>
          <w:tcPr>
            <w:tcW w:w="2977" w:type="dxa"/>
            <w:tcBorders>
              <w:left w:val="nil"/>
              <w:bottom w:val="nil"/>
              <w:right w:val="nil"/>
            </w:tcBorders>
            <w:shd w:val="clear" w:color="auto" w:fill="auto"/>
            <w:hideMark/>
          </w:tcPr>
          <w:p w14:paraId="61C8B218" w14:textId="77777777" w:rsidR="003F0CDB" w:rsidRPr="00EA0DC7" w:rsidRDefault="003F0CDB" w:rsidP="001A0398">
            <w:pPr>
              <w:spacing w:line="240" w:lineRule="auto"/>
              <w:jc w:val="left"/>
              <w:rPr>
                <w:rFonts w:eastAsia="Times New Roman" w:cs="Arial"/>
                <w:sz w:val="20"/>
                <w:szCs w:val="20"/>
              </w:rPr>
            </w:pPr>
            <w:r w:rsidRPr="00EA0DC7">
              <w:rPr>
                <w:rFonts w:eastAsia="Times New Roman" w:cs="Arial"/>
                <w:sz w:val="20"/>
                <w:szCs w:val="20"/>
              </w:rPr>
              <w:t>Granello (2000)</w:t>
            </w:r>
          </w:p>
        </w:tc>
        <w:tc>
          <w:tcPr>
            <w:tcW w:w="1134" w:type="dxa"/>
            <w:tcBorders>
              <w:left w:val="nil"/>
              <w:bottom w:val="nil"/>
              <w:right w:val="nil"/>
            </w:tcBorders>
            <w:shd w:val="clear" w:color="auto" w:fill="auto"/>
            <w:noWrap/>
            <w:vAlign w:val="center"/>
            <w:hideMark/>
          </w:tcPr>
          <w:p w14:paraId="6B653D60" w14:textId="77777777" w:rsidR="003F0CDB" w:rsidRPr="00EA0DC7" w:rsidRDefault="003F0CDB" w:rsidP="001A0398">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418" w:type="dxa"/>
            <w:tcBorders>
              <w:left w:val="nil"/>
              <w:bottom w:val="nil"/>
              <w:right w:val="nil"/>
            </w:tcBorders>
            <w:shd w:val="clear" w:color="auto" w:fill="auto"/>
            <w:noWrap/>
            <w:vAlign w:val="center"/>
            <w:hideMark/>
          </w:tcPr>
          <w:p w14:paraId="25F072FA" w14:textId="77777777" w:rsidR="003F0CDB" w:rsidRPr="00EA0DC7" w:rsidRDefault="003F0CDB" w:rsidP="001A0398">
            <w:pPr>
              <w:spacing w:line="240" w:lineRule="auto"/>
              <w:jc w:val="center"/>
              <w:rPr>
                <w:rFonts w:eastAsia="Times New Roman" w:cs="Arial"/>
                <w:sz w:val="20"/>
                <w:szCs w:val="20"/>
              </w:rPr>
            </w:pPr>
          </w:p>
        </w:tc>
        <w:tc>
          <w:tcPr>
            <w:tcW w:w="1164" w:type="dxa"/>
            <w:tcBorders>
              <w:left w:val="nil"/>
              <w:bottom w:val="nil"/>
              <w:right w:val="nil"/>
            </w:tcBorders>
            <w:vAlign w:val="center"/>
          </w:tcPr>
          <w:p w14:paraId="1477B844" w14:textId="77777777" w:rsidR="003F0CDB" w:rsidRPr="00EA0DC7" w:rsidRDefault="003F0CDB" w:rsidP="001A0398">
            <w:pPr>
              <w:spacing w:line="240" w:lineRule="auto"/>
              <w:jc w:val="center"/>
              <w:rPr>
                <w:rFonts w:eastAsia="Times New Roman" w:cs="Arial"/>
                <w:sz w:val="20"/>
                <w:szCs w:val="20"/>
              </w:rPr>
            </w:pPr>
          </w:p>
        </w:tc>
        <w:tc>
          <w:tcPr>
            <w:tcW w:w="1671" w:type="dxa"/>
            <w:tcBorders>
              <w:left w:val="nil"/>
              <w:bottom w:val="nil"/>
              <w:right w:val="nil"/>
            </w:tcBorders>
            <w:vAlign w:val="center"/>
          </w:tcPr>
          <w:p w14:paraId="4FE4BB34" w14:textId="77777777" w:rsidR="003F0CDB" w:rsidRPr="00EA0DC7" w:rsidRDefault="003F0CDB" w:rsidP="001A0398">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22FCE70D" w14:textId="77777777" w:rsidTr="001A0398">
        <w:trPr>
          <w:trHeight w:val="80"/>
        </w:trPr>
        <w:tc>
          <w:tcPr>
            <w:tcW w:w="2977" w:type="dxa"/>
            <w:tcBorders>
              <w:top w:val="nil"/>
              <w:left w:val="nil"/>
              <w:bottom w:val="nil"/>
              <w:right w:val="nil"/>
            </w:tcBorders>
            <w:shd w:val="clear" w:color="auto" w:fill="auto"/>
            <w:hideMark/>
          </w:tcPr>
          <w:p w14:paraId="2218E26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Gilbert &amp; Evans (2000)</w:t>
            </w:r>
          </w:p>
        </w:tc>
        <w:tc>
          <w:tcPr>
            <w:tcW w:w="1134" w:type="dxa"/>
            <w:tcBorders>
              <w:top w:val="nil"/>
              <w:left w:val="nil"/>
              <w:bottom w:val="nil"/>
              <w:right w:val="nil"/>
            </w:tcBorders>
            <w:shd w:val="clear" w:color="auto" w:fill="auto"/>
            <w:noWrap/>
            <w:vAlign w:val="center"/>
            <w:hideMark/>
          </w:tcPr>
          <w:p w14:paraId="2FB2C5DD"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nil"/>
              <w:right w:val="nil"/>
            </w:tcBorders>
            <w:shd w:val="clear" w:color="auto" w:fill="auto"/>
            <w:noWrap/>
            <w:vAlign w:val="center"/>
            <w:hideMark/>
          </w:tcPr>
          <w:p w14:paraId="785D8274"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nil"/>
              <w:right w:val="nil"/>
            </w:tcBorders>
            <w:vAlign w:val="center"/>
          </w:tcPr>
          <w:p w14:paraId="36628DCF"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nil"/>
              <w:right w:val="nil"/>
            </w:tcBorders>
            <w:vAlign w:val="center"/>
          </w:tcPr>
          <w:p w14:paraId="7DE706CD" w14:textId="77777777" w:rsidR="003F0CDB" w:rsidRPr="00EA0DC7" w:rsidRDefault="003F0CDB" w:rsidP="00957911">
            <w:pPr>
              <w:spacing w:line="240" w:lineRule="auto"/>
              <w:jc w:val="center"/>
              <w:rPr>
                <w:rFonts w:eastAsia="Times New Roman" w:cs="Arial"/>
                <w:sz w:val="20"/>
                <w:szCs w:val="20"/>
              </w:rPr>
            </w:pPr>
          </w:p>
        </w:tc>
      </w:tr>
      <w:tr w:rsidR="003F0CDB" w:rsidRPr="00EA0DC7" w14:paraId="2D3ADFFD" w14:textId="77777777" w:rsidTr="001A0398">
        <w:trPr>
          <w:trHeight w:val="80"/>
        </w:trPr>
        <w:tc>
          <w:tcPr>
            <w:tcW w:w="2977" w:type="dxa"/>
            <w:tcBorders>
              <w:top w:val="nil"/>
              <w:left w:val="nil"/>
              <w:right w:val="nil"/>
            </w:tcBorders>
            <w:shd w:val="clear" w:color="auto" w:fill="auto"/>
            <w:hideMark/>
          </w:tcPr>
          <w:p w14:paraId="5B38ABD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 xml:space="preserve">Scaife (2001) </w:t>
            </w:r>
          </w:p>
        </w:tc>
        <w:tc>
          <w:tcPr>
            <w:tcW w:w="1134" w:type="dxa"/>
            <w:tcBorders>
              <w:top w:val="nil"/>
              <w:left w:val="nil"/>
              <w:right w:val="nil"/>
            </w:tcBorders>
            <w:shd w:val="clear" w:color="auto" w:fill="auto"/>
            <w:noWrap/>
            <w:vAlign w:val="center"/>
            <w:hideMark/>
          </w:tcPr>
          <w:p w14:paraId="28267529"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666975FE"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76E071C7"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1B79DDB3" w14:textId="77777777" w:rsidR="003F0CDB" w:rsidRPr="00EA0DC7" w:rsidRDefault="003F0CDB" w:rsidP="00957911">
            <w:pPr>
              <w:spacing w:line="240" w:lineRule="auto"/>
              <w:jc w:val="center"/>
              <w:rPr>
                <w:rFonts w:eastAsia="Times New Roman" w:cs="Arial"/>
                <w:sz w:val="20"/>
                <w:szCs w:val="20"/>
              </w:rPr>
            </w:pPr>
          </w:p>
        </w:tc>
      </w:tr>
      <w:tr w:rsidR="003F0CDB" w:rsidRPr="00EA0DC7" w14:paraId="3F043DD3" w14:textId="77777777" w:rsidTr="001A0398">
        <w:trPr>
          <w:trHeight w:val="80"/>
        </w:trPr>
        <w:tc>
          <w:tcPr>
            <w:tcW w:w="2977" w:type="dxa"/>
            <w:tcBorders>
              <w:top w:val="nil"/>
              <w:left w:val="nil"/>
              <w:right w:val="nil"/>
            </w:tcBorders>
            <w:shd w:val="clear" w:color="auto" w:fill="auto"/>
            <w:hideMark/>
          </w:tcPr>
          <w:p w14:paraId="46AFBD15"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Frawley-O'Dea &amp; Sarnat (2001)</w:t>
            </w:r>
          </w:p>
        </w:tc>
        <w:tc>
          <w:tcPr>
            <w:tcW w:w="1134" w:type="dxa"/>
            <w:tcBorders>
              <w:top w:val="nil"/>
              <w:left w:val="nil"/>
              <w:right w:val="nil"/>
            </w:tcBorders>
            <w:shd w:val="clear" w:color="auto" w:fill="auto"/>
            <w:noWrap/>
            <w:vAlign w:val="center"/>
            <w:hideMark/>
          </w:tcPr>
          <w:p w14:paraId="5EF5B61A"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357FDBB"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31ADB332"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6FC04AD8" w14:textId="77777777" w:rsidR="003F0CDB" w:rsidRPr="00EA0DC7" w:rsidRDefault="003F0CDB" w:rsidP="00957911">
            <w:pPr>
              <w:spacing w:line="240" w:lineRule="auto"/>
              <w:jc w:val="center"/>
              <w:rPr>
                <w:rFonts w:eastAsia="Times New Roman" w:cs="Arial"/>
                <w:sz w:val="20"/>
                <w:szCs w:val="20"/>
              </w:rPr>
            </w:pPr>
          </w:p>
        </w:tc>
      </w:tr>
      <w:tr w:rsidR="003F0CDB" w:rsidRPr="00EA0DC7" w14:paraId="03D48F88" w14:textId="77777777" w:rsidTr="001A0398">
        <w:trPr>
          <w:trHeight w:val="80"/>
        </w:trPr>
        <w:tc>
          <w:tcPr>
            <w:tcW w:w="2977" w:type="dxa"/>
            <w:tcBorders>
              <w:left w:val="nil"/>
              <w:bottom w:val="nil"/>
              <w:right w:val="nil"/>
            </w:tcBorders>
            <w:shd w:val="clear" w:color="auto" w:fill="auto"/>
            <w:hideMark/>
          </w:tcPr>
          <w:p w14:paraId="0DFFA49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Lee &amp; Everett (2004)</w:t>
            </w:r>
          </w:p>
        </w:tc>
        <w:tc>
          <w:tcPr>
            <w:tcW w:w="1134" w:type="dxa"/>
            <w:tcBorders>
              <w:left w:val="nil"/>
              <w:bottom w:val="nil"/>
              <w:right w:val="nil"/>
            </w:tcBorders>
            <w:shd w:val="clear" w:color="auto" w:fill="auto"/>
            <w:noWrap/>
            <w:vAlign w:val="center"/>
            <w:hideMark/>
          </w:tcPr>
          <w:p w14:paraId="235A2147" w14:textId="77777777" w:rsidR="003F0CDB" w:rsidRPr="00EA0DC7" w:rsidRDefault="003F0CDB" w:rsidP="00957911">
            <w:pPr>
              <w:spacing w:line="240" w:lineRule="auto"/>
              <w:jc w:val="center"/>
              <w:rPr>
                <w:rFonts w:eastAsia="Times New Roman" w:cs="Arial"/>
                <w:sz w:val="20"/>
                <w:szCs w:val="20"/>
              </w:rPr>
            </w:pPr>
          </w:p>
        </w:tc>
        <w:tc>
          <w:tcPr>
            <w:tcW w:w="1418" w:type="dxa"/>
            <w:tcBorders>
              <w:left w:val="nil"/>
              <w:bottom w:val="nil"/>
              <w:right w:val="nil"/>
            </w:tcBorders>
            <w:shd w:val="clear" w:color="auto" w:fill="auto"/>
            <w:noWrap/>
            <w:vAlign w:val="center"/>
            <w:hideMark/>
          </w:tcPr>
          <w:p w14:paraId="53BB7443" w14:textId="77777777" w:rsidR="003F0CDB" w:rsidRPr="00EA0DC7" w:rsidRDefault="003F0CDB" w:rsidP="00957911">
            <w:pPr>
              <w:spacing w:line="240" w:lineRule="auto"/>
              <w:jc w:val="center"/>
              <w:rPr>
                <w:rFonts w:eastAsia="Times New Roman" w:cs="Arial"/>
                <w:sz w:val="20"/>
                <w:szCs w:val="20"/>
              </w:rPr>
            </w:pPr>
          </w:p>
        </w:tc>
        <w:tc>
          <w:tcPr>
            <w:tcW w:w="1164" w:type="dxa"/>
            <w:tcBorders>
              <w:left w:val="nil"/>
              <w:bottom w:val="nil"/>
              <w:right w:val="nil"/>
            </w:tcBorders>
            <w:vAlign w:val="center"/>
          </w:tcPr>
          <w:p w14:paraId="59681584" w14:textId="77777777" w:rsidR="003F0CDB" w:rsidRPr="00EA0DC7" w:rsidRDefault="003F0CDB" w:rsidP="00957911">
            <w:pPr>
              <w:spacing w:line="240" w:lineRule="auto"/>
              <w:jc w:val="center"/>
              <w:rPr>
                <w:rFonts w:eastAsia="Times New Roman" w:cs="Arial"/>
                <w:sz w:val="20"/>
                <w:szCs w:val="20"/>
              </w:rPr>
            </w:pPr>
          </w:p>
        </w:tc>
        <w:tc>
          <w:tcPr>
            <w:tcW w:w="1671" w:type="dxa"/>
            <w:tcBorders>
              <w:left w:val="nil"/>
              <w:bottom w:val="nil"/>
              <w:right w:val="nil"/>
            </w:tcBorders>
            <w:vAlign w:val="center"/>
          </w:tcPr>
          <w:p w14:paraId="090E475E" w14:textId="77777777" w:rsidR="003F0CDB" w:rsidRPr="00EA0DC7" w:rsidRDefault="003F0CDB" w:rsidP="00957911">
            <w:pPr>
              <w:spacing w:line="240" w:lineRule="auto"/>
              <w:jc w:val="center"/>
              <w:rPr>
                <w:rFonts w:eastAsia="Times New Roman" w:cs="Arial"/>
                <w:sz w:val="20"/>
                <w:szCs w:val="20"/>
              </w:rPr>
            </w:pPr>
          </w:p>
        </w:tc>
      </w:tr>
      <w:tr w:rsidR="003F0CDB" w:rsidRPr="00EA0DC7" w14:paraId="4D66F9AA" w14:textId="77777777" w:rsidTr="001A0398">
        <w:trPr>
          <w:trHeight w:val="80"/>
        </w:trPr>
        <w:tc>
          <w:tcPr>
            <w:tcW w:w="2977" w:type="dxa"/>
            <w:tcBorders>
              <w:top w:val="nil"/>
              <w:left w:val="nil"/>
              <w:right w:val="nil"/>
            </w:tcBorders>
            <w:shd w:val="clear" w:color="auto" w:fill="auto"/>
            <w:hideMark/>
          </w:tcPr>
          <w:p w14:paraId="0C93189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Ladany et al. (2005)</w:t>
            </w:r>
          </w:p>
        </w:tc>
        <w:tc>
          <w:tcPr>
            <w:tcW w:w="1134" w:type="dxa"/>
            <w:tcBorders>
              <w:top w:val="nil"/>
              <w:left w:val="nil"/>
              <w:right w:val="nil"/>
            </w:tcBorders>
            <w:shd w:val="clear" w:color="auto" w:fill="auto"/>
            <w:noWrap/>
            <w:vAlign w:val="center"/>
            <w:hideMark/>
          </w:tcPr>
          <w:p w14:paraId="02233DF0"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D0BD4F1"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69F4D03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right w:val="nil"/>
            </w:tcBorders>
            <w:vAlign w:val="center"/>
          </w:tcPr>
          <w:p w14:paraId="6FE55E7E" w14:textId="77777777" w:rsidR="003F0CDB" w:rsidRPr="00EA0DC7" w:rsidRDefault="003F0CDB" w:rsidP="00957911">
            <w:pPr>
              <w:spacing w:line="240" w:lineRule="auto"/>
              <w:jc w:val="center"/>
              <w:rPr>
                <w:rFonts w:eastAsia="Times New Roman" w:cs="Arial"/>
                <w:sz w:val="20"/>
                <w:szCs w:val="20"/>
              </w:rPr>
            </w:pPr>
          </w:p>
        </w:tc>
      </w:tr>
      <w:tr w:rsidR="003F0CDB" w:rsidRPr="00EA0DC7" w14:paraId="38358E98" w14:textId="77777777" w:rsidTr="001A0398">
        <w:trPr>
          <w:trHeight w:val="284"/>
        </w:trPr>
        <w:tc>
          <w:tcPr>
            <w:tcW w:w="2977" w:type="dxa"/>
            <w:tcBorders>
              <w:top w:val="nil"/>
              <w:left w:val="nil"/>
              <w:bottom w:val="single" w:sz="4" w:space="0" w:color="auto"/>
              <w:right w:val="nil"/>
            </w:tcBorders>
            <w:shd w:val="clear" w:color="auto" w:fill="auto"/>
            <w:hideMark/>
          </w:tcPr>
          <w:p w14:paraId="0284CC33"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Armstrong &amp; Freeston (2006)</w:t>
            </w:r>
          </w:p>
        </w:tc>
        <w:tc>
          <w:tcPr>
            <w:tcW w:w="1134" w:type="dxa"/>
            <w:tcBorders>
              <w:top w:val="nil"/>
              <w:left w:val="nil"/>
              <w:bottom w:val="single" w:sz="4" w:space="0" w:color="auto"/>
              <w:right w:val="nil"/>
            </w:tcBorders>
            <w:shd w:val="clear" w:color="auto" w:fill="auto"/>
            <w:noWrap/>
            <w:vAlign w:val="center"/>
            <w:hideMark/>
          </w:tcPr>
          <w:p w14:paraId="3B9A610C"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single" w:sz="4" w:space="0" w:color="auto"/>
              <w:right w:val="nil"/>
            </w:tcBorders>
            <w:shd w:val="clear" w:color="auto" w:fill="auto"/>
            <w:noWrap/>
            <w:vAlign w:val="center"/>
            <w:hideMark/>
          </w:tcPr>
          <w:p w14:paraId="2C89DCC2"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single" w:sz="4" w:space="0" w:color="auto"/>
              <w:right w:val="nil"/>
            </w:tcBorders>
            <w:vAlign w:val="center"/>
          </w:tcPr>
          <w:p w14:paraId="3FE6CF53"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bottom w:val="single" w:sz="4" w:space="0" w:color="auto"/>
              <w:right w:val="nil"/>
            </w:tcBorders>
            <w:vAlign w:val="center"/>
          </w:tcPr>
          <w:p w14:paraId="14AC7C9F" w14:textId="77777777" w:rsidR="003F0CDB" w:rsidRPr="00EA0DC7" w:rsidRDefault="003F0CDB" w:rsidP="00957911">
            <w:pPr>
              <w:spacing w:line="240" w:lineRule="auto"/>
              <w:jc w:val="center"/>
              <w:rPr>
                <w:rFonts w:eastAsia="Times New Roman" w:cs="Arial"/>
                <w:sz w:val="20"/>
                <w:szCs w:val="20"/>
              </w:rPr>
            </w:pPr>
          </w:p>
        </w:tc>
      </w:tr>
      <w:tr w:rsidR="001A0398" w:rsidRPr="00EA0DC7" w14:paraId="4697C551" w14:textId="77777777" w:rsidTr="001A0398">
        <w:trPr>
          <w:trHeight w:val="80"/>
        </w:trPr>
        <w:tc>
          <w:tcPr>
            <w:tcW w:w="2977" w:type="dxa"/>
            <w:tcBorders>
              <w:top w:val="single" w:sz="4" w:space="0" w:color="auto"/>
              <w:left w:val="nil"/>
              <w:bottom w:val="single" w:sz="4" w:space="0" w:color="auto"/>
              <w:right w:val="nil"/>
            </w:tcBorders>
            <w:shd w:val="clear" w:color="auto" w:fill="auto"/>
            <w:vAlign w:val="center"/>
          </w:tcPr>
          <w:p w14:paraId="030D5983"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134" w:type="dxa"/>
            <w:tcBorders>
              <w:top w:val="single" w:sz="4" w:space="0" w:color="auto"/>
              <w:left w:val="nil"/>
              <w:bottom w:val="single" w:sz="4" w:space="0" w:color="auto"/>
              <w:right w:val="nil"/>
            </w:tcBorders>
            <w:shd w:val="clear" w:color="auto" w:fill="auto"/>
            <w:noWrap/>
            <w:vAlign w:val="center"/>
          </w:tcPr>
          <w:p w14:paraId="322FA9B1"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Contract</w:t>
            </w:r>
          </w:p>
        </w:tc>
        <w:tc>
          <w:tcPr>
            <w:tcW w:w="1418" w:type="dxa"/>
            <w:tcBorders>
              <w:top w:val="single" w:sz="4" w:space="0" w:color="auto"/>
              <w:left w:val="nil"/>
              <w:bottom w:val="single" w:sz="4" w:space="0" w:color="auto"/>
              <w:right w:val="nil"/>
            </w:tcBorders>
            <w:shd w:val="clear" w:color="auto" w:fill="auto"/>
            <w:noWrap/>
            <w:vAlign w:val="center"/>
          </w:tcPr>
          <w:p w14:paraId="698DC07F"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Re-contracting</w:t>
            </w:r>
          </w:p>
        </w:tc>
        <w:tc>
          <w:tcPr>
            <w:tcW w:w="1164" w:type="dxa"/>
            <w:tcBorders>
              <w:top w:val="single" w:sz="4" w:space="0" w:color="auto"/>
              <w:left w:val="nil"/>
              <w:bottom w:val="single" w:sz="4" w:space="0" w:color="auto"/>
              <w:right w:val="nil"/>
            </w:tcBorders>
            <w:vAlign w:val="center"/>
          </w:tcPr>
          <w:p w14:paraId="7E1EA6C5" w14:textId="03A7BCAB"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Terminat-ion</w:t>
            </w:r>
          </w:p>
        </w:tc>
        <w:tc>
          <w:tcPr>
            <w:tcW w:w="1671" w:type="dxa"/>
            <w:tcBorders>
              <w:top w:val="single" w:sz="4" w:space="0" w:color="auto"/>
              <w:left w:val="nil"/>
              <w:bottom w:val="single" w:sz="4" w:space="0" w:color="auto"/>
              <w:right w:val="nil"/>
            </w:tcBorders>
            <w:vAlign w:val="center"/>
          </w:tcPr>
          <w:p w14:paraId="78F0BD36" w14:textId="77777777" w:rsidR="001A0398" w:rsidRPr="00EA0DC7" w:rsidRDefault="001A0398" w:rsidP="0061557C">
            <w:pPr>
              <w:spacing w:before="240" w:line="240" w:lineRule="auto"/>
              <w:jc w:val="center"/>
              <w:rPr>
                <w:rFonts w:eastAsia="Times New Roman" w:cs="Arial"/>
                <w:sz w:val="20"/>
                <w:szCs w:val="20"/>
              </w:rPr>
            </w:pPr>
            <w:r w:rsidRPr="00EA0DC7">
              <w:rPr>
                <w:rFonts w:eastAsia="Times New Roman" w:cs="Arial"/>
                <w:b/>
                <w:bCs/>
                <w:sz w:val="20"/>
                <w:szCs w:val="20"/>
              </w:rPr>
              <w:t>Supervision of supervision</w:t>
            </w:r>
          </w:p>
        </w:tc>
      </w:tr>
      <w:tr w:rsidR="003F0CDB" w:rsidRPr="00EA0DC7" w14:paraId="7FA6BFD3" w14:textId="77777777" w:rsidTr="001A0398">
        <w:trPr>
          <w:trHeight w:val="80"/>
        </w:trPr>
        <w:tc>
          <w:tcPr>
            <w:tcW w:w="2977" w:type="dxa"/>
            <w:tcBorders>
              <w:top w:val="nil"/>
              <w:left w:val="nil"/>
              <w:right w:val="nil"/>
            </w:tcBorders>
            <w:shd w:val="clear" w:color="auto" w:fill="auto"/>
            <w:hideMark/>
          </w:tcPr>
          <w:p w14:paraId="79AC24D9"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Morgan &amp; Sprenkle (2007)</w:t>
            </w:r>
          </w:p>
        </w:tc>
        <w:tc>
          <w:tcPr>
            <w:tcW w:w="1134" w:type="dxa"/>
            <w:tcBorders>
              <w:top w:val="nil"/>
              <w:left w:val="nil"/>
              <w:right w:val="nil"/>
            </w:tcBorders>
            <w:shd w:val="clear" w:color="auto" w:fill="auto"/>
            <w:noWrap/>
            <w:vAlign w:val="center"/>
            <w:hideMark/>
          </w:tcPr>
          <w:p w14:paraId="5C0E8B8C"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350C574C"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357DC57E"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350E462B" w14:textId="77777777" w:rsidR="003F0CDB" w:rsidRPr="00EA0DC7" w:rsidRDefault="003F0CDB" w:rsidP="00957911">
            <w:pPr>
              <w:spacing w:line="240" w:lineRule="auto"/>
              <w:jc w:val="center"/>
              <w:rPr>
                <w:rFonts w:eastAsia="Times New Roman" w:cs="Arial"/>
                <w:sz w:val="20"/>
                <w:szCs w:val="20"/>
              </w:rPr>
            </w:pPr>
          </w:p>
        </w:tc>
      </w:tr>
      <w:tr w:rsidR="003F0CDB" w:rsidRPr="00EA0DC7" w14:paraId="3D2A7D0C" w14:textId="77777777" w:rsidTr="001A0398">
        <w:trPr>
          <w:trHeight w:val="80"/>
        </w:trPr>
        <w:tc>
          <w:tcPr>
            <w:tcW w:w="2977" w:type="dxa"/>
            <w:tcBorders>
              <w:top w:val="nil"/>
              <w:left w:val="nil"/>
              <w:right w:val="nil"/>
            </w:tcBorders>
            <w:shd w:val="clear" w:color="auto" w:fill="auto"/>
            <w:hideMark/>
          </w:tcPr>
          <w:p w14:paraId="3B1A0A8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Inskipp and Proctor (2009)</w:t>
            </w:r>
          </w:p>
        </w:tc>
        <w:tc>
          <w:tcPr>
            <w:tcW w:w="1134" w:type="dxa"/>
            <w:tcBorders>
              <w:top w:val="nil"/>
              <w:left w:val="nil"/>
              <w:right w:val="nil"/>
            </w:tcBorders>
            <w:shd w:val="clear" w:color="auto" w:fill="auto"/>
            <w:noWrap/>
            <w:vAlign w:val="center"/>
            <w:hideMark/>
          </w:tcPr>
          <w:p w14:paraId="7113714D"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right w:val="nil"/>
            </w:tcBorders>
            <w:shd w:val="clear" w:color="auto" w:fill="auto"/>
            <w:noWrap/>
            <w:vAlign w:val="center"/>
            <w:hideMark/>
          </w:tcPr>
          <w:p w14:paraId="11EE8C04"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right w:val="nil"/>
            </w:tcBorders>
            <w:vAlign w:val="center"/>
          </w:tcPr>
          <w:p w14:paraId="077E1E71" w14:textId="77777777" w:rsidR="003F0CDB" w:rsidRPr="00EA0DC7" w:rsidRDefault="003F0CDB" w:rsidP="00957911">
            <w:pPr>
              <w:spacing w:line="240" w:lineRule="auto"/>
              <w:jc w:val="center"/>
              <w:rPr>
                <w:rFonts w:eastAsia="Times New Roman" w:cs="Arial"/>
                <w:sz w:val="20"/>
                <w:szCs w:val="20"/>
              </w:rPr>
            </w:pPr>
          </w:p>
        </w:tc>
        <w:tc>
          <w:tcPr>
            <w:tcW w:w="1671" w:type="dxa"/>
            <w:tcBorders>
              <w:top w:val="nil"/>
              <w:left w:val="nil"/>
              <w:right w:val="nil"/>
            </w:tcBorders>
            <w:vAlign w:val="center"/>
          </w:tcPr>
          <w:p w14:paraId="0C62963E" w14:textId="77777777" w:rsidR="003F0CDB" w:rsidRPr="00EA0DC7" w:rsidRDefault="003F0CDB" w:rsidP="00957911">
            <w:pPr>
              <w:spacing w:line="240" w:lineRule="auto"/>
              <w:jc w:val="center"/>
              <w:rPr>
                <w:rFonts w:eastAsia="Times New Roman" w:cs="Arial"/>
                <w:sz w:val="20"/>
                <w:szCs w:val="20"/>
              </w:rPr>
            </w:pPr>
          </w:p>
        </w:tc>
      </w:tr>
      <w:tr w:rsidR="003F0CDB" w:rsidRPr="00EA0DC7" w14:paraId="50DBA668" w14:textId="77777777" w:rsidTr="001A0398">
        <w:trPr>
          <w:trHeight w:val="80"/>
        </w:trPr>
        <w:tc>
          <w:tcPr>
            <w:tcW w:w="2977" w:type="dxa"/>
            <w:tcBorders>
              <w:top w:val="nil"/>
              <w:left w:val="nil"/>
              <w:bottom w:val="single" w:sz="4" w:space="0" w:color="000000"/>
              <w:right w:val="nil"/>
            </w:tcBorders>
            <w:shd w:val="clear" w:color="auto" w:fill="auto"/>
            <w:hideMark/>
          </w:tcPr>
          <w:p w14:paraId="220C1BD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Page and Wosket (2015)</w:t>
            </w:r>
          </w:p>
        </w:tc>
        <w:tc>
          <w:tcPr>
            <w:tcW w:w="1134" w:type="dxa"/>
            <w:tcBorders>
              <w:top w:val="nil"/>
              <w:left w:val="nil"/>
              <w:bottom w:val="single" w:sz="4" w:space="0" w:color="000000"/>
              <w:right w:val="nil"/>
            </w:tcBorders>
            <w:shd w:val="clear" w:color="auto" w:fill="auto"/>
            <w:noWrap/>
            <w:vAlign w:val="center"/>
            <w:hideMark/>
          </w:tcPr>
          <w:p w14:paraId="4595B358" w14:textId="77777777" w:rsidR="003F0CDB" w:rsidRPr="00EA0DC7" w:rsidRDefault="003F0CDB" w:rsidP="00957911">
            <w:pPr>
              <w:spacing w:line="240" w:lineRule="auto"/>
              <w:jc w:val="center"/>
              <w:rPr>
                <w:rFonts w:eastAsia="Times New Roman" w:cs="Arial"/>
                <w:sz w:val="20"/>
                <w:szCs w:val="20"/>
              </w:rPr>
            </w:pPr>
          </w:p>
        </w:tc>
        <w:tc>
          <w:tcPr>
            <w:tcW w:w="1418" w:type="dxa"/>
            <w:tcBorders>
              <w:top w:val="nil"/>
              <w:left w:val="nil"/>
              <w:bottom w:val="single" w:sz="4" w:space="0" w:color="000000"/>
              <w:right w:val="nil"/>
            </w:tcBorders>
            <w:shd w:val="clear" w:color="auto" w:fill="auto"/>
            <w:noWrap/>
            <w:vAlign w:val="center"/>
            <w:hideMark/>
          </w:tcPr>
          <w:p w14:paraId="1B0E0A71" w14:textId="77777777" w:rsidR="003F0CDB" w:rsidRPr="00EA0DC7" w:rsidRDefault="003F0CDB" w:rsidP="00957911">
            <w:pPr>
              <w:spacing w:line="240" w:lineRule="auto"/>
              <w:jc w:val="center"/>
              <w:rPr>
                <w:rFonts w:eastAsia="Times New Roman" w:cs="Arial"/>
                <w:sz w:val="20"/>
                <w:szCs w:val="20"/>
              </w:rPr>
            </w:pPr>
          </w:p>
        </w:tc>
        <w:tc>
          <w:tcPr>
            <w:tcW w:w="1164" w:type="dxa"/>
            <w:tcBorders>
              <w:top w:val="nil"/>
              <w:left w:val="nil"/>
              <w:bottom w:val="single" w:sz="4" w:space="0" w:color="000000"/>
              <w:right w:val="nil"/>
            </w:tcBorders>
            <w:vAlign w:val="center"/>
          </w:tcPr>
          <w:p w14:paraId="04B351D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671" w:type="dxa"/>
            <w:tcBorders>
              <w:top w:val="nil"/>
              <w:left w:val="nil"/>
              <w:bottom w:val="single" w:sz="4" w:space="0" w:color="000000"/>
              <w:right w:val="nil"/>
            </w:tcBorders>
            <w:vAlign w:val="center"/>
          </w:tcPr>
          <w:p w14:paraId="6E5869B1" w14:textId="77777777" w:rsidR="003F0CDB" w:rsidRPr="00EA0DC7" w:rsidRDefault="003F0CDB" w:rsidP="00957911">
            <w:pPr>
              <w:spacing w:line="240" w:lineRule="auto"/>
              <w:jc w:val="center"/>
              <w:rPr>
                <w:rFonts w:eastAsia="Times New Roman" w:cs="Arial"/>
                <w:sz w:val="20"/>
                <w:szCs w:val="20"/>
              </w:rPr>
            </w:pPr>
          </w:p>
        </w:tc>
      </w:tr>
    </w:tbl>
    <w:p w14:paraId="158BCE68" w14:textId="77777777" w:rsidR="003F0CDB" w:rsidRPr="00EA0DC7" w:rsidRDefault="003F0CDB" w:rsidP="003F0CDB">
      <w:pPr>
        <w:rPr>
          <w:rFonts w:eastAsia="Times New Roman" w:cs="Arial"/>
          <w:szCs w:val="24"/>
        </w:rPr>
      </w:pPr>
    </w:p>
    <w:p w14:paraId="2F7A3177" w14:textId="77777777" w:rsidR="003F0CDB" w:rsidRPr="00EA0DC7" w:rsidRDefault="003F0CDB" w:rsidP="003F0CDB">
      <w:pPr>
        <w:rPr>
          <w:rFonts w:eastAsia="Times New Roman" w:cs="Arial"/>
          <w:szCs w:val="24"/>
        </w:rPr>
      </w:pPr>
      <w:r w:rsidRPr="00EA0DC7">
        <w:rPr>
          <w:rFonts w:eastAsia="Times New Roman" w:cs="Arial"/>
          <w:szCs w:val="24"/>
        </w:rPr>
        <w:br w:type="page"/>
      </w:r>
    </w:p>
    <w:p w14:paraId="7DC87938" w14:textId="1BE657A0" w:rsidR="003F0CDB" w:rsidRPr="00EA0DC7" w:rsidRDefault="003F0CDB" w:rsidP="006B3274">
      <w:pPr>
        <w:pStyle w:val="Heading2"/>
        <w:rPr>
          <w:lang w:eastAsia="zh-CN"/>
        </w:rPr>
      </w:pPr>
      <w:bookmarkStart w:id="246" w:name="_Toc23881307"/>
      <w:bookmarkStart w:id="247" w:name="_Toc24548598"/>
      <w:bookmarkStart w:id="248" w:name="_Toc24548701"/>
      <w:bookmarkStart w:id="249" w:name="_Toc47039888"/>
      <w:r w:rsidRPr="00EA0DC7">
        <w:rPr>
          <w:lang w:eastAsia="zh-CN"/>
        </w:rPr>
        <w:lastRenderedPageBreak/>
        <w:t xml:space="preserve">Appendix </w:t>
      </w:r>
      <w:r w:rsidR="00D247AC" w:rsidRPr="00EA0DC7">
        <w:rPr>
          <w:lang w:eastAsia="zh-CN"/>
        </w:rPr>
        <w:t>2</w:t>
      </w:r>
      <w:r w:rsidRPr="00EA0DC7">
        <w:rPr>
          <w:lang w:eastAsia="zh-CN"/>
        </w:rPr>
        <w:t>I</w:t>
      </w:r>
      <w:r w:rsidR="006B3274" w:rsidRPr="00EA0DC7">
        <w:rPr>
          <w:lang w:eastAsia="zh-CN"/>
        </w:rPr>
        <w:t>. Supervision relationships focus in supervision models</w:t>
      </w:r>
      <w:bookmarkEnd w:id="246"/>
      <w:bookmarkEnd w:id="247"/>
      <w:bookmarkEnd w:id="248"/>
      <w:bookmarkEnd w:id="249"/>
    </w:p>
    <w:p w14:paraId="0EDF5521" w14:textId="0FAEC7C4" w:rsidR="003F0CDB" w:rsidRPr="00EA0DC7" w:rsidRDefault="003F0CDB" w:rsidP="003F0CDB">
      <w:pPr>
        <w:keepNext/>
        <w:spacing w:line="240" w:lineRule="auto"/>
        <w:rPr>
          <w:rFonts w:eastAsia="Calibri" w:cs="Arial"/>
          <w:bCs/>
          <w:i/>
          <w:szCs w:val="24"/>
          <w:lang w:eastAsia="en-US"/>
        </w:rPr>
      </w:pPr>
      <w:r w:rsidRPr="00EA0DC7">
        <w:rPr>
          <w:rFonts w:eastAsia="Calibri" w:cs="Arial"/>
          <w:bCs/>
          <w:szCs w:val="24"/>
          <w:lang w:eastAsia="en-US"/>
        </w:rPr>
        <w:t xml:space="preserve">Table </w:t>
      </w:r>
      <w:r w:rsidR="00D247AC" w:rsidRPr="00EA0DC7">
        <w:rPr>
          <w:rFonts w:eastAsia="Calibri" w:cs="Arial"/>
          <w:bCs/>
          <w:szCs w:val="24"/>
          <w:lang w:eastAsia="en-US"/>
        </w:rPr>
        <w:t>2I</w:t>
      </w:r>
      <w:r w:rsidRPr="00EA0DC7">
        <w:rPr>
          <w:rFonts w:eastAsia="Calibri" w:cs="Arial"/>
          <w:bCs/>
          <w:szCs w:val="24"/>
          <w:lang w:eastAsia="en-US"/>
        </w:rPr>
        <w:t>. Model focus on relationships in supervision.</w:t>
      </w:r>
    </w:p>
    <w:tbl>
      <w:tblPr>
        <w:tblW w:w="8505" w:type="dxa"/>
        <w:tblLayout w:type="fixed"/>
        <w:tblLook w:val="04A0" w:firstRow="1" w:lastRow="0" w:firstColumn="1" w:lastColumn="0" w:noHBand="0" w:noVBand="1"/>
      </w:tblPr>
      <w:tblGrid>
        <w:gridCol w:w="3261"/>
        <w:gridCol w:w="1984"/>
        <w:gridCol w:w="1559"/>
        <w:gridCol w:w="1701"/>
      </w:tblGrid>
      <w:tr w:rsidR="00EA0DC7" w:rsidRPr="00EA0DC7" w14:paraId="617B4022" w14:textId="77777777" w:rsidTr="00891F1E">
        <w:trPr>
          <w:trHeight w:val="983"/>
        </w:trPr>
        <w:tc>
          <w:tcPr>
            <w:tcW w:w="3261" w:type="dxa"/>
            <w:tcBorders>
              <w:top w:val="single" w:sz="4" w:space="0" w:color="auto"/>
              <w:left w:val="nil"/>
              <w:bottom w:val="single" w:sz="4" w:space="0" w:color="auto"/>
              <w:right w:val="nil"/>
            </w:tcBorders>
            <w:shd w:val="clear" w:color="auto" w:fill="auto"/>
            <w:noWrap/>
            <w:vAlign w:val="center"/>
            <w:hideMark/>
          </w:tcPr>
          <w:p w14:paraId="28D1892A" w14:textId="77777777" w:rsidR="003F0CDB" w:rsidRPr="00EA0DC7" w:rsidRDefault="003F0CDB" w:rsidP="005016CB">
            <w:pPr>
              <w:spacing w:before="240" w:after="0" w:line="240" w:lineRule="auto"/>
              <w:jc w:val="center"/>
              <w:rPr>
                <w:rFonts w:eastAsia="Times New Roman" w:cs="Arial"/>
                <w:bCs/>
                <w:szCs w:val="24"/>
              </w:rPr>
            </w:pPr>
          </w:p>
        </w:tc>
        <w:tc>
          <w:tcPr>
            <w:tcW w:w="1984" w:type="dxa"/>
            <w:tcBorders>
              <w:top w:val="single" w:sz="4" w:space="0" w:color="auto"/>
              <w:left w:val="nil"/>
              <w:bottom w:val="single" w:sz="4" w:space="0" w:color="auto"/>
              <w:right w:val="nil"/>
            </w:tcBorders>
            <w:shd w:val="clear" w:color="auto" w:fill="auto"/>
            <w:vAlign w:val="center"/>
            <w:hideMark/>
          </w:tcPr>
          <w:p w14:paraId="0987D040" w14:textId="77777777" w:rsidR="003F0CDB" w:rsidRPr="00EA0DC7" w:rsidRDefault="003F0CD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supervisee</w:t>
            </w:r>
          </w:p>
        </w:tc>
        <w:tc>
          <w:tcPr>
            <w:tcW w:w="1559" w:type="dxa"/>
            <w:tcBorders>
              <w:top w:val="single" w:sz="4" w:space="0" w:color="auto"/>
              <w:left w:val="nil"/>
              <w:bottom w:val="single" w:sz="4" w:space="0" w:color="auto"/>
              <w:right w:val="nil"/>
            </w:tcBorders>
            <w:shd w:val="clear" w:color="auto" w:fill="auto"/>
            <w:vAlign w:val="center"/>
            <w:hideMark/>
          </w:tcPr>
          <w:p w14:paraId="3A4CDF5F" w14:textId="496A12E5" w:rsidR="003F0CDB" w:rsidRPr="00EA0DC7" w:rsidRDefault="003F0CDB" w:rsidP="005016CB">
            <w:pPr>
              <w:spacing w:before="240" w:line="240" w:lineRule="auto"/>
              <w:jc w:val="center"/>
              <w:rPr>
                <w:rFonts w:eastAsia="Times New Roman" w:cs="Arial"/>
                <w:b/>
                <w:bCs/>
                <w:szCs w:val="24"/>
              </w:rPr>
            </w:pPr>
            <w:r w:rsidRPr="00EA0DC7">
              <w:rPr>
                <w:rFonts w:eastAsia="Times New Roman" w:cs="Arial"/>
                <w:b/>
                <w:bCs/>
                <w:szCs w:val="24"/>
              </w:rPr>
              <w:t>Relationsh</w:t>
            </w:r>
            <w:r w:rsidR="00891F1E" w:rsidRPr="00EA0DC7">
              <w:rPr>
                <w:rFonts w:eastAsia="Times New Roman" w:cs="Arial"/>
                <w:b/>
                <w:bCs/>
                <w:szCs w:val="24"/>
              </w:rPr>
              <w:t>-</w:t>
            </w:r>
            <w:r w:rsidRPr="00EA0DC7">
              <w:rPr>
                <w:rFonts w:eastAsia="Times New Roman" w:cs="Arial"/>
                <w:b/>
                <w:bCs/>
                <w:szCs w:val="24"/>
              </w:rPr>
              <w:t>ip between supervisee and client</w:t>
            </w:r>
          </w:p>
        </w:tc>
        <w:tc>
          <w:tcPr>
            <w:tcW w:w="1701" w:type="dxa"/>
            <w:tcBorders>
              <w:top w:val="single" w:sz="4" w:space="0" w:color="auto"/>
              <w:left w:val="nil"/>
              <w:bottom w:val="single" w:sz="4" w:space="0" w:color="auto"/>
              <w:right w:val="nil"/>
            </w:tcBorders>
            <w:vAlign w:val="center"/>
          </w:tcPr>
          <w:p w14:paraId="32221B3A" w14:textId="77777777" w:rsidR="003F0CDB" w:rsidRPr="00EA0DC7" w:rsidRDefault="003F0CD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client</w:t>
            </w:r>
          </w:p>
        </w:tc>
      </w:tr>
      <w:tr w:rsidR="00EA0DC7" w:rsidRPr="00EA0DC7" w14:paraId="296FCDB3" w14:textId="77777777" w:rsidTr="00891F1E">
        <w:trPr>
          <w:trHeight w:val="1112"/>
        </w:trPr>
        <w:tc>
          <w:tcPr>
            <w:tcW w:w="3261" w:type="dxa"/>
            <w:tcBorders>
              <w:top w:val="single" w:sz="4" w:space="0" w:color="auto"/>
              <w:left w:val="nil"/>
              <w:right w:val="nil"/>
              <w:tl2br w:val="single" w:sz="4" w:space="0" w:color="auto"/>
            </w:tcBorders>
            <w:shd w:val="clear" w:color="auto" w:fill="auto"/>
            <w:hideMark/>
          </w:tcPr>
          <w:p w14:paraId="50583DCE" w14:textId="77777777" w:rsidR="003F0CDB" w:rsidRPr="00EA0DC7" w:rsidRDefault="003F0CDB" w:rsidP="005016CB">
            <w:pPr>
              <w:spacing w:before="240" w:after="0" w:line="240" w:lineRule="auto"/>
              <w:jc w:val="right"/>
              <w:rPr>
                <w:rFonts w:eastAsia="Times New Roman" w:cs="Arial"/>
                <w:b/>
                <w:szCs w:val="24"/>
              </w:rPr>
            </w:pPr>
            <w:r w:rsidRPr="00EA0DC7">
              <w:rPr>
                <w:rFonts w:eastAsia="Times New Roman" w:cs="Arial"/>
                <w:b/>
                <w:szCs w:val="24"/>
              </w:rPr>
              <w:t>No. of models</w:t>
            </w:r>
          </w:p>
          <w:p w14:paraId="6447DF6D" w14:textId="77777777" w:rsidR="003F0CDB" w:rsidRPr="00EA0DC7" w:rsidRDefault="003F0CDB" w:rsidP="00957911">
            <w:pPr>
              <w:spacing w:after="0" w:line="240" w:lineRule="auto"/>
              <w:jc w:val="right"/>
              <w:rPr>
                <w:rFonts w:eastAsia="Times New Roman" w:cs="Arial"/>
                <w:b/>
                <w:szCs w:val="24"/>
              </w:rPr>
            </w:pPr>
            <w:r w:rsidRPr="00EA0DC7">
              <w:rPr>
                <w:rFonts w:eastAsia="Times New Roman" w:cs="Arial"/>
                <w:b/>
                <w:szCs w:val="24"/>
              </w:rPr>
              <w:t>with</w:t>
            </w:r>
          </w:p>
          <w:p w14:paraId="34533F66" w14:textId="77777777" w:rsidR="003F0CDB" w:rsidRPr="00EA0DC7" w:rsidRDefault="003F0CDB" w:rsidP="00957911">
            <w:pPr>
              <w:spacing w:after="0" w:line="240" w:lineRule="auto"/>
              <w:jc w:val="right"/>
              <w:rPr>
                <w:rFonts w:eastAsia="Times New Roman" w:cs="Arial"/>
                <w:b/>
                <w:bCs/>
                <w:szCs w:val="24"/>
              </w:rPr>
            </w:pPr>
            <w:r w:rsidRPr="00EA0DC7">
              <w:rPr>
                <w:rFonts w:eastAsia="Times New Roman" w:cs="Arial"/>
                <w:b/>
                <w:szCs w:val="24"/>
              </w:rPr>
              <w:t>element</w:t>
            </w:r>
          </w:p>
          <w:p w14:paraId="78B40DFC" w14:textId="77777777" w:rsidR="003F0CDB" w:rsidRPr="00EA0DC7" w:rsidRDefault="003F0CDB" w:rsidP="005016CB">
            <w:pPr>
              <w:spacing w:line="240" w:lineRule="auto"/>
              <w:rPr>
                <w:rFonts w:eastAsia="Times New Roman" w:cs="Arial"/>
                <w:b/>
                <w:bCs/>
                <w:szCs w:val="24"/>
              </w:rPr>
            </w:pPr>
            <w:r w:rsidRPr="00EA0DC7">
              <w:rPr>
                <w:rFonts w:eastAsia="Times New Roman" w:cs="Arial"/>
                <w:b/>
                <w:bCs/>
                <w:szCs w:val="24"/>
              </w:rPr>
              <w:t>Model/ approach</w:t>
            </w:r>
          </w:p>
        </w:tc>
        <w:tc>
          <w:tcPr>
            <w:tcW w:w="1984" w:type="dxa"/>
            <w:tcBorders>
              <w:top w:val="single" w:sz="4" w:space="0" w:color="auto"/>
              <w:left w:val="nil"/>
              <w:right w:val="nil"/>
            </w:tcBorders>
            <w:shd w:val="clear" w:color="auto" w:fill="auto"/>
            <w:vAlign w:val="center"/>
            <w:hideMark/>
          </w:tcPr>
          <w:p w14:paraId="2E8965E6"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43</w:t>
            </w:r>
          </w:p>
          <w:p w14:paraId="6816EB04"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(82.69%)</w:t>
            </w:r>
          </w:p>
        </w:tc>
        <w:tc>
          <w:tcPr>
            <w:tcW w:w="1559" w:type="dxa"/>
            <w:tcBorders>
              <w:top w:val="single" w:sz="4" w:space="0" w:color="auto"/>
              <w:left w:val="nil"/>
              <w:right w:val="nil"/>
            </w:tcBorders>
            <w:shd w:val="clear" w:color="auto" w:fill="auto"/>
            <w:vAlign w:val="center"/>
            <w:hideMark/>
          </w:tcPr>
          <w:p w14:paraId="5242D6B6"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27</w:t>
            </w:r>
          </w:p>
          <w:p w14:paraId="6933F149"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(51.92%)</w:t>
            </w:r>
          </w:p>
        </w:tc>
        <w:tc>
          <w:tcPr>
            <w:tcW w:w="1701" w:type="dxa"/>
            <w:tcBorders>
              <w:top w:val="single" w:sz="4" w:space="0" w:color="auto"/>
              <w:left w:val="nil"/>
              <w:right w:val="nil"/>
            </w:tcBorders>
            <w:vAlign w:val="center"/>
          </w:tcPr>
          <w:p w14:paraId="08BC7050"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w:t>
            </w:r>
          </w:p>
          <w:p w14:paraId="402D6B07"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(5.77%)</w:t>
            </w:r>
          </w:p>
        </w:tc>
      </w:tr>
      <w:tr w:rsidR="00EA0DC7" w:rsidRPr="00EA0DC7" w14:paraId="3DBCAB59" w14:textId="77777777" w:rsidTr="00891F1E">
        <w:trPr>
          <w:trHeight w:val="573"/>
        </w:trPr>
        <w:tc>
          <w:tcPr>
            <w:tcW w:w="3261" w:type="dxa"/>
            <w:tcBorders>
              <w:left w:val="nil"/>
              <w:bottom w:val="nil"/>
              <w:right w:val="nil"/>
            </w:tcBorders>
            <w:shd w:val="clear" w:color="auto" w:fill="auto"/>
            <w:vAlign w:val="bottom"/>
            <w:hideMark/>
          </w:tcPr>
          <w:p w14:paraId="413323E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Hogan (1964)</w:t>
            </w:r>
          </w:p>
        </w:tc>
        <w:tc>
          <w:tcPr>
            <w:tcW w:w="1984" w:type="dxa"/>
            <w:tcBorders>
              <w:left w:val="nil"/>
              <w:bottom w:val="nil"/>
              <w:right w:val="nil"/>
            </w:tcBorders>
            <w:shd w:val="clear" w:color="auto" w:fill="auto"/>
            <w:noWrap/>
            <w:vAlign w:val="center"/>
            <w:hideMark/>
          </w:tcPr>
          <w:p w14:paraId="61F5CAA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left w:val="nil"/>
              <w:bottom w:val="nil"/>
              <w:right w:val="nil"/>
            </w:tcBorders>
            <w:shd w:val="clear" w:color="auto" w:fill="auto"/>
            <w:noWrap/>
            <w:vAlign w:val="center"/>
            <w:hideMark/>
          </w:tcPr>
          <w:p w14:paraId="2D6D6D0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59FC43AA" w14:textId="77777777" w:rsidR="003F0CDB" w:rsidRPr="00EA0DC7" w:rsidRDefault="003F0CDB" w:rsidP="00957911">
            <w:pPr>
              <w:spacing w:line="240" w:lineRule="auto"/>
              <w:jc w:val="center"/>
              <w:rPr>
                <w:rFonts w:eastAsia="Times New Roman" w:cs="Arial"/>
                <w:szCs w:val="24"/>
              </w:rPr>
            </w:pPr>
          </w:p>
        </w:tc>
      </w:tr>
      <w:tr w:rsidR="00EA0DC7" w:rsidRPr="00EA0DC7" w14:paraId="334ADDB7" w14:textId="77777777" w:rsidTr="00891F1E">
        <w:trPr>
          <w:trHeight w:val="423"/>
        </w:trPr>
        <w:tc>
          <w:tcPr>
            <w:tcW w:w="3261" w:type="dxa"/>
            <w:tcBorders>
              <w:top w:val="nil"/>
              <w:left w:val="nil"/>
              <w:bottom w:val="nil"/>
              <w:right w:val="nil"/>
            </w:tcBorders>
            <w:shd w:val="clear" w:color="auto" w:fill="auto"/>
            <w:vAlign w:val="bottom"/>
            <w:hideMark/>
          </w:tcPr>
          <w:p w14:paraId="0A063FF7"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Ekstein &amp; Wallerstein (1972)</w:t>
            </w:r>
          </w:p>
        </w:tc>
        <w:tc>
          <w:tcPr>
            <w:tcW w:w="1984" w:type="dxa"/>
            <w:tcBorders>
              <w:top w:val="nil"/>
              <w:left w:val="nil"/>
              <w:bottom w:val="nil"/>
              <w:right w:val="nil"/>
            </w:tcBorders>
            <w:shd w:val="clear" w:color="auto" w:fill="auto"/>
            <w:noWrap/>
            <w:vAlign w:val="center"/>
            <w:hideMark/>
          </w:tcPr>
          <w:p w14:paraId="2CD096E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593A3A9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29E78E4D" w14:textId="77777777" w:rsidR="003F0CDB" w:rsidRPr="00EA0DC7" w:rsidRDefault="003F0CDB" w:rsidP="00957911">
            <w:pPr>
              <w:spacing w:line="240" w:lineRule="auto"/>
              <w:jc w:val="center"/>
              <w:rPr>
                <w:rFonts w:eastAsia="Times New Roman" w:cs="Arial"/>
                <w:szCs w:val="24"/>
              </w:rPr>
            </w:pPr>
          </w:p>
        </w:tc>
      </w:tr>
      <w:tr w:rsidR="00EA0DC7" w:rsidRPr="00EA0DC7" w14:paraId="76CDF8A6" w14:textId="77777777" w:rsidTr="00891F1E">
        <w:trPr>
          <w:trHeight w:val="80"/>
        </w:trPr>
        <w:tc>
          <w:tcPr>
            <w:tcW w:w="3261" w:type="dxa"/>
            <w:tcBorders>
              <w:top w:val="nil"/>
              <w:left w:val="nil"/>
              <w:bottom w:val="nil"/>
              <w:right w:val="nil"/>
            </w:tcBorders>
            <w:shd w:val="clear" w:color="auto" w:fill="auto"/>
            <w:vAlign w:val="bottom"/>
            <w:hideMark/>
          </w:tcPr>
          <w:p w14:paraId="5A2882B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Mueller &amp; Kell (1971)</w:t>
            </w:r>
          </w:p>
        </w:tc>
        <w:tc>
          <w:tcPr>
            <w:tcW w:w="1984" w:type="dxa"/>
            <w:tcBorders>
              <w:top w:val="nil"/>
              <w:left w:val="nil"/>
              <w:bottom w:val="nil"/>
              <w:right w:val="nil"/>
            </w:tcBorders>
            <w:shd w:val="clear" w:color="auto" w:fill="auto"/>
            <w:noWrap/>
            <w:vAlign w:val="center"/>
            <w:hideMark/>
          </w:tcPr>
          <w:p w14:paraId="5F2C243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3B7520A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1771762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EA0DC7" w:rsidRPr="00EA0DC7" w14:paraId="2F6B2FFF" w14:textId="77777777" w:rsidTr="00891F1E">
        <w:trPr>
          <w:trHeight w:val="80"/>
        </w:trPr>
        <w:tc>
          <w:tcPr>
            <w:tcW w:w="3261" w:type="dxa"/>
            <w:tcBorders>
              <w:top w:val="nil"/>
              <w:left w:val="nil"/>
              <w:bottom w:val="nil"/>
              <w:right w:val="nil"/>
            </w:tcBorders>
            <w:shd w:val="clear" w:color="auto" w:fill="auto"/>
            <w:vAlign w:val="bottom"/>
            <w:hideMark/>
          </w:tcPr>
          <w:p w14:paraId="56C8F3A3"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Delaney (1972)</w:t>
            </w:r>
          </w:p>
        </w:tc>
        <w:tc>
          <w:tcPr>
            <w:tcW w:w="1984" w:type="dxa"/>
            <w:tcBorders>
              <w:top w:val="nil"/>
              <w:left w:val="nil"/>
              <w:bottom w:val="nil"/>
              <w:right w:val="nil"/>
            </w:tcBorders>
            <w:shd w:val="clear" w:color="auto" w:fill="auto"/>
            <w:noWrap/>
            <w:vAlign w:val="center"/>
            <w:hideMark/>
          </w:tcPr>
          <w:p w14:paraId="76378D7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4C3A81C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7B921CE3" w14:textId="77777777" w:rsidR="003F0CDB" w:rsidRPr="00EA0DC7" w:rsidRDefault="003F0CDB" w:rsidP="00957911">
            <w:pPr>
              <w:spacing w:line="240" w:lineRule="auto"/>
              <w:jc w:val="center"/>
              <w:rPr>
                <w:rFonts w:eastAsia="Times New Roman" w:cs="Arial"/>
                <w:szCs w:val="24"/>
              </w:rPr>
            </w:pPr>
          </w:p>
        </w:tc>
      </w:tr>
      <w:tr w:rsidR="00EA0DC7" w:rsidRPr="00EA0DC7" w14:paraId="7C3BCBC3" w14:textId="77777777" w:rsidTr="00891F1E">
        <w:trPr>
          <w:trHeight w:val="80"/>
        </w:trPr>
        <w:tc>
          <w:tcPr>
            <w:tcW w:w="3261" w:type="dxa"/>
            <w:tcBorders>
              <w:top w:val="nil"/>
              <w:left w:val="nil"/>
              <w:bottom w:val="nil"/>
              <w:right w:val="nil"/>
            </w:tcBorders>
            <w:shd w:val="clear" w:color="auto" w:fill="auto"/>
            <w:vAlign w:val="bottom"/>
            <w:hideMark/>
          </w:tcPr>
          <w:p w14:paraId="3E1D031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Ard (1973)</w:t>
            </w:r>
          </w:p>
        </w:tc>
        <w:tc>
          <w:tcPr>
            <w:tcW w:w="1984" w:type="dxa"/>
            <w:tcBorders>
              <w:top w:val="nil"/>
              <w:left w:val="nil"/>
              <w:bottom w:val="nil"/>
              <w:right w:val="nil"/>
            </w:tcBorders>
            <w:shd w:val="clear" w:color="auto" w:fill="auto"/>
            <w:noWrap/>
            <w:vAlign w:val="center"/>
            <w:hideMark/>
          </w:tcPr>
          <w:p w14:paraId="7A0D08D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6119C8E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353CE577" w14:textId="77777777" w:rsidR="003F0CDB" w:rsidRPr="00EA0DC7" w:rsidRDefault="003F0CDB" w:rsidP="00957911">
            <w:pPr>
              <w:spacing w:line="240" w:lineRule="auto"/>
              <w:jc w:val="center"/>
              <w:rPr>
                <w:rFonts w:eastAsia="Times New Roman" w:cs="Arial"/>
                <w:szCs w:val="24"/>
              </w:rPr>
            </w:pPr>
          </w:p>
        </w:tc>
      </w:tr>
      <w:tr w:rsidR="00EA0DC7" w:rsidRPr="00EA0DC7" w14:paraId="169F1A3B" w14:textId="77777777" w:rsidTr="00891F1E">
        <w:trPr>
          <w:trHeight w:val="80"/>
        </w:trPr>
        <w:tc>
          <w:tcPr>
            <w:tcW w:w="3261" w:type="dxa"/>
            <w:tcBorders>
              <w:top w:val="nil"/>
              <w:left w:val="nil"/>
              <w:bottom w:val="nil"/>
              <w:right w:val="nil"/>
            </w:tcBorders>
            <w:shd w:val="clear" w:color="auto" w:fill="auto"/>
            <w:vAlign w:val="bottom"/>
            <w:hideMark/>
          </w:tcPr>
          <w:p w14:paraId="1D04E743"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Bernard (1979)</w:t>
            </w:r>
          </w:p>
        </w:tc>
        <w:tc>
          <w:tcPr>
            <w:tcW w:w="1984" w:type="dxa"/>
            <w:tcBorders>
              <w:top w:val="nil"/>
              <w:left w:val="nil"/>
              <w:bottom w:val="nil"/>
              <w:right w:val="nil"/>
            </w:tcBorders>
            <w:shd w:val="clear" w:color="auto" w:fill="auto"/>
            <w:noWrap/>
            <w:vAlign w:val="center"/>
            <w:hideMark/>
          </w:tcPr>
          <w:p w14:paraId="6028ACB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1376A4E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499FE849" w14:textId="77777777" w:rsidR="003F0CDB" w:rsidRPr="00EA0DC7" w:rsidRDefault="003F0CDB" w:rsidP="00957911">
            <w:pPr>
              <w:spacing w:line="240" w:lineRule="auto"/>
              <w:jc w:val="center"/>
              <w:rPr>
                <w:rFonts w:eastAsia="Times New Roman" w:cs="Arial"/>
                <w:szCs w:val="24"/>
              </w:rPr>
            </w:pPr>
          </w:p>
        </w:tc>
      </w:tr>
      <w:tr w:rsidR="00EA0DC7" w:rsidRPr="00EA0DC7" w14:paraId="0521C923" w14:textId="77777777" w:rsidTr="00891F1E">
        <w:trPr>
          <w:trHeight w:val="80"/>
        </w:trPr>
        <w:tc>
          <w:tcPr>
            <w:tcW w:w="3261" w:type="dxa"/>
            <w:tcBorders>
              <w:top w:val="nil"/>
              <w:left w:val="nil"/>
              <w:bottom w:val="nil"/>
              <w:right w:val="nil"/>
            </w:tcBorders>
            <w:shd w:val="clear" w:color="auto" w:fill="auto"/>
            <w:vAlign w:val="bottom"/>
            <w:hideMark/>
          </w:tcPr>
          <w:p w14:paraId="70BDF783"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Littrell et al. (1979)</w:t>
            </w:r>
          </w:p>
        </w:tc>
        <w:tc>
          <w:tcPr>
            <w:tcW w:w="1984" w:type="dxa"/>
            <w:tcBorders>
              <w:top w:val="nil"/>
              <w:left w:val="nil"/>
              <w:bottom w:val="nil"/>
              <w:right w:val="nil"/>
            </w:tcBorders>
            <w:shd w:val="clear" w:color="auto" w:fill="auto"/>
            <w:noWrap/>
            <w:vAlign w:val="center"/>
            <w:hideMark/>
          </w:tcPr>
          <w:p w14:paraId="42CD51A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59C15CD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6A13654A" w14:textId="77777777" w:rsidR="003F0CDB" w:rsidRPr="00EA0DC7" w:rsidRDefault="003F0CDB" w:rsidP="00957911">
            <w:pPr>
              <w:spacing w:line="240" w:lineRule="auto"/>
              <w:jc w:val="center"/>
              <w:rPr>
                <w:rFonts w:eastAsia="Times New Roman" w:cs="Arial"/>
                <w:szCs w:val="24"/>
              </w:rPr>
            </w:pPr>
          </w:p>
        </w:tc>
      </w:tr>
      <w:tr w:rsidR="00EA0DC7" w:rsidRPr="00EA0DC7" w14:paraId="65646C1A" w14:textId="77777777" w:rsidTr="00891F1E">
        <w:trPr>
          <w:trHeight w:val="459"/>
        </w:trPr>
        <w:tc>
          <w:tcPr>
            <w:tcW w:w="3261" w:type="dxa"/>
            <w:tcBorders>
              <w:top w:val="nil"/>
              <w:left w:val="nil"/>
              <w:bottom w:val="nil"/>
              <w:right w:val="nil"/>
            </w:tcBorders>
            <w:shd w:val="clear" w:color="auto" w:fill="auto"/>
            <w:vAlign w:val="bottom"/>
            <w:hideMark/>
          </w:tcPr>
          <w:p w14:paraId="7C2E03DA"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Langs (1980)</w:t>
            </w:r>
          </w:p>
        </w:tc>
        <w:tc>
          <w:tcPr>
            <w:tcW w:w="1984" w:type="dxa"/>
            <w:tcBorders>
              <w:top w:val="nil"/>
              <w:left w:val="nil"/>
              <w:bottom w:val="nil"/>
              <w:right w:val="nil"/>
            </w:tcBorders>
            <w:shd w:val="clear" w:color="auto" w:fill="auto"/>
            <w:noWrap/>
            <w:vAlign w:val="center"/>
            <w:hideMark/>
          </w:tcPr>
          <w:p w14:paraId="0C56AE9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7475B6F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62F829B2" w14:textId="77777777" w:rsidR="003F0CDB" w:rsidRPr="00EA0DC7" w:rsidRDefault="003F0CDB" w:rsidP="00957911">
            <w:pPr>
              <w:spacing w:line="240" w:lineRule="auto"/>
              <w:jc w:val="center"/>
              <w:rPr>
                <w:rFonts w:eastAsia="Times New Roman" w:cs="Arial"/>
                <w:szCs w:val="24"/>
              </w:rPr>
            </w:pPr>
          </w:p>
        </w:tc>
      </w:tr>
      <w:tr w:rsidR="00EA0DC7" w:rsidRPr="00EA0DC7" w14:paraId="10264EAF" w14:textId="77777777" w:rsidTr="00891F1E">
        <w:trPr>
          <w:trHeight w:val="235"/>
        </w:trPr>
        <w:tc>
          <w:tcPr>
            <w:tcW w:w="3261" w:type="dxa"/>
            <w:tcBorders>
              <w:top w:val="nil"/>
              <w:left w:val="nil"/>
              <w:bottom w:val="nil"/>
              <w:right w:val="nil"/>
            </w:tcBorders>
            <w:shd w:val="clear" w:color="auto" w:fill="auto"/>
            <w:hideMark/>
          </w:tcPr>
          <w:p w14:paraId="58940480"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Rice (1980)</w:t>
            </w:r>
          </w:p>
        </w:tc>
        <w:tc>
          <w:tcPr>
            <w:tcW w:w="1984" w:type="dxa"/>
            <w:tcBorders>
              <w:top w:val="nil"/>
              <w:left w:val="nil"/>
              <w:bottom w:val="nil"/>
              <w:right w:val="nil"/>
            </w:tcBorders>
            <w:shd w:val="clear" w:color="auto" w:fill="auto"/>
            <w:noWrap/>
            <w:vAlign w:val="center"/>
            <w:hideMark/>
          </w:tcPr>
          <w:p w14:paraId="417D814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06D59EB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4C37B4F7" w14:textId="77777777" w:rsidR="003F0CDB" w:rsidRPr="00EA0DC7" w:rsidRDefault="003F0CDB" w:rsidP="00957911">
            <w:pPr>
              <w:spacing w:line="240" w:lineRule="auto"/>
              <w:jc w:val="center"/>
              <w:rPr>
                <w:rFonts w:eastAsia="Times New Roman" w:cs="Arial"/>
                <w:szCs w:val="24"/>
              </w:rPr>
            </w:pPr>
          </w:p>
        </w:tc>
      </w:tr>
      <w:tr w:rsidR="00EA0DC7" w:rsidRPr="00EA0DC7" w14:paraId="0A119DCD" w14:textId="77777777" w:rsidTr="00891F1E">
        <w:trPr>
          <w:trHeight w:val="135"/>
        </w:trPr>
        <w:tc>
          <w:tcPr>
            <w:tcW w:w="3261" w:type="dxa"/>
            <w:tcBorders>
              <w:top w:val="nil"/>
              <w:left w:val="nil"/>
              <w:bottom w:val="nil"/>
              <w:right w:val="nil"/>
            </w:tcBorders>
            <w:shd w:val="clear" w:color="auto" w:fill="auto"/>
            <w:vAlign w:val="bottom"/>
            <w:hideMark/>
          </w:tcPr>
          <w:p w14:paraId="28A55915"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Linehan (1980)</w:t>
            </w:r>
          </w:p>
        </w:tc>
        <w:tc>
          <w:tcPr>
            <w:tcW w:w="1984" w:type="dxa"/>
            <w:tcBorders>
              <w:top w:val="nil"/>
              <w:left w:val="nil"/>
              <w:bottom w:val="nil"/>
              <w:right w:val="nil"/>
            </w:tcBorders>
            <w:shd w:val="clear" w:color="auto" w:fill="auto"/>
            <w:noWrap/>
            <w:vAlign w:val="center"/>
            <w:hideMark/>
          </w:tcPr>
          <w:p w14:paraId="6A57355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2EA766F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6724CE77" w14:textId="77777777" w:rsidR="003F0CDB" w:rsidRPr="00EA0DC7" w:rsidRDefault="003F0CDB" w:rsidP="00957911">
            <w:pPr>
              <w:spacing w:line="240" w:lineRule="auto"/>
              <w:jc w:val="center"/>
              <w:rPr>
                <w:rFonts w:eastAsia="Times New Roman" w:cs="Arial"/>
                <w:szCs w:val="24"/>
              </w:rPr>
            </w:pPr>
          </w:p>
        </w:tc>
      </w:tr>
      <w:tr w:rsidR="00EA0DC7" w:rsidRPr="00EA0DC7" w14:paraId="65615D9C" w14:textId="77777777" w:rsidTr="00891F1E">
        <w:trPr>
          <w:trHeight w:val="238"/>
        </w:trPr>
        <w:tc>
          <w:tcPr>
            <w:tcW w:w="3261" w:type="dxa"/>
            <w:tcBorders>
              <w:top w:val="nil"/>
              <w:left w:val="nil"/>
              <w:right w:val="nil"/>
            </w:tcBorders>
            <w:shd w:val="clear" w:color="auto" w:fill="auto"/>
            <w:hideMark/>
          </w:tcPr>
          <w:p w14:paraId="60DF6A88"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Beier &amp; Young (1980)</w:t>
            </w:r>
          </w:p>
        </w:tc>
        <w:tc>
          <w:tcPr>
            <w:tcW w:w="1984" w:type="dxa"/>
            <w:tcBorders>
              <w:top w:val="nil"/>
              <w:left w:val="nil"/>
              <w:right w:val="nil"/>
            </w:tcBorders>
            <w:shd w:val="clear" w:color="auto" w:fill="auto"/>
            <w:noWrap/>
            <w:vAlign w:val="center"/>
            <w:hideMark/>
          </w:tcPr>
          <w:p w14:paraId="7606D1EC" w14:textId="77777777" w:rsidR="003F0CDB" w:rsidRPr="00EA0DC7" w:rsidRDefault="003F0CDB" w:rsidP="00957911">
            <w:pPr>
              <w:spacing w:line="240" w:lineRule="auto"/>
              <w:jc w:val="center"/>
              <w:rPr>
                <w:rFonts w:eastAsia="Times New Roman" w:cs="Arial"/>
                <w:szCs w:val="24"/>
              </w:rPr>
            </w:pPr>
          </w:p>
        </w:tc>
        <w:tc>
          <w:tcPr>
            <w:tcW w:w="1559" w:type="dxa"/>
            <w:tcBorders>
              <w:top w:val="nil"/>
              <w:left w:val="nil"/>
              <w:right w:val="nil"/>
            </w:tcBorders>
            <w:shd w:val="clear" w:color="auto" w:fill="auto"/>
            <w:noWrap/>
            <w:vAlign w:val="center"/>
            <w:hideMark/>
          </w:tcPr>
          <w:p w14:paraId="7EB047D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4BC1D050" w14:textId="77777777" w:rsidR="003F0CDB" w:rsidRPr="00EA0DC7" w:rsidRDefault="003F0CDB" w:rsidP="00957911">
            <w:pPr>
              <w:spacing w:line="240" w:lineRule="auto"/>
              <w:jc w:val="center"/>
              <w:rPr>
                <w:rFonts w:eastAsia="Times New Roman" w:cs="Arial"/>
                <w:szCs w:val="24"/>
              </w:rPr>
            </w:pPr>
          </w:p>
        </w:tc>
      </w:tr>
      <w:tr w:rsidR="00EA0DC7" w:rsidRPr="00EA0DC7" w14:paraId="46937489" w14:textId="77777777" w:rsidTr="00891F1E">
        <w:trPr>
          <w:trHeight w:val="459"/>
        </w:trPr>
        <w:tc>
          <w:tcPr>
            <w:tcW w:w="3261" w:type="dxa"/>
            <w:tcBorders>
              <w:top w:val="nil"/>
              <w:left w:val="nil"/>
              <w:right w:val="nil"/>
            </w:tcBorders>
            <w:shd w:val="clear" w:color="auto" w:fill="auto"/>
            <w:vAlign w:val="bottom"/>
            <w:hideMark/>
          </w:tcPr>
          <w:p w14:paraId="63510DA0"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Stoltenberg (1981)</w:t>
            </w:r>
          </w:p>
        </w:tc>
        <w:tc>
          <w:tcPr>
            <w:tcW w:w="1984" w:type="dxa"/>
            <w:tcBorders>
              <w:top w:val="nil"/>
              <w:left w:val="nil"/>
              <w:right w:val="nil"/>
            </w:tcBorders>
            <w:shd w:val="clear" w:color="auto" w:fill="auto"/>
            <w:noWrap/>
            <w:vAlign w:val="center"/>
            <w:hideMark/>
          </w:tcPr>
          <w:p w14:paraId="378498C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74E6DCF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57B7F088" w14:textId="77777777" w:rsidR="003F0CDB" w:rsidRPr="00EA0DC7" w:rsidRDefault="003F0CDB" w:rsidP="00957911">
            <w:pPr>
              <w:spacing w:line="240" w:lineRule="auto"/>
              <w:jc w:val="center"/>
              <w:rPr>
                <w:rFonts w:eastAsia="Times New Roman" w:cs="Arial"/>
                <w:szCs w:val="24"/>
              </w:rPr>
            </w:pPr>
          </w:p>
        </w:tc>
      </w:tr>
      <w:tr w:rsidR="00EA0DC7" w:rsidRPr="00EA0DC7" w14:paraId="6BF2EABA" w14:textId="77777777" w:rsidTr="00891F1E">
        <w:trPr>
          <w:trHeight w:val="80"/>
        </w:trPr>
        <w:tc>
          <w:tcPr>
            <w:tcW w:w="3261" w:type="dxa"/>
            <w:tcBorders>
              <w:left w:val="nil"/>
              <w:bottom w:val="nil"/>
              <w:right w:val="nil"/>
            </w:tcBorders>
            <w:shd w:val="clear" w:color="auto" w:fill="auto"/>
            <w:vAlign w:val="bottom"/>
            <w:hideMark/>
          </w:tcPr>
          <w:p w14:paraId="21EA9186"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Loganbill et al. (1982)</w:t>
            </w:r>
          </w:p>
        </w:tc>
        <w:tc>
          <w:tcPr>
            <w:tcW w:w="1984" w:type="dxa"/>
            <w:tcBorders>
              <w:left w:val="nil"/>
              <w:bottom w:val="nil"/>
              <w:right w:val="nil"/>
            </w:tcBorders>
            <w:shd w:val="clear" w:color="auto" w:fill="auto"/>
            <w:noWrap/>
            <w:vAlign w:val="center"/>
            <w:hideMark/>
          </w:tcPr>
          <w:p w14:paraId="3EDD8EC8" w14:textId="77777777" w:rsidR="003F0CDB" w:rsidRPr="00EA0DC7" w:rsidRDefault="003F0CDB" w:rsidP="00957911">
            <w:pPr>
              <w:spacing w:line="240" w:lineRule="auto"/>
              <w:jc w:val="center"/>
              <w:rPr>
                <w:rFonts w:eastAsia="Times New Roman" w:cs="Arial"/>
                <w:szCs w:val="24"/>
              </w:rPr>
            </w:pPr>
          </w:p>
        </w:tc>
        <w:tc>
          <w:tcPr>
            <w:tcW w:w="1559" w:type="dxa"/>
            <w:tcBorders>
              <w:left w:val="nil"/>
              <w:bottom w:val="nil"/>
              <w:right w:val="nil"/>
            </w:tcBorders>
            <w:shd w:val="clear" w:color="auto" w:fill="auto"/>
            <w:noWrap/>
            <w:vAlign w:val="center"/>
            <w:hideMark/>
          </w:tcPr>
          <w:p w14:paraId="54BB64F9"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nil"/>
              <w:right w:val="nil"/>
            </w:tcBorders>
            <w:vAlign w:val="center"/>
          </w:tcPr>
          <w:p w14:paraId="341D87E3" w14:textId="77777777" w:rsidR="003F0CDB" w:rsidRPr="00EA0DC7" w:rsidRDefault="003F0CDB" w:rsidP="00957911">
            <w:pPr>
              <w:spacing w:line="240" w:lineRule="auto"/>
              <w:jc w:val="center"/>
              <w:rPr>
                <w:rFonts w:eastAsia="Times New Roman" w:cs="Arial"/>
                <w:szCs w:val="24"/>
              </w:rPr>
            </w:pPr>
          </w:p>
        </w:tc>
      </w:tr>
      <w:tr w:rsidR="00EA0DC7" w:rsidRPr="00EA0DC7" w14:paraId="747A81A3" w14:textId="77777777" w:rsidTr="00891F1E">
        <w:trPr>
          <w:trHeight w:val="80"/>
        </w:trPr>
        <w:tc>
          <w:tcPr>
            <w:tcW w:w="3261" w:type="dxa"/>
            <w:tcBorders>
              <w:top w:val="nil"/>
              <w:left w:val="nil"/>
              <w:right w:val="nil"/>
            </w:tcBorders>
            <w:shd w:val="clear" w:color="auto" w:fill="auto"/>
            <w:vAlign w:val="bottom"/>
            <w:hideMark/>
          </w:tcPr>
          <w:p w14:paraId="6123C48D"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Yogev (1982)</w:t>
            </w:r>
          </w:p>
        </w:tc>
        <w:tc>
          <w:tcPr>
            <w:tcW w:w="1984" w:type="dxa"/>
            <w:tcBorders>
              <w:top w:val="nil"/>
              <w:left w:val="nil"/>
              <w:bottom w:val="nil"/>
              <w:right w:val="nil"/>
            </w:tcBorders>
            <w:shd w:val="clear" w:color="auto" w:fill="auto"/>
            <w:noWrap/>
            <w:vAlign w:val="center"/>
            <w:hideMark/>
          </w:tcPr>
          <w:p w14:paraId="34382D1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6A278DD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0A798F48" w14:textId="77777777" w:rsidR="003F0CDB" w:rsidRPr="00EA0DC7" w:rsidRDefault="003F0CDB" w:rsidP="00957911">
            <w:pPr>
              <w:spacing w:line="240" w:lineRule="auto"/>
              <w:jc w:val="center"/>
              <w:rPr>
                <w:rFonts w:eastAsia="Times New Roman" w:cs="Arial"/>
                <w:szCs w:val="24"/>
              </w:rPr>
            </w:pPr>
          </w:p>
        </w:tc>
      </w:tr>
      <w:tr w:rsidR="00EA0DC7" w:rsidRPr="00EA0DC7" w14:paraId="0382D6F3" w14:textId="77777777" w:rsidTr="00891F1E">
        <w:trPr>
          <w:trHeight w:val="80"/>
        </w:trPr>
        <w:tc>
          <w:tcPr>
            <w:tcW w:w="3261" w:type="dxa"/>
            <w:shd w:val="clear" w:color="auto" w:fill="auto"/>
            <w:vAlign w:val="bottom"/>
            <w:hideMark/>
          </w:tcPr>
          <w:p w14:paraId="1ACC4B2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Blocher (1983)</w:t>
            </w:r>
          </w:p>
        </w:tc>
        <w:tc>
          <w:tcPr>
            <w:tcW w:w="1984" w:type="dxa"/>
            <w:tcBorders>
              <w:top w:val="nil"/>
              <w:left w:val="nil"/>
              <w:bottom w:val="nil"/>
              <w:right w:val="nil"/>
            </w:tcBorders>
            <w:shd w:val="clear" w:color="auto" w:fill="auto"/>
            <w:noWrap/>
            <w:vAlign w:val="center"/>
            <w:hideMark/>
          </w:tcPr>
          <w:p w14:paraId="2A6C7B5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1EC3FCA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5FC0D39B" w14:textId="77777777" w:rsidR="003F0CDB" w:rsidRPr="00EA0DC7" w:rsidRDefault="003F0CDB" w:rsidP="00957911">
            <w:pPr>
              <w:spacing w:line="240" w:lineRule="auto"/>
              <w:jc w:val="center"/>
              <w:rPr>
                <w:rFonts w:eastAsia="Times New Roman" w:cs="Arial"/>
                <w:szCs w:val="24"/>
              </w:rPr>
            </w:pPr>
          </w:p>
        </w:tc>
      </w:tr>
      <w:tr w:rsidR="00EA0DC7" w:rsidRPr="00EA0DC7" w14:paraId="64DA1579" w14:textId="77777777" w:rsidTr="00891F1E">
        <w:trPr>
          <w:trHeight w:val="80"/>
        </w:trPr>
        <w:tc>
          <w:tcPr>
            <w:tcW w:w="3261" w:type="dxa"/>
            <w:shd w:val="clear" w:color="auto" w:fill="auto"/>
          </w:tcPr>
          <w:p w14:paraId="4D7CE27F"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Bordin (1983)</w:t>
            </w:r>
          </w:p>
        </w:tc>
        <w:tc>
          <w:tcPr>
            <w:tcW w:w="1984" w:type="dxa"/>
            <w:tcBorders>
              <w:top w:val="nil"/>
              <w:left w:val="nil"/>
              <w:bottom w:val="nil"/>
              <w:right w:val="nil"/>
            </w:tcBorders>
            <w:shd w:val="clear" w:color="auto" w:fill="auto"/>
            <w:noWrap/>
            <w:vAlign w:val="center"/>
            <w:hideMark/>
          </w:tcPr>
          <w:p w14:paraId="4B0A012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59DACE9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3A33809F" w14:textId="77777777" w:rsidR="003F0CDB" w:rsidRPr="00EA0DC7" w:rsidRDefault="003F0CDB" w:rsidP="00957911">
            <w:pPr>
              <w:spacing w:line="240" w:lineRule="auto"/>
              <w:jc w:val="center"/>
              <w:rPr>
                <w:rFonts w:eastAsia="Times New Roman" w:cs="Arial"/>
                <w:szCs w:val="24"/>
              </w:rPr>
            </w:pPr>
          </w:p>
        </w:tc>
      </w:tr>
      <w:tr w:rsidR="00EA0DC7" w:rsidRPr="00EA0DC7" w14:paraId="7CE6DC70" w14:textId="77777777" w:rsidTr="00891F1E">
        <w:trPr>
          <w:trHeight w:val="80"/>
        </w:trPr>
        <w:tc>
          <w:tcPr>
            <w:tcW w:w="3261" w:type="dxa"/>
            <w:tcBorders>
              <w:left w:val="nil"/>
              <w:bottom w:val="nil"/>
              <w:right w:val="nil"/>
            </w:tcBorders>
            <w:shd w:val="clear" w:color="auto" w:fill="auto"/>
            <w:vAlign w:val="bottom"/>
            <w:hideMark/>
          </w:tcPr>
          <w:p w14:paraId="1D76A843"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Hosford &amp; Barmann (1983)</w:t>
            </w:r>
          </w:p>
        </w:tc>
        <w:tc>
          <w:tcPr>
            <w:tcW w:w="1984" w:type="dxa"/>
            <w:tcBorders>
              <w:top w:val="nil"/>
              <w:left w:val="nil"/>
              <w:bottom w:val="nil"/>
              <w:right w:val="nil"/>
            </w:tcBorders>
            <w:shd w:val="clear" w:color="auto" w:fill="auto"/>
            <w:noWrap/>
            <w:vAlign w:val="center"/>
            <w:hideMark/>
          </w:tcPr>
          <w:p w14:paraId="6C21DBF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6A018E5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58BD9AC2" w14:textId="77777777" w:rsidR="003F0CDB" w:rsidRPr="00EA0DC7" w:rsidRDefault="003F0CDB" w:rsidP="00957911">
            <w:pPr>
              <w:spacing w:line="240" w:lineRule="auto"/>
              <w:jc w:val="center"/>
              <w:rPr>
                <w:rFonts w:eastAsia="Times New Roman" w:cs="Arial"/>
                <w:szCs w:val="24"/>
              </w:rPr>
            </w:pPr>
          </w:p>
        </w:tc>
      </w:tr>
      <w:tr w:rsidR="00EA0DC7" w:rsidRPr="00EA0DC7" w14:paraId="27B90989" w14:textId="77777777" w:rsidTr="00891F1E">
        <w:trPr>
          <w:trHeight w:val="80"/>
        </w:trPr>
        <w:tc>
          <w:tcPr>
            <w:tcW w:w="3261" w:type="dxa"/>
            <w:tcBorders>
              <w:top w:val="nil"/>
              <w:left w:val="nil"/>
              <w:bottom w:val="single" w:sz="4" w:space="0" w:color="auto"/>
              <w:right w:val="nil"/>
            </w:tcBorders>
            <w:shd w:val="clear" w:color="auto" w:fill="auto"/>
            <w:vAlign w:val="bottom"/>
            <w:hideMark/>
          </w:tcPr>
          <w:p w14:paraId="3FA3BE55"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Patterson (1983)</w:t>
            </w:r>
          </w:p>
        </w:tc>
        <w:tc>
          <w:tcPr>
            <w:tcW w:w="1984" w:type="dxa"/>
            <w:tcBorders>
              <w:top w:val="nil"/>
              <w:left w:val="nil"/>
              <w:bottom w:val="single" w:sz="4" w:space="0" w:color="auto"/>
              <w:right w:val="nil"/>
            </w:tcBorders>
            <w:shd w:val="clear" w:color="auto" w:fill="auto"/>
            <w:noWrap/>
            <w:vAlign w:val="center"/>
            <w:hideMark/>
          </w:tcPr>
          <w:p w14:paraId="07C9904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single" w:sz="4" w:space="0" w:color="auto"/>
              <w:right w:val="nil"/>
            </w:tcBorders>
            <w:shd w:val="clear" w:color="auto" w:fill="auto"/>
            <w:noWrap/>
            <w:vAlign w:val="center"/>
            <w:hideMark/>
          </w:tcPr>
          <w:p w14:paraId="5AB0E5F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vAlign w:val="center"/>
          </w:tcPr>
          <w:p w14:paraId="4F73C77E" w14:textId="77777777" w:rsidR="003F0CDB" w:rsidRPr="00EA0DC7" w:rsidRDefault="003F0CDB" w:rsidP="00957911">
            <w:pPr>
              <w:spacing w:line="240" w:lineRule="auto"/>
              <w:jc w:val="center"/>
              <w:rPr>
                <w:rFonts w:eastAsia="Times New Roman" w:cs="Arial"/>
                <w:szCs w:val="24"/>
              </w:rPr>
            </w:pPr>
          </w:p>
        </w:tc>
      </w:tr>
      <w:tr w:rsidR="00EA0DC7" w:rsidRPr="00EA0DC7" w14:paraId="13E355AD" w14:textId="77777777" w:rsidTr="00891F1E">
        <w:trPr>
          <w:trHeight w:val="80"/>
        </w:trPr>
        <w:tc>
          <w:tcPr>
            <w:tcW w:w="3261" w:type="dxa"/>
            <w:tcBorders>
              <w:top w:val="single" w:sz="4" w:space="0" w:color="auto"/>
              <w:left w:val="nil"/>
              <w:bottom w:val="single" w:sz="4" w:space="0" w:color="auto"/>
              <w:right w:val="nil"/>
            </w:tcBorders>
            <w:shd w:val="clear" w:color="auto" w:fill="auto"/>
            <w:vAlign w:val="center"/>
          </w:tcPr>
          <w:p w14:paraId="7AD6389D" w14:textId="77777777" w:rsidR="005016CB" w:rsidRPr="00EA0DC7" w:rsidRDefault="005016CB" w:rsidP="005016CB">
            <w:pPr>
              <w:spacing w:before="240" w:after="0" w:line="240" w:lineRule="auto"/>
              <w:jc w:val="center"/>
              <w:rPr>
                <w:rFonts w:eastAsia="Times New Roman" w:cs="Arial"/>
                <w:b/>
                <w:bCs/>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shd w:val="clear" w:color="auto" w:fill="auto"/>
            <w:noWrap/>
            <w:vAlign w:val="center"/>
          </w:tcPr>
          <w:p w14:paraId="0746E16A" w14:textId="77777777"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supervisee</w:t>
            </w:r>
          </w:p>
        </w:tc>
        <w:tc>
          <w:tcPr>
            <w:tcW w:w="1559" w:type="dxa"/>
            <w:tcBorders>
              <w:top w:val="single" w:sz="4" w:space="0" w:color="auto"/>
              <w:left w:val="nil"/>
              <w:bottom w:val="single" w:sz="4" w:space="0" w:color="auto"/>
              <w:right w:val="nil"/>
            </w:tcBorders>
            <w:shd w:val="clear" w:color="auto" w:fill="auto"/>
            <w:noWrap/>
            <w:vAlign w:val="center"/>
          </w:tcPr>
          <w:p w14:paraId="45425515" w14:textId="585CA717"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w:t>
            </w:r>
            <w:r w:rsidR="00891F1E" w:rsidRPr="00EA0DC7">
              <w:rPr>
                <w:rFonts w:eastAsia="Times New Roman" w:cs="Arial"/>
                <w:b/>
                <w:bCs/>
                <w:szCs w:val="24"/>
              </w:rPr>
              <w:t>-</w:t>
            </w:r>
            <w:r w:rsidRPr="00EA0DC7">
              <w:rPr>
                <w:rFonts w:eastAsia="Times New Roman" w:cs="Arial"/>
                <w:b/>
                <w:bCs/>
                <w:szCs w:val="24"/>
              </w:rPr>
              <w:t>ip between supervisee and client</w:t>
            </w:r>
          </w:p>
        </w:tc>
        <w:tc>
          <w:tcPr>
            <w:tcW w:w="1701" w:type="dxa"/>
            <w:tcBorders>
              <w:top w:val="single" w:sz="4" w:space="0" w:color="auto"/>
              <w:left w:val="nil"/>
              <w:bottom w:val="single" w:sz="4" w:space="0" w:color="auto"/>
              <w:right w:val="nil"/>
            </w:tcBorders>
            <w:vAlign w:val="center"/>
          </w:tcPr>
          <w:p w14:paraId="1CC6DB9A" w14:textId="77777777"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client</w:t>
            </w:r>
          </w:p>
        </w:tc>
      </w:tr>
      <w:tr w:rsidR="00EA0DC7" w:rsidRPr="00EA0DC7" w14:paraId="698A1DBB" w14:textId="77777777" w:rsidTr="00891F1E">
        <w:trPr>
          <w:trHeight w:val="80"/>
        </w:trPr>
        <w:tc>
          <w:tcPr>
            <w:tcW w:w="3261" w:type="dxa"/>
            <w:tcBorders>
              <w:top w:val="single" w:sz="4" w:space="0" w:color="auto"/>
              <w:left w:val="nil"/>
              <w:bottom w:val="nil"/>
              <w:right w:val="nil"/>
            </w:tcBorders>
            <w:shd w:val="clear" w:color="auto" w:fill="auto"/>
            <w:vAlign w:val="bottom"/>
            <w:hideMark/>
          </w:tcPr>
          <w:p w14:paraId="00AFA1AB" w14:textId="77777777" w:rsidR="003F0CDB" w:rsidRPr="00EA0DC7" w:rsidRDefault="003F0CDB" w:rsidP="005016CB">
            <w:pPr>
              <w:spacing w:before="240" w:line="240" w:lineRule="auto"/>
              <w:jc w:val="left"/>
              <w:rPr>
                <w:rFonts w:eastAsia="Times New Roman" w:cs="Arial"/>
                <w:szCs w:val="24"/>
              </w:rPr>
            </w:pPr>
            <w:r w:rsidRPr="00EA0DC7">
              <w:rPr>
                <w:rFonts w:eastAsia="Times New Roman" w:cs="Arial"/>
                <w:szCs w:val="24"/>
              </w:rPr>
              <w:t>Wessler &amp; Ellis (1983)</w:t>
            </w:r>
          </w:p>
        </w:tc>
        <w:tc>
          <w:tcPr>
            <w:tcW w:w="1984" w:type="dxa"/>
            <w:tcBorders>
              <w:top w:val="single" w:sz="4" w:space="0" w:color="auto"/>
              <w:left w:val="nil"/>
              <w:bottom w:val="nil"/>
              <w:right w:val="nil"/>
            </w:tcBorders>
            <w:shd w:val="clear" w:color="auto" w:fill="auto"/>
            <w:noWrap/>
            <w:vAlign w:val="center"/>
            <w:hideMark/>
          </w:tcPr>
          <w:p w14:paraId="6CD9C8E0" w14:textId="77777777" w:rsidR="003F0CDB" w:rsidRPr="00EA0DC7" w:rsidRDefault="003F0CDB" w:rsidP="00957911">
            <w:pPr>
              <w:spacing w:line="240" w:lineRule="auto"/>
              <w:jc w:val="center"/>
              <w:rPr>
                <w:rFonts w:eastAsia="Times New Roman" w:cs="Arial"/>
                <w:szCs w:val="24"/>
              </w:rPr>
            </w:pPr>
          </w:p>
        </w:tc>
        <w:tc>
          <w:tcPr>
            <w:tcW w:w="1559" w:type="dxa"/>
            <w:tcBorders>
              <w:top w:val="single" w:sz="4" w:space="0" w:color="auto"/>
              <w:left w:val="nil"/>
              <w:bottom w:val="nil"/>
              <w:right w:val="nil"/>
            </w:tcBorders>
            <w:shd w:val="clear" w:color="auto" w:fill="auto"/>
            <w:noWrap/>
            <w:vAlign w:val="center"/>
            <w:hideMark/>
          </w:tcPr>
          <w:p w14:paraId="79FC3C9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single" w:sz="4" w:space="0" w:color="auto"/>
              <w:left w:val="nil"/>
              <w:bottom w:val="nil"/>
              <w:right w:val="nil"/>
            </w:tcBorders>
            <w:vAlign w:val="center"/>
          </w:tcPr>
          <w:p w14:paraId="5CACBAE0" w14:textId="77777777" w:rsidR="003F0CDB" w:rsidRPr="00EA0DC7" w:rsidRDefault="003F0CDB" w:rsidP="00957911">
            <w:pPr>
              <w:spacing w:line="240" w:lineRule="auto"/>
              <w:jc w:val="center"/>
              <w:rPr>
                <w:rFonts w:eastAsia="Times New Roman" w:cs="Arial"/>
                <w:szCs w:val="24"/>
              </w:rPr>
            </w:pPr>
          </w:p>
        </w:tc>
      </w:tr>
      <w:tr w:rsidR="00EA0DC7" w:rsidRPr="00EA0DC7" w14:paraId="26159C36" w14:textId="77777777" w:rsidTr="00891F1E">
        <w:trPr>
          <w:trHeight w:val="80"/>
        </w:trPr>
        <w:tc>
          <w:tcPr>
            <w:tcW w:w="3261" w:type="dxa"/>
            <w:tcBorders>
              <w:top w:val="nil"/>
              <w:left w:val="nil"/>
              <w:right w:val="nil"/>
            </w:tcBorders>
            <w:shd w:val="clear" w:color="auto" w:fill="auto"/>
            <w:vAlign w:val="bottom"/>
            <w:hideMark/>
          </w:tcPr>
          <w:p w14:paraId="72A38086"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Connell (1984)</w:t>
            </w:r>
          </w:p>
        </w:tc>
        <w:tc>
          <w:tcPr>
            <w:tcW w:w="1984" w:type="dxa"/>
            <w:tcBorders>
              <w:top w:val="nil"/>
              <w:left w:val="nil"/>
              <w:right w:val="nil"/>
            </w:tcBorders>
            <w:shd w:val="clear" w:color="auto" w:fill="auto"/>
            <w:noWrap/>
            <w:vAlign w:val="center"/>
            <w:hideMark/>
          </w:tcPr>
          <w:p w14:paraId="05867C9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13671DC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75ED279D" w14:textId="77777777" w:rsidR="003F0CDB" w:rsidRPr="00EA0DC7" w:rsidRDefault="003F0CDB" w:rsidP="00957911">
            <w:pPr>
              <w:spacing w:line="240" w:lineRule="auto"/>
              <w:jc w:val="center"/>
              <w:rPr>
                <w:rFonts w:eastAsia="Times New Roman" w:cs="Arial"/>
                <w:szCs w:val="24"/>
              </w:rPr>
            </w:pPr>
          </w:p>
        </w:tc>
      </w:tr>
      <w:tr w:rsidR="00EA0DC7" w:rsidRPr="00EA0DC7" w14:paraId="11FCC481" w14:textId="77777777" w:rsidTr="00891F1E">
        <w:trPr>
          <w:trHeight w:val="80"/>
        </w:trPr>
        <w:tc>
          <w:tcPr>
            <w:tcW w:w="3261" w:type="dxa"/>
            <w:tcBorders>
              <w:top w:val="nil"/>
              <w:left w:val="nil"/>
              <w:right w:val="nil"/>
            </w:tcBorders>
            <w:shd w:val="clear" w:color="auto" w:fill="auto"/>
            <w:vAlign w:val="bottom"/>
            <w:hideMark/>
          </w:tcPr>
          <w:p w14:paraId="261685EE"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Grater (1985)</w:t>
            </w:r>
          </w:p>
        </w:tc>
        <w:tc>
          <w:tcPr>
            <w:tcW w:w="1984" w:type="dxa"/>
            <w:tcBorders>
              <w:top w:val="nil"/>
              <w:left w:val="nil"/>
              <w:right w:val="nil"/>
            </w:tcBorders>
            <w:shd w:val="clear" w:color="auto" w:fill="auto"/>
            <w:noWrap/>
            <w:vAlign w:val="center"/>
            <w:hideMark/>
          </w:tcPr>
          <w:p w14:paraId="491CCBC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70C2AD1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77765737" w14:textId="77777777" w:rsidR="003F0CDB" w:rsidRPr="00EA0DC7" w:rsidRDefault="003F0CDB" w:rsidP="00957911">
            <w:pPr>
              <w:spacing w:line="240" w:lineRule="auto"/>
              <w:jc w:val="center"/>
              <w:rPr>
                <w:rFonts w:eastAsia="Times New Roman" w:cs="Arial"/>
                <w:szCs w:val="24"/>
              </w:rPr>
            </w:pPr>
          </w:p>
        </w:tc>
      </w:tr>
      <w:tr w:rsidR="00EA0DC7" w:rsidRPr="00EA0DC7" w14:paraId="2CE7D2E5" w14:textId="77777777" w:rsidTr="00891F1E">
        <w:trPr>
          <w:trHeight w:val="80"/>
        </w:trPr>
        <w:tc>
          <w:tcPr>
            <w:tcW w:w="3261" w:type="dxa"/>
            <w:tcBorders>
              <w:left w:val="nil"/>
              <w:right w:val="nil"/>
            </w:tcBorders>
            <w:shd w:val="clear" w:color="auto" w:fill="auto"/>
            <w:vAlign w:val="bottom"/>
            <w:hideMark/>
          </w:tcPr>
          <w:p w14:paraId="3D6C861D"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Friedmand &amp; Kaslow (1986)</w:t>
            </w:r>
          </w:p>
        </w:tc>
        <w:tc>
          <w:tcPr>
            <w:tcW w:w="1984" w:type="dxa"/>
            <w:tcBorders>
              <w:left w:val="nil"/>
              <w:right w:val="nil"/>
            </w:tcBorders>
            <w:shd w:val="clear" w:color="auto" w:fill="auto"/>
            <w:noWrap/>
            <w:vAlign w:val="center"/>
            <w:hideMark/>
          </w:tcPr>
          <w:p w14:paraId="0761D0A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left w:val="nil"/>
              <w:right w:val="nil"/>
            </w:tcBorders>
            <w:shd w:val="clear" w:color="auto" w:fill="auto"/>
            <w:noWrap/>
            <w:vAlign w:val="center"/>
            <w:hideMark/>
          </w:tcPr>
          <w:p w14:paraId="4E8DEFB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3631BB36" w14:textId="77777777" w:rsidR="003F0CDB" w:rsidRPr="00EA0DC7" w:rsidRDefault="003F0CDB" w:rsidP="00957911">
            <w:pPr>
              <w:spacing w:line="240" w:lineRule="auto"/>
              <w:jc w:val="center"/>
              <w:rPr>
                <w:rFonts w:eastAsia="Times New Roman" w:cs="Arial"/>
                <w:szCs w:val="24"/>
              </w:rPr>
            </w:pPr>
          </w:p>
        </w:tc>
      </w:tr>
      <w:tr w:rsidR="00EA0DC7" w:rsidRPr="00EA0DC7" w14:paraId="4D155F41" w14:textId="77777777" w:rsidTr="00891F1E">
        <w:trPr>
          <w:trHeight w:val="80"/>
        </w:trPr>
        <w:tc>
          <w:tcPr>
            <w:tcW w:w="3261" w:type="dxa"/>
            <w:tcBorders>
              <w:top w:val="nil"/>
              <w:left w:val="nil"/>
              <w:bottom w:val="nil"/>
              <w:right w:val="nil"/>
            </w:tcBorders>
            <w:shd w:val="clear" w:color="auto" w:fill="auto"/>
            <w:vAlign w:val="bottom"/>
            <w:hideMark/>
          </w:tcPr>
          <w:p w14:paraId="54927195"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Hess (1986)</w:t>
            </w:r>
          </w:p>
        </w:tc>
        <w:tc>
          <w:tcPr>
            <w:tcW w:w="1984" w:type="dxa"/>
            <w:tcBorders>
              <w:top w:val="nil"/>
              <w:left w:val="nil"/>
              <w:bottom w:val="nil"/>
              <w:right w:val="nil"/>
            </w:tcBorders>
            <w:shd w:val="clear" w:color="auto" w:fill="auto"/>
            <w:noWrap/>
            <w:vAlign w:val="center"/>
            <w:hideMark/>
          </w:tcPr>
          <w:p w14:paraId="111C4B8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058A5130"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26595B6E" w14:textId="77777777" w:rsidR="003F0CDB" w:rsidRPr="00EA0DC7" w:rsidRDefault="003F0CDB" w:rsidP="00957911">
            <w:pPr>
              <w:spacing w:line="240" w:lineRule="auto"/>
              <w:jc w:val="center"/>
              <w:rPr>
                <w:rFonts w:eastAsia="Times New Roman" w:cs="Arial"/>
                <w:szCs w:val="24"/>
              </w:rPr>
            </w:pPr>
          </w:p>
        </w:tc>
      </w:tr>
      <w:tr w:rsidR="00EA0DC7" w:rsidRPr="00EA0DC7" w14:paraId="12FD3B75" w14:textId="77777777" w:rsidTr="00891F1E">
        <w:trPr>
          <w:trHeight w:val="80"/>
        </w:trPr>
        <w:tc>
          <w:tcPr>
            <w:tcW w:w="3261" w:type="dxa"/>
            <w:tcBorders>
              <w:top w:val="nil"/>
              <w:left w:val="nil"/>
              <w:bottom w:val="nil"/>
              <w:right w:val="nil"/>
            </w:tcBorders>
            <w:shd w:val="clear" w:color="auto" w:fill="auto"/>
            <w:vAlign w:val="bottom"/>
            <w:hideMark/>
          </w:tcPr>
          <w:p w14:paraId="47F427B7"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Stoltenberg &amp; Delworth (1987)</w:t>
            </w:r>
          </w:p>
        </w:tc>
        <w:tc>
          <w:tcPr>
            <w:tcW w:w="1984" w:type="dxa"/>
            <w:tcBorders>
              <w:top w:val="nil"/>
              <w:left w:val="nil"/>
              <w:bottom w:val="nil"/>
              <w:right w:val="nil"/>
            </w:tcBorders>
            <w:shd w:val="clear" w:color="auto" w:fill="auto"/>
            <w:noWrap/>
            <w:vAlign w:val="center"/>
            <w:hideMark/>
          </w:tcPr>
          <w:p w14:paraId="7CA46EE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4B402C9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77FBD3E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EA0DC7" w:rsidRPr="00EA0DC7" w14:paraId="5C63AE82" w14:textId="77777777" w:rsidTr="00891F1E">
        <w:trPr>
          <w:trHeight w:val="80"/>
        </w:trPr>
        <w:tc>
          <w:tcPr>
            <w:tcW w:w="3261" w:type="dxa"/>
            <w:tcBorders>
              <w:top w:val="nil"/>
              <w:left w:val="nil"/>
              <w:bottom w:val="nil"/>
              <w:right w:val="nil"/>
            </w:tcBorders>
            <w:shd w:val="clear" w:color="auto" w:fill="auto"/>
            <w:vAlign w:val="bottom"/>
            <w:hideMark/>
          </w:tcPr>
          <w:p w14:paraId="17DEB8C5"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Ault-Riche (1988)</w:t>
            </w:r>
          </w:p>
        </w:tc>
        <w:tc>
          <w:tcPr>
            <w:tcW w:w="1984" w:type="dxa"/>
            <w:tcBorders>
              <w:top w:val="nil"/>
              <w:left w:val="nil"/>
              <w:bottom w:val="nil"/>
              <w:right w:val="nil"/>
            </w:tcBorders>
            <w:shd w:val="clear" w:color="auto" w:fill="auto"/>
            <w:noWrap/>
            <w:vAlign w:val="center"/>
            <w:hideMark/>
          </w:tcPr>
          <w:p w14:paraId="5663190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32C536D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52D54FD0" w14:textId="77777777" w:rsidR="003F0CDB" w:rsidRPr="00EA0DC7" w:rsidRDefault="003F0CDB" w:rsidP="00957911">
            <w:pPr>
              <w:spacing w:line="240" w:lineRule="auto"/>
              <w:jc w:val="center"/>
              <w:rPr>
                <w:rFonts w:eastAsia="Times New Roman" w:cs="Arial"/>
                <w:szCs w:val="24"/>
              </w:rPr>
            </w:pPr>
          </w:p>
        </w:tc>
      </w:tr>
      <w:tr w:rsidR="00EA0DC7" w:rsidRPr="00EA0DC7" w14:paraId="37A73A9A" w14:textId="77777777" w:rsidTr="00891F1E">
        <w:trPr>
          <w:trHeight w:val="80"/>
        </w:trPr>
        <w:tc>
          <w:tcPr>
            <w:tcW w:w="3261" w:type="dxa"/>
            <w:tcBorders>
              <w:top w:val="nil"/>
              <w:left w:val="nil"/>
              <w:right w:val="nil"/>
            </w:tcBorders>
            <w:shd w:val="clear" w:color="auto" w:fill="auto"/>
            <w:vAlign w:val="bottom"/>
            <w:hideMark/>
          </w:tcPr>
          <w:p w14:paraId="772AAA28"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Watkins (1990)</w:t>
            </w:r>
          </w:p>
        </w:tc>
        <w:tc>
          <w:tcPr>
            <w:tcW w:w="1984" w:type="dxa"/>
            <w:tcBorders>
              <w:top w:val="nil"/>
              <w:left w:val="nil"/>
              <w:right w:val="nil"/>
            </w:tcBorders>
            <w:shd w:val="clear" w:color="auto" w:fill="auto"/>
            <w:noWrap/>
            <w:vAlign w:val="center"/>
            <w:hideMark/>
          </w:tcPr>
          <w:p w14:paraId="3ACEC72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29BBF2E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2A631EF4" w14:textId="77777777" w:rsidR="003F0CDB" w:rsidRPr="00EA0DC7" w:rsidRDefault="003F0CDB" w:rsidP="00957911">
            <w:pPr>
              <w:spacing w:line="240" w:lineRule="auto"/>
              <w:jc w:val="center"/>
              <w:rPr>
                <w:rFonts w:eastAsia="Times New Roman" w:cs="Arial"/>
                <w:szCs w:val="24"/>
              </w:rPr>
            </w:pPr>
          </w:p>
        </w:tc>
      </w:tr>
      <w:tr w:rsidR="00EA0DC7" w:rsidRPr="00EA0DC7" w14:paraId="1C517A46" w14:textId="77777777" w:rsidTr="00891F1E">
        <w:trPr>
          <w:trHeight w:val="80"/>
        </w:trPr>
        <w:tc>
          <w:tcPr>
            <w:tcW w:w="3261" w:type="dxa"/>
            <w:tcBorders>
              <w:top w:val="nil"/>
              <w:left w:val="nil"/>
              <w:right w:val="nil"/>
            </w:tcBorders>
            <w:shd w:val="clear" w:color="auto" w:fill="auto"/>
            <w:vAlign w:val="bottom"/>
            <w:hideMark/>
          </w:tcPr>
          <w:p w14:paraId="257FF61F"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Wetchler (1990)</w:t>
            </w:r>
          </w:p>
        </w:tc>
        <w:tc>
          <w:tcPr>
            <w:tcW w:w="1984" w:type="dxa"/>
            <w:tcBorders>
              <w:top w:val="nil"/>
              <w:left w:val="nil"/>
              <w:right w:val="nil"/>
            </w:tcBorders>
            <w:shd w:val="clear" w:color="auto" w:fill="auto"/>
            <w:noWrap/>
            <w:vAlign w:val="center"/>
            <w:hideMark/>
          </w:tcPr>
          <w:p w14:paraId="3911C460" w14:textId="77777777" w:rsidR="003F0CDB" w:rsidRPr="00EA0DC7" w:rsidRDefault="003F0CDB" w:rsidP="00957911">
            <w:pPr>
              <w:spacing w:line="240" w:lineRule="auto"/>
              <w:jc w:val="center"/>
              <w:rPr>
                <w:rFonts w:eastAsia="Times New Roman" w:cs="Arial"/>
                <w:szCs w:val="24"/>
              </w:rPr>
            </w:pPr>
          </w:p>
        </w:tc>
        <w:tc>
          <w:tcPr>
            <w:tcW w:w="1559" w:type="dxa"/>
            <w:tcBorders>
              <w:top w:val="nil"/>
              <w:left w:val="nil"/>
              <w:right w:val="nil"/>
            </w:tcBorders>
            <w:shd w:val="clear" w:color="auto" w:fill="auto"/>
            <w:noWrap/>
            <w:vAlign w:val="center"/>
            <w:hideMark/>
          </w:tcPr>
          <w:p w14:paraId="79A76AC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26B8D85F" w14:textId="77777777" w:rsidR="003F0CDB" w:rsidRPr="00EA0DC7" w:rsidRDefault="003F0CDB" w:rsidP="00957911">
            <w:pPr>
              <w:spacing w:line="240" w:lineRule="auto"/>
              <w:jc w:val="center"/>
              <w:rPr>
                <w:rFonts w:eastAsia="Times New Roman" w:cs="Arial"/>
                <w:szCs w:val="24"/>
              </w:rPr>
            </w:pPr>
          </w:p>
        </w:tc>
      </w:tr>
      <w:tr w:rsidR="00EA0DC7" w:rsidRPr="00EA0DC7" w14:paraId="37CB354A" w14:textId="77777777" w:rsidTr="00891F1E">
        <w:trPr>
          <w:trHeight w:val="80"/>
        </w:trPr>
        <w:tc>
          <w:tcPr>
            <w:tcW w:w="3261" w:type="dxa"/>
            <w:tcBorders>
              <w:left w:val="nil"/>
              <w:bottom w:val="nil"/>
              <w:right w:val="nil"/>
            </w:tcBorders>
            <w:shd w:val="clear" w:color="auto" w:fill="auto"/>
            <w:vAlign w:val="bottom"/>
            <w:hideMark/>
          </w:tcPr>
          <w:p w14:paraId="7CCC8706"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Mead (1990)</w:t>
            </w:r>
          </w:p>
        </w:tc>
        <w:tc>
          <w:tcPr>
            <w:tcW w:w="1984" w:type="dxa"/>
            <w:tcBorders>
              <w:left w:val="nil"/>
              <w:bottom w:val="nil"/>
              <w:right w:val="nil"/>
            </w:tcBorders>
            <w:shd w:val="clear" w:color="auto" w:fill="auto"/>
            <w:noWrap/>
            <w:vAlign w:val="center"/>
            <w:hideMark/>
          </w:tcPr>
          <w:p w14:paraId="4D64E8D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left w:val="nil"/>
              <w:bottom w:val="nil"/>
              <w:right w:val="nil"/>
            </w:tcBorders>
            <w:shd w:val="clear" w:color="auto" w:fill="auto"/>
            <w:noWrap/>
            <w:vAlign w:val="center"/>
            <w:hideMark/>
          </w:tcPr>
          <w:p w14:paraId="33455D1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07112528" w14:textId="77777777" w:rsidR="003F0CDB" w:rsidRPr="00EA0DC7" w:rsidRDefault="003F0CDB" w:rsidP="00957911">
            <w:pPr>
              <w:spacing w:line="240" w:lineRule="auto"/>
              <w:jc w:val="center"/>
              <w:rPr>
                <w:rFonts w:eastAsia="Times New Roman" w:cs="Arial"/>
                <w:szCs w:val="24"/>
              </w:rPr>
            </w:pPr>
          </w:p>
        </w:tc>
      </w:tr>
      <w:tr w:rsidR="00EA0DC7" w:rsidRPr="00EA0DC7" w14:paraId="00F49B08" w14:textId="77777777" w:rsidTr="00891F1E">
        <w:trPr>
          <w:trHeight w:val="80"/>
        </w:trPr>
        <w:tc>
          <w:tcPr>
            <w:tcW w:w="3261" w:type="dxa"/>
            <w:tcBorders>
              <w:top w:val="nil"/>
              <w:left w:val="nil"/>
              <w:bottom w:val="nil"/>
              <w:right w:val="nil"/>
            </w:tcBorders>
            <w:shd w:val="clear" w:color="auto" w:fill="auto"/>
            <w:vAlign w:val="bottom"/>
            <w:hideMark/>
          </w:tcPr>
          <w:p w14:paraId="09C835D9"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Hawkins &amp; Shohet (1993)</w:t>
            </w:r>
          </w:p>
        </w:tc>
        <w:tc>
          <w:tcPr>
            <w:tcW w:w="1984" w:type="dxa"/>
            <w:tcBorders>
              <w:top w:val="nil"/>
              <w:left w:val="nil"/>
              <w:bottom w:val="nil"/>
              <w:right w:val="nil"/>
            </w:tcBorders>
            <w:shd w:val="clear" w:color="auto" w:fill="auto"/>
            <w:noWrap/>
            <w:vAlign w:val="center"/>
            <w:hideMark/>
          </w:tcPr>
          <w:p w14:paraId="60C670C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37E0EC1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4ACEF75E" w14:textId="77777777" w:rsidR="003F0CDB" w:rsidRPr="00EA0DC7" w:rsidRDefault="003F0CDB" w:rsidP="00957911">
            <w:pPr>
              <w:spacing w:line="240" w:lineRule="auto"/>
              <w:jc w:val="center"/>
              <w:rPr>
                <w:rFonts w:eastAsia="Times New Roman" w:cs="Arial"/>
                <w:szCs w:val="24"/>
              </w:rPr>
            </w:pPr>
          </w:p>
        </w:tc>
      </w:tr>
      <w:tr w:rsidR="00EA0DC7" w:rsidRPr="00EA0DC7" w14:paraId="0D65AB6E" w14:textId="77777777" w:rsidTr="00891F1E">
        <w:trPr>
          <w:trHeight w:val="80"/>
        </w:trPr>
        <w:tc>
          <w:tcPr>
            <w:tcW w:w="3261" w:type="dxa"/>
            <w:tcBorders>
              <w:top w:val="nil"/>
              <w:left w:val="nil"/>
              <w:bottom w:val="nil"/>
              <w:right w:val="nil"/>
            </w:tcBorders>
            <w:shd w:val="clear" w:color="auto" w:fill="auto"/>
            <w:vAlign w:val="bottom"/>
            <w:hideMark/>
          </w:tcPr>
          <w:p w14:paraId="42EC3921"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Rodenhauser (1994)</w:t>
            </w:r>
          </w:p>
        </w:tc>
        <w:tc>
          <w:tcPr>
            <w:tcW w:w="1984" w:type="dxa"/>
            <w:tcBorders>
              <w:top w:val="nil"/>
              <w:left w:val="nil"/>
              <w:bottom w:val="nil"/>
              <w:right w:val="nil"/>
            </w:tcBorders>
            <w:shd w:val="clear" w:color="auto" w:fill="auto"/>
            <w:noWrap/>
            <w:vAlign w:val="center"/>
            <w:hideMark/>
          </w:tcPr>
          <w:p w14:paraId="7B587BC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0C928AD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6CE44CDD" w14:textId="77777777" w:rsidR="003F0CDB" w:rsidRPr="00EA0DC7" w:rsidRDefault="003F0CDB" w:rsidP="00957911">
            <w:pPr>
              <w:spacing w:line="240" w:lineRule="auto"/>
              <w:jc w:val="center"/>
              <w:rPr>
                <w:rFonts w:eastAsia="Times New Roman" w:cs="Arial"/>
                <w:szCs w:val="24"/>
              </w:rPr>
            </w:pPr>
          </w:p>
        </w:tc>
      </w:tr>
      <w:tr w:rsidR="00EA0DC7" w:rsidRPr="00EA0DC7" w14:paraId="2C6D6D25" w14:textId="77777777" w:rsidTr="00891F1E">
        <w:trPr>
          <w:trHeight w:val="80"/>
        </w:trPr>
        <w:tc>
          <w:tcPr>
            <w:tcW w:w="3261" w:type="dxa"/>
            <w:tcBorders>
              <w:top w:val="nil"/>
              <w:left w:val="nil"/>
              <w:bottom w:val="nil"/>
              <w:right w:val="nil"/>
            </w:tcBorders>
            <w:shd w:val="clear" w:color="auto" w:fill="auto"/>
            <w:vAlign w:val="bottom"/>
            <w:hideMark/>
          </w:tcPr>
          <w:p w14:paraId="106E593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Thomas (1994)</w:t>
            </w:r>
          </w:p>
        </w:tc>
        <w:tc>
          <w:tcPr>
            <w:tcW w:w="1984" w:type="dxa"/>
            <w:tcBorders>
              <w:top w:val="nil"/>
              <w:left w:val="nil"/>
              <w:bottom w:val="nil"/>
              <w:right w:val="nil"/>
            </w:tcBorders>
            <w:shd w:val="clear" w:color="auto" w:fill="auto"/>
            <w:noWrap/>
            <w:vAlign w:val="center"/>
            <w:hideMark/>
          </w:tcPr>
          <w:p w14:paraId="7461DDB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6984631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16D96110" w14:textId="77777777" w:rsidR="003F0CDB" w:rsidRPr="00EA0DC7" w:rsidRDefault="003F0CDB" w:rsidP="00957911">
            <w:pPr>
              <w:spacing w:line="240" w:lineRule="auto"/>
              <w:jc w:val="center"/>
              <w:rPr>
                <w:rFonts w:eastAsia="Times New Roman" w:cs="Arial"/>
                <w:szCs w:val="24"/>
              </w:rPr>
            </w:pPr>
          </w:p>
        </w:tc>
      </w:tr>
      <w:tr w:rsidR="00EA0DC7" w:rsidRPr="00EA0DC7" w14:paraId="58A1B9C2" w14:textId="77777777" w:rsidTr="00891F1E">
        <w:trPr>
          <w:trHeight w:val="125"/>
        </w:trPr>
        <w:tc>
          <w:tcPr>
            <w:tcW w:w="3261" w:type="dxa"/>
            <w:tcBorders>
              <w:top w:val="nil"/>
              <w:left w:val="nil"/>
              <w:bottom w:val="nil"/>
              <w:right w:val="nil"/>
            </w:tcBorders>
            <w:shd w:val="clear" w:color="auto" w:fill="auto"/>
            <w:vAlign w:val="bottom"/>
            <w:hideMark/>
          </w:tcPr>
          <w:p w14:paraId="7D00DF1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Rigazio-DiGilio &amp; Anderson (1994)</w:t>
            </w:r>
          </w:p>
        </w:tc>
        <w:tc>
          <w:tcPr>
            <w:tcW w:w="1984" w:type="dxa"/>
            <w:tcBorders>
              <w:top w:val="nil"/>
              <w:left w:val="nil"/>
              <w:bottom w:val="nil"/>
              <w:right w:val="nil"/>
            </w:tcBorders>
            <w:shd w:val="clear" w:color="auto" w:fill="auto"/>
            <w:noWrap/>
            <w:vAlign w:val="center"/>
            <w:hideMark/>
          </w:tcPr>
          <w:p w14:paraId="257C17A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24A3490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2735DE66" w14:textId="77777777" w:rsidR="003F0CDB" w:rsidRPr="00EA0DC7" w:rsidRDefault="003F0CDB" w:rsidP="00957911">
            <w:pPr>
              <w:spacing w:line="240" w:lineRule="auto"/>
              <w:jc w:val="center"/>
              <w:rPr>
                <w:rFonts w:eastAsia="Times New Roman" w:cs="Arial"/>
                <w:szCs w:val="24"/>
              </w:rPr>
            </w:pPr>
          </w:p>
        </w:tc>
      </w:tr>
      <w:tr w:rsidR="00EA0DC7" w:rsidRPr="00EA0DC7" w14:paraId="4AA051E8" w14:textId="77777777" w:rsidTr="00891F1E">
        <w:trPr>
          <w:trHeight w:val="80"/>
        </w:trPr>
        <w:tc>
          <w:tcPr>
            <w:tcW w:w="3261" w:type="dxa"/>
            <w:tcBorders>
              <w:top w:val="nil"/>
              <w:left w:val="nil"/>
              <w:bottom w:val="nil"/>
              <w:right w:val="nil"/>
            </w:tcBorders>
            <w:shd w:val="clear" w:color="auto" w:fill="auto"/>
            <w:vAlign w:val="bottom"/>
            <w:hideMark/>
          </w:tcPr>
          <w:p w14:paraId="4F6024FD"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Holloway (1995)</w:t>
            </w:r>
          </w:p>
        </w:tc>
        <w:tc>
          <w:tcPr>
            <w:tcW w:w="1984" w:type="dxa"/>
            <w:tcBorders>
              <w:top w:val="nil"/>
              <w:left w:val="nil"/>
              <w:bottom w:val="nil"/>
              <w:right w:val="nil"/>
            </w:tcBorders>
            <w:shd w:val="clear" w:color="auto" w:fill="auto"/>
            <w:noWrap/>
            <w:vAlign w:val="center"/>
            <w:hideMark/>
          </w:tcPr>
          <w:p w14:paraId="3677CBC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2CD0C71E"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6073841E" w14:textId="77777777" w:rsidR="003F0CDB" w:rsidRPr="00EA0DC7" w:rsidRDefault="003F0CDB" w:rsidP="00957911">
            <w:pPr>
              <w:spacing w:line="240" w:lineRule="auto"/>
              <w:jc w:val="center"/>
              <w:rPr>
                <w:rFonts w:eastAsia="Times New Roman" w:cs="Arial"/>
                <w:szCs w:val="24"/>
              </w:rPr>
            </w:pPr>
          </w:p>
        </w:tc>
      </w:tr>
      <w:tr w:rsidR="00EA0DC7" w:rsidRPr="00EA0DC7" w14:paraId="5526B464" w14:textId="77777777" w:rsidTr="00891F1E">
        <w:trPr>
          <w:trHeight w:val="80"/>
        </w:trPr>
        <w:tc>
          <w:tcPr>
            <w:tcW w:w="3261" w:type="dxa"/>
            <w:tcBorders>
              <w:top w:val="nil"/>
              <w:left w:val="nil"/>
              <w:bottom w:val="nil"/>
              <w:right w:val="nil"/>
            </w:tcBorders>
            <w:shd w:val="clear" w:color="auto" w:fill="auto"/>
            <w:vAlign w:val="bottom"/>
            <w:hideMark/>
          </w:tcPr>
          <w:p w14:paraId="0373176A"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Hipp &amp; Munson (1995)</w:t>
            </w:r>
          </w:p>
        </w:tc>
        <w:tc>
          <w:tcPr>
            <w:tcW w:w="1984" w:type="dxa"/>
            <w:tcBorders>
              <w:top w:val="nil"/>
              <w:left w:val="nil"/>
              <w:bottom w:val="nil"/>
              <w:right w:val="nil"/>
            </w:tcBorders>
            <w:shd w:val="clear" w:color="auto" w:fill="auto"/>
            <w:noWrap/>
            <w:vAlign w:val="center"/>
            <w:hideMark/>
          </w:tcPr>
          <w:p w14:paraId="7155E0B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069B0149"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038D0C8A" w14:textId="77777777" w:rsidR="003F0CDB" w:rsidRPr="00EA0DC7" w:rsidRDefault="003F0CDB" w:rsidP="00957911">
            <w:pPr>
              <w:spacing w:line="240" w:lineRule="auto"/>
              <w:jc w:val="center"/>
              <w:rPr>
                <w:rFonts w:eastAsia="Times New Roman" w:cs="Arial"/>
                <w:szCs w:val="24"/>
              </w:rPr>
            </w:pPr>
          </w:p>
        </w:tc>
      </w:tr>
      <w:tr w:rsidR="00EA0DC7" w:rsidRPr="00EA0DC7" w14:paraId="585DE8EF" w14:textId="77777777" w:rsidTr="00891F1E">
        <w:trPr>
          <w:trHeight w:val="80"/>
        </w:trPr>
        <w:tc>
          <w:tcPr>
            <w:tcW w:w="3261" w:type="dxa"/>
            <w:tcBorders>
              <w:top w:val="nil"/>
              <w:left w:val="nil"/>
              <w:bottom w:val="nil"/>
              <w:right w:val="nil"/>
            </w:tcBorders>
            <w:shd w:val="clear" w:color="auto" w:fill="auto"/>
            <w:vAlign w:val="bottom"/>
            <w:hideMark/>
          </w:tcPr>
          <w:p w14:paraId="48E34B40"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Carroll (1996)</w:t>
            </w:r>
          </w:p>
        </w:tc>
        <w:tc>
          <w:tcPr>
            <w:tcW w:w="1984" w:type="dxa"/>
            <w:tcBorders>
              <w:top w:val="nil"/>
              <w:left w:val="nil"/>
              <w:bottom w:val="nil"/>
              <w:right w:val="nil"/>
            </w:tcBorders>
            <w:shd w:val="clear" w:color="auto" w:fill="auto"/>
            <w:noWrap/>
            <w:vAlign w:val="center"/>
            <w:hideMark/>
          </w:tcPr>
          <w:p w14:paraId="52CAB7CE" w14:textId="77777777" w:rsidR="003F0CDB" w:rsidRPr="00EA0DC7" w:rsidRDefault="003F0CDB" w:rsidP="00957911">
            <w:pPr>
              <w:spacing w:line="240" w:lineRule="auto"/>
              <w:jc w:val="center"/>
              <w:rPr>
                <w:rFonts w:eastAsia="Times New Roman" w:cs="Arial"/>
                <w:szCs w:val="24"/>
              </w:rPr>
            </w:pPr>
          </w:p>
        </w:tc>
        <w:tc>
          <w:tcPr>
            <w:tcW w:w="1559" w:type="dxa"/>
            <w:tcBorders>
              <w:top w:val="nil"/>
              <w:left w:val="nil"/>
              <w:bottom w:val="nil"/>
              <w:right w:val="nil"/>
            </w:tcBorders>
            <w:shd w:val="clear" w:color="auto" w:fill="auto"/>
            <w:noWrap/>
            <w:vAlign w:val="center"/>
            <w:hideMark/>
          </w:tcPr>
          <w:p w14:paraId="45FA46B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2D7764AC" w14:textId="77777777" w:rsidR="003F0CDB" w:rsidRPr="00EA0DC7" w:rsidRDefault="003F0CDB" w:rsidP="00957911">
            <w:pPr>
              <w:spacing w:line="240" w:lineRule="auto"/>
              <w:jc w:val="center"/>
              <w:rPr>
                <w:rFonts w:eastAsia="Times New Roman" w:cs="Arial"/>
                <w:szCs w:val="24"/>
              </w:rPr>
            </w:pPr>
          </w:p>
        </w:tc>
      </w:tr>
      <w:tr w:rsidR="00EA0DC7" w:rsidRPr="00EA0DC7" w14:paraId="52766011" w14:textId="77777777" w:rsidTr="00891F1E">
        <w:trPr>
          <w:trHeight w:val="80"/>
        </w:trPr>
        <w:tc>
          <w:tcPr>
            <w:tcW w:w="3261" w:type="dxa"/>
            <w:tcBorders>
              <w:top w:val="nil"/>
              <w:left w:val="nil"/>
              <w:bottom w:val="nil"/>
              <w:right w:val="nil"/>
            </w:tcBorders>
            <w:shd w:val="clear" w:color="auto" w:fill="auto"/>
            <w:vAlign w:val="bottom"/>
            <w:hideMark/>
          </w:tcPr>
          <w:p w14:paraId="25BDF97C"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Carroll (1996)</w:t>
            </w:r>
          </w:p>
        </w:tc>
        <w:tc>
          <w:tcPr>
            <w:tcW w:w="1984" w:type="dxa"/>
            <w:tcBorders>
              <w:top w:val="nil"/>
              <w:left w:val="nil"/>
              <w:bottom w:val="nil"/>
              <w:right w:val="nil"/>
            </w:tcBorders>
            <w:shd w:val="clear" w:color="auto" w:fill="auto"/>
            <w:noWrap/>
            <w:vAlign w:val="center"/>
            <w:hideMark/>
          </w:tcPr>
          <w:p w14:paraId="0418C9A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45FD3A6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1EB64B60" w14:textId="77777777" w:rsidR="003F0CDB" w:rsidRPr="00EA0DC7" w:rsidRDefault="003F0CDB" w:rsidP="00957911">
            <w:pPr>
              <w:spacing w:line="240" w:lineRule="auto"/>
              <w:jc w:val="center"/>
              <w:rPr>
                <w:rFonts w:eastAsia="Times New Roman" w:cs="Arial"/>
                <w:szCs w:val="24"/>
              </w:rPr>
            </w:pPr>
          </w:p>
        </w:tc>
      </w:tr>
      <w:tr w:rsidR="00EA0DC7" w:rsidRPr="00EA0DC7" w14:paraId="69E550D0" w14:textId="77777777" w:rsidTr="00891F1E">
        <w:trPr>
          <w:trHeight w:val="80"/>
        </w:trPr>
        <w:tc>
          <w:tcPr>
            <w:tcW w:w="3261" w:type="dxa"/>
            <w:tcBorders>
              <w:top w:val="nil"/>
              <w:left w:val="nil"/>
              <w:bottom w:val="nil"/>
              <w:right w:val="nil"/>
            </w:tcBorders>
            <w:shd w:val="clear" w:color="auto" w:fill="auto"/>
            <w:vAlign w:val="bottom"/>
            <w:hideMark/>
          </w:tcPr>
          <w:p w14:paraId="22503CE0"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Haber (1996)</w:t>
            </w:r>
          </w:p>
        </w:tc>
        <w:tc>
          <w:tcPr>
            <w:tcW w:w="1984" w:type="dxa"/>
            <w:tcBorders>
              <w:top w:val="nil"/>
              <w:left w:val="nil"/>
              <w:bottom w:val="nil"/>
              <w:right w:val="nil"/>
            </w:tcBorders>
            <w:shd w:val="clear" w:color="auto" w:fill="auto"/>
            <w:noWrap/>
            <w:vAlign w:val="center"/>
            <w:hideMark/>
          </w:tcPr>
          <w:p w14:paraId="7B3C28E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4DFA035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0B5F8105" w14:textId="77777777" w:rsidR="003F0CDB" w:rsidRPr="00EA0DC7" w:rsidRDefault="003F0CDB" w:rsidP="00957911">
            <w:pPr>
              <w:spacing w:line="240" w:lineRule="auto"/>
              <w:jc w:val="center"/>
              <w:rPr>
                <w:rFonts w:eastAsia="Times New Roman" w:cs="Arial"/>
                <w:szCs w:val="24"/>
              </w:rPr>
            </w:pPr>
          </w:p>
        </w:tc>
      </w:tr>
      <w:tr w:rsidR="00EA0DC7" w:rsidRPr="00EA0DC7" w14:paraId="666432C8" w14:textId="77777777" w:rsidTr="00891F1E">
        <w:trPr>
          <w:trHeight w:val="80"/>
        </w:trPr>
        <w:tc>
          <w:tcPr>
            <w:tcW w:w="3261" w:type="dxa"/>
            <w:tcBorders>
              <w:top w:val="nil"/>
              <w:left w:val="nil"/>
              <w:bottom w:val="nil"/>
              <w:right w:val="nil"/>
            </w:tcBorders>
            <w:shd w:val="clear" w:color="auto" w:fill="auto"/>
            <w:vAlign w:val="bottom"/>
            <w:hideMark/>
          </w:tcPr>
          <w:p w14:paraId="1D5A3E04"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Liese &amp; Beck (1997)</w:t>
            </w:r>
          </w:p>
        </w:tc>
        <w:tc>
          <w:tcPr>
            <w:tcW w:w="1984" w:type="dxa"/>
            <w:tcBorders>
              <w:top w:val="nil"/>
              <w:left w:val="nil"/>
              <w:bottom w:val="nil"/>
              <w:right w:val="nil"/>
            </w:tcBorders>
            <w:shd w:val="clear" w:color="auto" w:fill="auto"/>
            <w:noWrap/>
            <w:vAlign w:val="center"/>
            <w:hideMark/>
          </w:tcPr>
          <w:p w14:paraId="2A09DBF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5749967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3D1EEC83" w14:textId="77777777" w:rsidR="003F0CDB" w:rsidRPr="00EA0DC7" w:rsidRDefault="003F0CDB" w:rsidP="00957911">
            <w:pPr>
              <w:spacing w:line="240" w:lineRule="auto"/>
              <w:jc w:val="center"/>
              <w:rPr>
                <w:rFonts w:eastAsia="Times New Roman" w:cs="Arial"/>
                <w:szCs w:val="24"/>
              </w:rPr>
            </w:pPr>
          </w:p>
        </w:tc>
      </w:tr>
      <w:tr w:rsidR="00EA0DC7" w:rsidRPr="00EA0DC7" w14:paraId="52D7D9A4" w14:textId="77777777" w:rsidTr="00891F1E">
        <w:trPr>
          <w:trHeight w:val="80"/>
        </w:trPr>
        <w:tc>
          <w:tcPr>
            <w:tcW w:w="3261" w:type="dxa"/>
            <w:tcBorders>
              <w:top w:val="nil"/>
              <w:left w:val="nil"/>
              <w:bottom w:val="nil"/>
              <w:right w:val="nil"/>
            </w:tcBorders>
            <w:shd w:val="clear" w:color="auto" w:fill="auto"/>
            <w:vAlign w:val="bottom"/>
            <w:hideMark/>
          </w:tcPr>
          <w:p w14:paraId="2CFD10A7"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Ward &amp; House (1998)</w:t>
            </w:r>
          </w:p>
        </w:tc>
        <w:tc>
          <w:tcPr>
            <w:tcW w:w="1984" w:type="dxa"/>
            <w:tcBorders>
              <w:top w:val="nil"/>
              <w:left w:val="nil"/>
              <w:bottom w:val="nil"/>
              <w:right w:val="nil"/>
            </w:tcBorders>
            <w:shd w:val="clear" w:color="auto" w:fill="auto"/>
            <w:noWrap/>
            <w:vAlign w:val="center"/>
            <w:hideMark/>
          </w:tcPr>
          <w:p w14:paraId="0374A30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2C9ED42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643EA89F" w14:textId="77777777" w:rsidR="003F0CDB" w:rsidRPr="00EA0DC7" w:rsidRDefault="003F0CDB" w:rsidP="00957911">
            <w:pPr>
              <w:spacing w:line="240" w:lineRule="auto"/>
              <w:jc w:val="center"/>
              <w:rPr>
                <w:rFonts w:eastAsia="Times New Roman" w:cs="Arial"/>
                <w:szCs w:val="24"/>
              </w:rPr>
            </w:pPr>
          </w:p>
        </w:tc>
      </w:tr>
      <w:tr w:rsidR="00EA0DC7" w:rsidRPr="00EA0DC7" w14:paraId="093BE294" w14:textId="77777777" w:rsidTr="00891F1E">
        <w:trPr>
          <w:trHeight w:val="80"/>
        </w:trPr>
        <w:tc>
          <w:tcPr>
            <w:tcW w:w="3261" w:type="dxa"/>
            <w:tcBorders>
              <w:top w:val="nil"/>
              <w:left w:val="nil"/>
              <w:bottom w:val="nil"/>
              <w:right w:val="nil"/>
            </w:tcBorders>
            <w:shd w:val="clear" w:color="auto" w:fill="auto"/>
            <w:vAlign w:val="bottom"/>
            <w:hideMark/>
          </w:tcPr>
          <w:p w14:paraId="3DC54869"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Bob (1999)</w:t>
            </w:r>
          </w:p>
        </w:tc>
        <w:tc>
          <w:tcPr>
            <w:tcW w:w="1984" w:type="dxa"/>
            <w:tcBorders>
              <w:top w:val="nil"/>
              <w:left w:val="nil"/>
              <w:bottom w:val="nil"/>
              <w:right w:val="nil"/>
            </w:tcBorders>
            <w:shd w:val="clear" w:color="auto" w:fill="auto"/>
            <w:noWrap/>
            <w:vAlign w:val="center"/>
            <w:hideMark/>
          </w:tcPr>
          <w:p w14:paraId="5477CA3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1294C92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70F52FE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EA0DC7" w:rsidRPr="00EA0DC7" w14:paraId="30090853" w14:textId="77777777" w:rsidTr="00891F1E">
        <w:trPr>
          <w:trHeight w:val="80"/>
        </w:trPr>
        <w:tc>
          <w:tcPr>
            <w:tcW w:w="3261" w:type="dxa"/>
            <w:tcBorders>
              <w:top w:val="nil"/>
              <w:left w:val="nil"/>
              <w:right w:val="nil"/>
            </w:tcBorders>
            <w:shd w:val="clear" w:color="auto" w:fill="auto"/>
            <w:vAlign w:val="bottom"/>
            <w:hideMark/>
          </w:tcPr>
          <w:p w14:paraId="596FEEA7"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Nelson &amp; Johnson (1999)</w:t>
            </w:r>
          </w:p>
        </w:tc>
        <w:tc>
          <w:tcPr>
            <w:tcW w:w="1984" w:type="dxa"/>
            <w:tcBorders>
              <w:top w:val="nil"/>
              <w:left w:val="nil"/>
              <w:right w:val="nil"/>
            </w:tcBorders>
            <w:shd w:val="clear" w:color="auto" w:fill="auto"/>
            <w:noWrap/>
            <w:vAlign w:val="center"/>
            <w:hideMark/>
          </w:tcPr>
          <w:p w14:paraId="362360E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064A18E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63AAF1BF" w14:textId="77777777" w:rsidR="003F0CDB" w:rsidRPr="00EA0DC7" w:rsidRDefault="003F0CDB" w:rsidP="00957911">
            <w:pPr>
              <w:spacing w:line="240" w:lineRule="auto"/>
              <w:jc w:val="center"/>
              <w:rPr>
                <w:rFonts w:eastAsia="Times New Roman" w:cs="Arial"/>
                <w:szCs w:val="24"/>
              </w:rPr>
            </w:pPr>
          </w:p>
        </w:tc>
      </w:tr>
      <w:tr w:rsidR="00EA0DC7" w:rsidRPr="00EA0DC7" w14:paraId="56E4A214" w14:textId="77777777" w:rsidTr="00891F1E">
        <w:trPr>
          <w:trHeight w:val="80"/>
        </w:trPr>
        <w:tc>
          <w:tcPr>
            <w:tcW w:w="3261" w:type="dxa"/>
            <w:tcBorders>
              <w:top w:val="nil"/>
              <w:left w:val="nil"/>
              <w:bottom w:val="single" w:sz="4" w:space="0" w:color="auto"/>
              <w:right w:val="nil"/>
            </w:tcBorders>
            <w:shd w:val="clear" w:color="auto" w:fill="auto"/>
            <w:vAlign w:val="bottom"/>
            <w:hideMark/>
          </w:tcPr>
          <w:p w14:paraId="65912D1E"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Edwards &amp; Chen (1999)</w:t>
            </w:r>
          </w:p>
        </w:tc>
        <w:tc>
          <w:tcPr>
            <w:tcW w:w="1984" w:type="dxa"/>
            <w:tcBorders>
              <w:top w:val="nil"/>
              <w:left w:val="nil"/>
              <w:bottom w:val="single" w:sz="4" w:space="0" w:color="auto"/>
              <w:right w:val="nil"/>
            </w:tcBorders>
            <w:shd w:val="clear" w:color="auto" w:fill="auto"/>
            <w:noWrap/>
            <w:vAlign w:val="center"/>
            <w:hideMark/>
          </w:tcPr>
          <w:p w14:paraId="0D7CD75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single" w:sz="4" w:space="0" w:color="auto"/>
              <w:right w:val="nil"/>
            </w:tcBorders>
            <w:shd w:val="clear" w:color="auto" w:fill="auto"/>
            <w:noWrap/>
            <w:vAlign w:val="center"/>
            <w:hideMark/>
          </w:tcPr>
          <w:p w14:paraId="095E706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single" w:sz="4" w:space="0" w:color="auto"/>
              <w:right w:val="nil"/>
            </w:tcBorders>
            <w:vAlign w:val="center"/>
          </w:tcPr>
          <w:p w14:paraId="070B4863" w14:textId="77777777" w:rsidR="003F0CDB" w:rsidRPr="00EA0DC7" w:rsidRDefault="003F0CDB" w:rsidP="00957911">
            <w:pPr>
              <w:spacing w:line="240" w:lineRule="auto"/>
              <w:jc w:val="center"/>
              <w:rPr>
                <w:rFonts w:eastAsia="Times New Roman" w:cs="Arial"/>
                <w:szCs w:val="24"/>
              </w:rPr>
            </w:pPr>
          </w:p>
        </w:tc>
      </w:tr>
      <w:tr w:rsidR="00EA0DC7" w:rsidRPr="00EA0DC7" w14:paraId="6999F916" w14:textId="77777777" w:rsidTr="00891F1E">
        <w:trPr>
          <w:trHeight w:val="80"/>
        </w:trPr>
        <w:tc>
          <w:tcPr>
            <w:tcW w:w="3261" w:type="dxa"/>
            <w:tcBorders>
              <w:top w:val="single" w:sz="4" w:space="0" w:color="auto"/>
              <w:left w:val="nil"/>
              <w:bottom w:val="single" w:sz="4" w:space="0" w:color="auto"/>
              <w:right w:val="nil"/>
            </w:tcBorders>
            <w:shd w:val="clear" w:color="auto" w:fill="auto"/>
            <w:vAlign w:val="center"/>
          </w:tcPr>
          <w:p w14:paraId="5E652D3C" w14:textId="77777777" w:rsidR="005016CB" w:rsidRPr="00EA0DC7" w:rsidRDefault="005016CB" w:rsidP="005016CB">
            <w:pPr>
              <w:spacing w:before="240" w:after="0" w:line="240" w:lineRule="auto"/>
              <w:jc w:val="center"/>
              <w:rPr>
                <w:rFonts w:eastAsia="Times New Roman" w:cs="Arial"/>
                <w:b/>
                <w:bCs/>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shd w:val="clear" w:color="auto" w:fill="auto"/>
            <w:noWrap/>
            <w:vAlign w:val="center"/>
          </w:tcPr>
          <w:p w14:paraId="6A854923" w14:textId="77777777"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supervisee</w:t>
            </w:r>
          </w:p>
        </w:tc>
        <w:tc>
          <w:tcPr>
            <w:tcW w:w="1559" w:type="dxa"/>
            <w:tcBorders>
              <w:top w:val="single" w:sz="4" w:space="0" w:color="auto"/>
              <w:left w:val="nil"/>
              <w:bottom w:val="single" w:sz="4" w:space="0" w:color="auto"/>
              <w:right w:val="nil"/>
            </w:tcBorders>
            <w:shd w:val="clear" w:color="auto" w:fill="auto"/>
            <w:noWrap/>
            <w:vAlign w:val="center"/>
          </w:tcPr>
          <w:p w14:paraId="1653A49A" w14:textId="2ACF77F2"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w:t>
            </w:r>
            <w:r w:rsidR="00891F1E" w:rsidRPr="00EA0DC7">
              <w:rPr>
                <w:rFonts w:eastAsia="Times New Roman" w:cs="Arial"/>
                <w:b/>
                <w:bCs/>
                <w:szCs w:val="24"/>
              </w:rPr>
              <w:t>-</w:t>
            </w:r>
            <w:r w:rsidRPr="00EA0DC7">
              <w:rPr>
                <w:rFonts w:eastAsia="Times New Roman" w:cs="Arial"/>
                <w:b/>
                <w:bCs/>
                <w:szCs w:val="24"/>
              </w:rPr>
              <w:t>ip between supervisee and client</w:t>
            </w:r>
          </w:p>
        </w:tc>
        <w:tc>
          <w:tcPr>
            <w:tcW w:w="1701" w:type="dxa"/>
            <w:tcBorders>
              <w:top w:val="single" w:sz="4" w:space="0" w:color="auto"/>
              <w:left w:val="nil"/>
              <w:bottom w:val="single" w:sz="4" w:space="0" w:color="auto"/>
              <w:right w:val="nil"/>
            </w:tcBorders>
            <w:vAlign w:val="center"/>
          </w:tcPr>
          <w:p w14:paraId="21DE561A" w14:textId="77777777" w:rsidR="005016CB" w:rsidRPr="00EA0DC7" w:rsidRDefault="005016CB" w:rsidP="005016CB">
            <w:pPr>
              <w:spacing w:before="240" w:line="240" w:lineRule="auto"/>
              <w:jc w:val="center"/>
              <w:rPr>
                <w:rFonts w:eastAsia="Times New Roman" w:cs="Arial"/>
                <w:b/>
                <w:bCs/>
                <w:szCs w:val="24"/>
              </w:rPr>
            </w:pPr>
            <w:r w:rsidRPr="00EA0DC7">
              <w:rPr>
                <w:rFonts w:eastAsia="Times New Roman" w:cs="Arial"/>
                <w:b/>
                <w:bCs/>
                <w:szCs w:val="24"/>
              </w:rPr>
              <w:t>Relationship between supervisor and client</w:t>
            </w:r>
          </w:p>
        </w:tc>
      </w:tr>
      <w:tr w:rsidR="00EA0DC7" w:rsidRPr="00EA0DC7" w14:paraId="134DA2CD" w14:textId="77777777" w:rsidTr="00891F1E">
        <w:trPr>
          <w:trHeight w:val="80"/>
        </w:trPr>
        <w:tc>
          <w:tcPr>
            <w:tcW w:w="3261" w:type="dxa"/>
            <w:tcBorders>
              <w:top w:val="single" w:sz="4" w:space="0" w:color="auto"/>
              <w:left w:val="nil"/>
              <w:right w:val="nil"/>
            </w:tcBorders>
            <w:shd w:val="clear" w:color="auto" w:fill="auto"/>
            <w:vAlign w:val="bottom"/>
            <w:hideMark/>
          </w:tcPr>
          <w:p w14:paraId="1C2AC83D" w14:textId="77777777" w:rsidR="003F0CDB" w:rsidRPr="00EA0DC7" w:rsidRDefault="003F0CDB" w:rsidP="005016CB">
            <w:pPr>
              <w:spacing w:before="240" w:line="240" w:lineRule="auto"/>
              <w:jc w:val="left"/>
              <w:rPr>
                <w:rFonts w:eastAsia="Times New Roman" w:cs="Arial"/>
                <w:szCs w:val="24"/>
              </w:rPr>
            </w:pPr>
            <w:r w:rsidRPr="00EA0DC7">
              <w:rPr>
                <w:rFonts w:eastAsia="Times New Roman" w:cs="Arial"/>
                <w:szCs w:val="24"/>
              </w:rPr>
              <w:t>Granello (2000)</w:t>
            </w:r>
          </w:p>
        </w:tc>
        <w:tc>
          <w:tcPr>
            <w:tcW w:w="1984" w:type="dxa"/>
            <w:tcBorders>
              <w:top w:val="single" w:sz="4" w:space="0" w:color="auto"/>
              <w:left w:val="nil"/>
              <w:right w:val="nil"/>
            </w:tcBorders>
            <w:shd w:val="clear" w:color="auto" w:fill="auto"/>
            <w:noWrap/>
            <w:vAlign w:val="center"/>
            <w:hideMark/>
          </w:tcPr>
          <w:p w14:paraId="3050800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single" w:sz="4" w:space="0" w:color="auto"/>
              <w:left w:val="nil"/>
              <w:right w:val="nil"/>
            </w:tcBorders>
            <w:shd w:val="clear" w:color="auto" w:fill="auto"/>
            <w:noWrap/>
            <w:vAlign w:val="center"/>
            <w:hideMark/>
          </w:tcPr>
          <w:p w14:paraId="1B4BC13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single" w:sz="4" w:space="0" w:color="auto"/>
              <w:left w:val="nil"/>
              <w:right w:val="nil"/>
            </w:tcBorders>
            <w:vAlign w:val="center"/>
          </w:tcPr>
          <w:p w14:paraId="44412C4F" w14:textId="77777777" w:rsidR="003F0CDB" w:rsidRPr="00EA0DC7" w:rsidRDefault="003F0CDB" w:rsidP="00957911">
            <w:pPr>
              <w:spacing w:line="240" w:lineRule="auto"/>
              <w:jc w:val="center"/>
              <w:rPr>
                <w:rFonts w:eastAsia="Times New Roman" w:cs="Arial"/>
                <w:szCs w:val="24"/>
              </w:rPr>
            </w:pPr>
          </w:p>
        </w:tc>
      </w:tr>
      <w:tr w:rsidR="00EA0DC7" w:rsidRPr="00EA0DC7" w14:paraId="52D80EED" w14:textId="77777777" w:rsidTr="00891F1E">
        <w:trPr>
          <w:trHeight w:val="80"/>
        </w:trPr>
        <w:tc>
          <w:tcPr>
            <w:tcW w:w="3261" w:type="dxa"/>
            <w:tcBorders>
              <w:top w:val="nil"/>
              <w:left w:val="nil"/>
              <w:right w:val="nil"/>
            </w:tcBorders>
            <w:shd w:val="clear" w:color="auto" w:fill="auto"/>
            <w:vAlign w:val="bottom"/>
            <w:hideMark/>
          </w:tcPr>
          <w:p w14:paraId="246B4C9E"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Gilbert &amp; Evans (2000)</w:t>
            </w:r>
          </w:p>
        </w:tc>
        <w:tc>
          <w:tcPr>
            <w:tcW w:w="1984" w:type="dxa"/>
            <w:tcBorders>
              <w:top w:val="nil"/>
              <w:left w:val="nil"/>
              <w:right w:val="nil"/>
            </w:tcBorders>
            <w:shd w:val="clear" w:color="auto" w:fill="auto"/>
            <w:noWrap/>
            <w:vAlign w:val="center"/>
            <w:hideMark/>
          </w:tcPr>
          <w:p w14:paraId="4367217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667AAFE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0BBC5365" w14:textId="77777777" w:rsidR="003F0CDB" w:rsidRPr="00EA0DC7" w:rsidRDefault="003F0CDB" w:rsidP="00957911">
            <w:pPr>
              <w:spacing w:line="240" w:lineRule="auto"/>
              <w:jc w:val="center"/>
              <w:rPr>
                <w:rFonts w:eastAsia="Times New Roman" w:cs="Arial"/>
                <w:szCs w:val="24"/>
              </w:rPr>
            </w:pPr>
          </w:p>
        </w:tc>
      </w:tr>
      <w:tr w:rsidR="00EA0DC7" w:rsidRPr="00EA0DC7" w14:paraId="3222DAA4" w14:textId="77777777" w:rsidTr="00891F1E">
        <w:trPr>
          <w:trHeight w:val="80"/>
        </w:trPr>
        <w:tc>
          <w:tcPr>
            <w:tcW w:w="3261" w:type="dxa"/>
            <w:tcBorders>
              <w:left w:val="nil"/>
              <w:right w:val="nil"/>
            </w:tcBorders>
            <w:shd w:val="clear" w:color="auto" w:fill="auto"/>
            <w:vAlign w:val="bottom"/>
            <w:hideMark/>
          </w:tcPr>
          <w:p w14:paraId="45C16DA5"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 xml:space="preserve">Scaife (2001) </w:t>
            </w:r>
          </w:p>
        </w:tc>
        <w:tc>
          <w:tcPr>
            <w:tcW w:w="1984" w:type="dxa"/>
            <w:tcBorders>
              <w:left w:val="nil"/>
              <w:right w:val="nil"/>
            </w:tcBorders>
            <w:shd w:val="clear" w:color="auto" w:fill="auto"/>
            <w:noWrap/>
            <w:vAlign w:val="center"/>
            <w:hideMark/>
          </w:tcPr>
          <w:p w14:paraId="28981AB9" w14:textId="77777777" w:rsidR="003F0CDB" w:rsidRPr="00EA0DC7" w:rsidRDefault="003F0CDB" w:rsidP="00957911">
            <w:pPr>
              <w:spacing w:line="240" w:lineRule="auto"/>
              <w:jc w:val="center"/>
              <w:rPr>
                <w:rFonts w:eastAsia="Times New Roman" w:cs="Arial"/>
                <w:szCs w:val="24"/>
              </w:rPr>
            </w:pPr>
          </w:p>
        </w:tc>
        <w:tc>
          <w:tcPr>
            <w:tcW w:w="1559" w:type="dxa"/>
            <w:tcBorders>
              <w:left w:val="nil"/>
              <w:right w:val="nil"/>
            </w:tcBorders>
            <w:shd w:val="clear" w:color="auto" w:fill="auto"/>
            <w:noWrap/>
            <w:vAlign w:val="center"/>
            <w:hideMark/>
          </w:tcPr>
          <w:p w14:paraId="6E46057E"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0F4DAE42" w14:textId="77777777" w:rsidR="003F0CDB" w:rsidRPr="00EA0DC7" w:rsidRDefault="003F0CDB" w:rsidP="00957911">
            <w:pPr>
              <w:spacing w:line="240" w:lineRule="auto"/>
              <w:jc w:val="center"/>
              <w:rPr>
                <w:rFonts w:eastAsia="Times New Roman" w:cs="Arial"/>
                <w:szCs w:val="24"/>
              </w:rPr>
            </w:pPr>
          </w:p>
        </w:tc>
      </w:tr>
      <w:tr w:rsidR="00EA0DC7" w:rsidRPr="00EA0DC7" w14:paraId="23E1C2D2" w14:textId="77777777" w:rsidTr="00891F1E">
        <w:trPr>
          <w:trHeight w:val="80"/>
        </w:trPr>
        <w:tc>
          <w:tcPr>
            <w:tcW w:w="3261" w:type="dxa"/>
            <w:tcBorders>
              <w:left w:val="nil"/>
              <w:right w:val="nil"/>
            </w:tcBorders>
            <w:shd w:val="clear" w:color="auto" w:fill="auto"/>
            <w:vAlign w:val="bottom"/>
            <w:hideMark/>
          </w:tcPr>
          <w:p w14:paraId="7E2A960C"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Frawley-O'Dea &amp; Sarnat (2001)</w:t>
            </w:r>
          </w:p>
        </w:tc>
        <w:tc>
          <w:tcPr>
            <w:tcW w:w="1984" w:type="dxa"/>
            <w:tcBorders>
              <w:left w:val="nil"/>
              <w:right w:val="nil"/>
            </w:tcBorders>
            <w:shd w:val="clear" w:color="auto" w:fill="auto"/>
            <w:noWrap/>
            <w:vAlign w:val="center"/>
            <w:hideMark/>
          </w:tcPr>
          <w:p w14:paraId="42CB4DB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left w:val="nil"/>
              <w:right w:val="nil"/>
            </w:tcBorders>
            <w:shd w:val="clear" w:color="auto" w:fill="auto"/>
            <w:noWrap/>
            <w:vAlign w:val="center"/>
            <w:hideMark/>
          </w:tcPr>
          <w:p w14:paraId="0C7102A2"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667EA736" w14:textId="77777777" w:rsidR="003F0CDB" w:rsidRPr="00EA0DC7" w:rsidRDefault="003F0CDB" w:rsidP="00957911">
            <w:pPr>
              <w:spacing w:line="240" w:lineRule="auto"/>
              <w:jc w:val="center"/>
              <w:rPr>
                <w:rFonts w:eastAsia="Times New Roman" w:cs="Arial"/>
                <w:szCs w:val="24"/>
              </w:rPr>
            </w:pPr>
          </w:p>
        </w:tc>
      </w:tr>
      <w:tr w:rsidR="00EA0DC7" w:rsidRPr="00EA0DC7" w14:paraId="2AD99479" w14:textId="77777777" w:rsidTr="00891F1E">
        <w:trPr>
          <w:trHeight w:val="80"/>
        </w:trPr>
        <w:tc>
          <w:tcPr>
            <w:tcW w:w="3261" w:type="dxa"/>
            <w:tcBorders>
              <w:left w:val="nil"/>
              <w:bottom w:val="nil"/>
              <w:right w:val="nil"/>
            </w:tcBorders>
            <w:shd w:val="clear" w:color="auto" w:fill="auto"/>
            <w:vAlign w:val="bottom"/>
            <w:hideMark/>
          </w:tcPr>
          <w:p w14:paraId="2A43AEC1"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Lee &amp; Everett (2004)</w:t>
            </w:r>
          </w:p>
        </w:tc>
        <w:tc>
          <w:tcPr>
            <w:tcW w:w="1984" w:type="dxa"/>
            <w:tcBorders>
              <w:left w:val="nil"/>
              <w:bottom w:val="nil"/>
              <w:right w:val="nil"/>
            </w:tcBorders>
            <w:shd w:val="clear" w:color="auto" w:fill="auto"/>
            <w:noWrap/>
            <w:vAlign w:val="center"/>
            <w:hideMark/>
          </w:tcPr>
          <w:p w14:paraId="0193F6A3" w14:textId="77777777" w:rsidR="003F0CDB" w:rsidRPr="00EA0DC7" w:rsidRDefault="003F0CDB" w:rsidP="00957911">
            <w:pPr>
              <w:spacing w:line="240" w:lineRule="auto"/>
              <w:jc w:val="center"/>
              <w:rPr>
                <w:rFonts w:eastAsia="Times New Roman" w:cs="Arial"/>
                <w:szCs w:val="24"/>
              </w:rPr>
            </w:pPr>
          </w:p>
        </w:tc>
        <w:tc>
          <w:tcPr>
            <w:tcW w:w="1559" w:type="dxa"/>
            <w:tcBorders>
              <w:left w:val="nil"/>
              <w:bottom w:val="nil"/>
              <w:right w:val="nil"/>
            </w:tcBorders>
            <w:shd w:val="clear" w:color="auto" w:fill="auto"/>
            <w:noWrap/>
            <w:vAlign w:val="center"/>
            <w:hideMark/>
          </w:tcPr>
          <w:p w14:paraId="24697A7F"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nil"/>
              <w:right w:val="nil"/>
            </w:tcBorders>
            <w:vAlign w:val="center"/>
          </w:tcPr>
          <w:p w14:paraId="7D8D2536" w14:textId="77777777" w:rsidR="003F0CDB" w:rsidRPr="00EA0DC7" w:rsidRDefault="003F0CDB" w:rsidP="00957911">
            <w:pPr>
              <w:spacing w:line="240" w:lineRule="auto"/>
              <w:jc w:val="center"/>
              <w:rPr>
                <w:rFonts w:eastAsia="Times New Roman" w:cs="Arial"/>
                <w:szCs w:val="24"/>
              </w:rPr>
            </w:pPr>
          </w:p>
        </w:tc>
      </w:tr>
      <w:tr w:rsidR="00EA0DC7" w:rsidRPr="00EA0DC7" w14:paraId="1E04BE6D" w14:textId="77777777" w:rsidTr="00891F1E">
        <w:trPr>
          <w:trHeight w:val="80"/>
        </w:trPr>
        <w:tc>
          <w:tcPr>
            <w:tcW w:w="3261" w:type="dxa"/>
            <w:tcBorders>
              <w:top w:val="nil"/>
              <w:left w:val="nil"/>
              <w:right w:val="nil"/>
            </w:tcBorders>
            <w:shd w:val="clear" w:color="auto" w:fill="auto"/>
            <w:vAlign w:val="bottom"/>
            <w:hideMark/>
          </w:tcPr>
          <w:p w14:paraId="7821ADF6"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Ladany et al. (2005)</w:t>
            </w:r>
          </w:p>
        </w:tc>
        <w:tc>
          <w:tcPr>
            <w:tcW w:w="1984" w:type="dxa"/>
            <w:tcBorders>
              <w:top w:val="nil"/>
              <w:left w:val="nil"/>
              <w:right w:val="nil"/>
            </w:tcBorders>
            <w:shd w:val="clear" w:color="auto" w:fill="auto"/>
            <w:noWrap/>
            <w:vAlign w:val="center"/>
            <w:hideMark/>
          </w:tcPr>
          <w:p w14:paraId="3F1BA59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right w:val="nil"/>
            </w:tcBorders>
            <w:shd w:val="clear" w:color="auto" w:fill="auto"/>
            <w:noWrap/>
            <w:vAlign w:val="center"/>
            <w:hideMark/>
          </w:tcPr>
          <w:p w14:paraId="22AB4E1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20DECA54" w14:textId="77777777" w:rsidR="003F0CDB" w:rsidRPr="00EA0DC7" w:rsidRDefault="003F0CDB" w:rsidP="00957911">
            <w:pPr>
              <w:spacing w:line="240" w:lineRule="auto"/>
              <w:jc w:val="center"/>
              <w:rPr>
                <w:rFonts w:eastAsia="Times New Roman" w:cs="Arial"/>
                <w:szCs w:val="24"/>
              </w:rPr>
            </w:pPr>
          </w:p>
        </w:tc>
      </w:tr>
      <w:tr w:rsidR="00EA0DC7" w:rsidRPr="00EA0DC7" w14:paraId="0CE60224" w14:textId="77777777" w:rsidTr="00891F1E">
        <w:trPr>
          <w:trHeight w:val="284"/>
        </w:trPr>
        <w:tc>
          <w:tcPr>
            <w:tcW w:w="3261" w:type="dxa"/>
            <w:tcBorders>
              <w:top w:val="nil"/>
              <w:left w:val="nil"/>
              <w:bottom w:val="nil"/>
              <w:right w:val="nil"/>
            </w:tcBorders>
            <w:shd w:val="clear" w:color="auto" w:fill="auto"/>
            <w:vAlign w:val="bottom"/>
            <w:hideMark/>
          </w:tcPr>
          <w:p w14:paraId="370A2122"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Armstrong &amp; Freeston (2006)</w:t>
            </w:r>
          </w:p>
        </w:tc>
        <w:tc>
          <w:tcPr>
            <w:tcW w:w="1984" w:type="dxa"/>
            <w:tcBorders>
              <w:top w:val="nil"/>
              <w:left w:val="nil"/>
              <w:bottom w:val="nil"/>
              <w:right w:val="nil"/>
            </w:tcBorders>
            <w:shd w:val="clear" w:color="auto" w:fill="auto"/>
            <w:noWrap/>
            <w:vAlign w:val="center"/>
            <w:hideMark/>
          </w:tcPr>
          <w:p w14:paraId="1AA5DE6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nil"/>
              <w:right w:val="nil"/>
            </w:tcBorders>
            <w:shd w:val="clear" w:color="auto" w:fill="auto"/>
            <w:noWrap/>
            <w:vAlign w:val="center"/>
            <w:hideMark/>
          </w:tcPr>
          <w:p w14:paraId="6852197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30A6DFD7" w14:textId="77777777" w:rsidR="003F0CDB" w:rsidRPr="00EA0DC7" w:rsidRDefault="003F0CDB" w:rsidP="00957911">
            <w:pPr>
              <w:spacing w:line="240" w:lineRule="auto"/>
              <w:jc w:val="center"/>
              <w:rPr>
                <w:rFonts w:eastAsia="Times New Roman" w:cs="Arial"/>
                <w:szCs w:val="24"/>
              </w:rPr>
            </w:pPr>
          </w:p>
        </w:tc>
      </w:tr>
      <w:tr w:rsidR="00EA0DC7" w:rsidRPr="00EA0DC7" w14:paraId="54844B4F" w14:textId="77777777" w:rsidTr="00891F1E">
        <w:trPr>
          <w:trHeight w:val="80"/>
        </w:trPr>
        <w:tc>
          <w:tcPr>
            <w:tcW w:w="3261" w:type="dxa"/>
            <w:tcBorders>
              <w:top w:val="nil"/>
              <w:left w:val="nil"/>
              <w:bottom w:val="nil"/>
              <w:right w:val="nil"/>
            </w:tcBorders>
            <w:shd w:val="clear" w:color="auto" w:fill="auto"/>
            <w:vAlign w:val="bottom"/>
            <w:hideMark/>
          </w:tcPr>
          <w:p w14:paraId="6EECDA0B"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Morgan &amp; Sprenkle (2007)</w:t>
            </w:r>
          </w:p>
        </w:tc>
        <w:tc>
          <w:tcPr>
            <w:tcW w:w="1984" w:type="dxa"/>
            <w:tcBorders>
              <w:top w:val="nil"/>
              <w:left w:val="nil"/>
              <w:bottom w:val="nil"/>
              <w:right w:val="nil"/>
            </w:tcBorders>
            <w:shd w:val="clear" w:color="auto" w:fill="auto"/>
            <w:noWrap/>
            <w:vAlign w:val="center"/>
            <w:hideMark/>
          </w:tcPr>
          <w:p w14:paraId="0F75D654" w14:textId="77777777" w:rsidR="003F0CDB" w:rsidRPr="00EA0DC7" w:rsidRDefault="003F0CDB" w:rsidP="00957911">
            <w:pPr>
              <w:spacing w:line="240" w:lineRule="auto"/>
              <w:jc w:val="center"/>
              <w:rPr>
                <w:rFonts w:eastAsia="Times New Roman" w:cs="Arial"/>
                <w:szCs w:val="24"/>
              </w:rPr>
            </w:pPr>
          </w:p>
        </w:tc>
        <w:tc>
          <w:tcPr>
            <w:tcW w:w="1559" w:type="dxa"/>
            <w:tcBorders>
              <w:top w:val="nil"/>
              <w:left w:val="nil"/>
              <w:bottom w:val="nil"/>
              <w:right w:val="nil"/>
            </w:tcBorders>
            <w:shd w:val="clear" w:color="auto" w:fill="auto"/>
            <w:noWrap/>
            <w:vAlign w:val="center"/>
            <w:hideMark/>
          </w:tcPr>
          <w:p w14:paraId="36AC119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022B5C65" w14:textId="77777777" w:rsidR="003F0CDB" w:rsidRPr="00EA0DC7" w:rsidRDefault="003F0CDB" w:rsidP="00957911">
            <w:pPr>
              <w:spacing w:line="240" w:lineRule="auto"/>
              <w:jc w:val="center"/>
              <w:rPr>
                <w:rFonts w:eastAsia="Times New Roman" w:cs="Arial"/>
                <w:szCs w:val="24"/>
              </w:rPr>
            </w:pPr>
          </w:p>
        </w:tc>
      </w:tr>
      <w:tr w:rsidR="00EA0DC7" w:rsidRPr="00EA0DC7" w14:paraId="726BAF94" w14:textId="77777777" w:rsidTr="00891F1E">
        <w:trPr>
          <w:trHeight w:val="80"/>
        </w:trPr>
        <w:tc>
          <w:tcPr>
            <w:tcW w:w="3261" w:type="dxa"/>
            <w:tcBorders>
              <w:top w:val="nil"/>
              <w:left w:val="nil"/>
              <w:right w:val="nil"/>
            </w:tcBorders>
            <w:shd w:val="clear" w:color="auto" w:fill="auto"/>
            <w:vAlign w:val="bottom"/>
            <w:hideMark/>
          </w:tcPr>
          <w:p w14:paraId="7249ED84"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Inskipp and Proctor (2009)</w:t>
            </w:r>
          </w:p>
        </w:tc>
        <w:tc>
          <w:tcPr>
            <w:tcW w:w="1984" w:type="dxa"/>
            <w:tcBorders>
              <w:top w:val="nil"/>
              <w:left w:val="nil"/>
              <w:right w:val="nil"/>
            </w:tcBorders>
            <w:shd w:val="clear" w:color="auto" w:fill="auto"/>
            <w:noWrap/>
            <w:vAlign w:val="center"/>
            <w:hideMark/>
          </w:tcPr>
          <w:p w14:paraId="1929CD4D" w14:textId="77777777" w:rsidR="003F0CDB" w:rsidRPr="00EA0DC7" w:rsidRDefault="003F0CDB" w:rsidP="00957911">
            <w:pPr>
              <w:spacing w:line="240" w:lineRule="auto"/>
              <w:jc w:val="center"/>
              <w:rPr>
                <w:rFonts w:eastAsia="Times New Roman" w:cs="Arial"/>
                <w:szCs w:val="24"/>
              </w:rPr>
            </w:pPr>
          </w:p>
        </w:tc>
        <w:tc>
          <w:tcPr>
            <w:tcW w:w="1559" w:type="dxa"/>
            <w:tcBorders>
              <w:top w:val="nil"/>
              <w:left w:val="nil"/>
              <w:right w:val="nil"/>
            </w:tcBorders>
            <w:shd w:val="clear" w:color="auto" w:fill="auto"/>
            <w:noWrap/>
            <w:vAlign w:val="center"/>
            <w:hideMark/>
          </w:tcPr>
          <w:p w14:paraId="73B5CF9F"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20EAFFFF" w14:textId="77777777" w:rsidR="003F0CDB" w:rsidRPr="00EA0DC7" w:rsidRDefault="003F0CDB" w:rsidP="00957911">
            <w:pPr>
              <w:spacing w:line="240" w:lineRule="auto"/>
              <w:jc w:val="center"/>
              <w:rPr>
                <w:rFonts w:eastAsia="Times New Roman" w:cs="Arial"/>
                <w:szCs w:val="24"/>
              </w:rPr>
            </w:pPr>
          </w:p>
        </w:tc>
      </w:tr>
      <w:tr w:rsidR="00EA0DC7" w:rsidRPr="00EA0DC7" w14:paraId="2B9DBE39" w14:textId="77777777" w:rsidTr="00891F1E">
        <w:trPr>
          <w:trHeight w:val="80"/>
        </w:trPr>
        <w:tc>
          <w:tcPr>
            <w:tcW w:w="3261" w:type="dxa"/>
            <w:tcBorders>
              <w:top w:val="nil"/>
              <w:left w:val="nil"/>
              <w:bottom w:val="single" w:sz="4" w:space="0" w:color="000000"/>
              <w:right w:val="nil"/>
            </w:tcBorders>
            <w:shd w:val="clear" w:color="auto" w:fill="auto"/>
            <w:vAlign w:val="bottom"/>
            <w:hideMark/>
          </w:tcPr>
          <w:p w14:paraId="283BA7B8" w14:textId="77777777" w:rsidR="003F0CDB" w:rsidRPr="00EA0DC7" w:rsidRDefault="003F0CDB" w:rsidP="005016CB">
            <w:pPr>
              <w:spacing w:line="240" w:lineRule="auto"/>
              <w:jc w:val="left"/>
              <w:rPr>
                <w:rFonts w:eastAsia="Times New Roman" w:cs="Arial"/>
                <w:szCs w:val="24"/>
              </w:rPr>
            </w:pPr>
            <w:r w:rsidRPr="00EA0DC7">
              <w:rPr>
                <w:rFonts w:eastAsia="Times New Roman" w:cs="Arial"/>
                <w:szCs w:val="24"/>
              </w:rPr>
              <w:t>Page and Wosket (2015)</w:t>
            </w:r>
          </w:p>
        </w:tc>
        <w:tc>
          <w:tcPr>
            <w:tcW w:w="1984" w:type="dxa"/>
            <w:tcBorders>
              <w:top w:val="nil"/>
              <w:left w:val="nil"/>
              <w:bottom w:val="single" w:sz="4" w:space="0" w:color="000000"/>
              <w:right w:val="nil"/>
            </w:tcBorders>
            <w:shd w:val="clear" w:color="auto" w:fill="auto"/>
            <w:noWrap/>
            <w:vAlign w:val="center"/>
            <w:hideMark/>
          </w:tcPr>
          <w:p w14:paraId="139E078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559" w:type="dxa"/>
            <w:tcBorders>
              <w:top w:val="nil"/>
              <w:left w:val="nil"/>
              <w:bottom w:val="single" w:sz="4" w:space="0" w:color="000000"/>
              <w:right w:val="nil"/>
            </w:tcBorders>
            <w:shd w:val="clear" w:color="auto" w:fill="auto"/>
            <w:noWrap/>
            <w:vAlign w:val="center"/>
            <w:hideMark/>
          </w:tcPr>
          <w:p w14:paraId="3092822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single" w:sz="4" w:space="0" w:color="000000"/>
              <w:right w:val="nil"/>
            </w:tcBorders>
            <w:vAlign w:val="center"/>
          </w:tcPr>
          <w:p w14:paraId="7F98FFE4" w14:textId="77777777" w:rsidR="003F0CDB" w:rsidRPr="00EA0DC7" w:rsidRDefault="003F0CDB" w:rsidP="00957911">
            <w:pPr>
              <w:spacing w:line="240" w:lineRule="auto"/>
              <w:jc w:val="center"/>
              <w:rPr>
                <w:rFonts w:eastAsia="Times New Roman" w:cs="Arial"/>
                <w:szCs w:val="24"/>
              </w:rPr>
            </w:pPr>
          </w:p>
        </w:tc>
      </w:tr>
    </w:tbl>
    <w:p w14:paraId="15A83E21" w14:textId="77777777" w:rsidR="005016CB" w:rsidRPr="00EA0DC7" w:rsidRDefault="005016CB" w:rsidP="003F0CDB">
      <w:pPr>
        <w:rPr>
          <w:rFonts w:eastAsia="Times New Roman" w:cs="Arial"/>
          <w:szCs w:val="24"/>
        </w:rPr>
        <w:sectPr w:rsidR="005016CB" w:rsidRPr="00EA0DC7" w:rsidSect="005016CB">
          <w:pgSz w:w="11906" w:h="16838"/>
          <w:pgMar w:top="1440" w:right="1440" w:bottom="1440" w:left="2268" w:header="709" w:footer="709" w:gutter="0"/>
          <w:cols w:space="708"/>
          <w:docGrid w:linePitch="360"/>
        </w:sectPr>
      </w:pPr>
    </w:p>
    <w:p w14:paraId="487D385F" w14:textId="171994A1" w:rsidR="003F0CDB" w:rsidRPr="00EA0DC7" w:rsidRDefault="003F0CDB" w:rsidP="006B3274">
      <w:pPr>
        <w:pStyle w:val="Heading2"/>
        <w:rPr>
          <w:lang w:eastAsia="zh-CN"/>
        </w:rPr>
      </w:pPr>
      <w:bookmarkStart w:id="250" w:name="_Toc23881308"/>
      <w:bookmarkStart w:id="251" w:name="_Toc24548599"/>
      <w:bookmarkStart w:id="252" w:name="_Toc24548702"/>
      <w:bookmarkStart w:id="253" w:name="_Toc47039889"/>
      <w:r w:rsidRPr="00EA0DC7">
        <w:rPr>
          <w:lang w:eastAsia="zh-CN"/>
        </w:rPr>
        <w:lastRenderedPageBreak/>
        <w:t xml:space="preserve">Appendix </w:t>
      </w:r>
      <w:r w:rsidR="00D247AC" w:rsidRPr="00EA0DC7">
        <w:rPr>
          <w:lang w:eastAsia="zh-CN"/>
        </w:rPr>
        <w:t>2</w:t>
      </w:r>
      <w:r w:rsidRPr="00EA0DC7">
        <w:rPr>
          <w:lang w:eastAsia="zh-CN"/>
        </w:rPr>
        <w:t>J</w:t>
      </w:r>
      <w:r w:rsidR="006B3274" w:rsidRPr="00EA0DC7">
        <w:rPr>
          <w:lang w:eastAsia="zh-CN"/>
        </w:rPr>
        <w:t>. Supervision formats in supervision models</w:t>
      </w:r>
      <w:bookmarkEnd w:id="250"/>
      <w:bookmarkEnd w:id="251"/>
      <w:bookmarkEnd w:id="252"/>
      <w:bookmarkEnd w:id="253"/>
    </w:p>
    <w:p w14:paraId="06E86D28" w14:textId="0101BACD" w:rsidR="003F0CDB" w:rsidRPr="00EA0DC7" w:rsidRDefault="003F0CDB" w:rsidP="003F0CDB">
      <w:pPr>
        <w:keepNext/>
        <w:spacing w:line="240" w:lineRule="auto"/>
        <w:rPr>
          <w:rFonts w:eastAsia="Calibri" w:cs="Arial"/>
          <w:bCs/>
          <w:i/>
          <w:szCs w:val="24"/>
          <w:lang w:eastAsia="en-US"/>
        </w:rPr>
      </w:pPr>
      <w:r w:rsidRPr="00EA0DC7">
        <w:rPr>
          <w:rFonts w:eastAsia="Calibri" w:cs="Arial"/>
          <w:bCs/>
          <w:szCs w:val="24"/>
          <w:lang w:eastAsia="en-US"/>
        </w:rPr>
        <w:t xml:space="preserve">Table </w:t>
      </w:r>
      <w:r w:rsidR="00D247AC" w:rsidRPr="00EA0DC7">
        <w:rPr>
          <w:rFonts w:eastAsia="Calibri" w:cs="Arial"/>
          <w:bCs/>
          <w:szCs w:val="24"/>
          <w:lang w:eastAsia="en-US"/>
        </w:rPr>
        <w:t>2J.</w:t>
      </w:r>
      <w:r w:rsidRPr="00EA0DC7">
        <w:rPr>
          <w:rFonts w:eastAsia="Calibri" w:cs="Arial"/>
          <w:bCs/>
          <w:szCs w:val="24"/>
          <w:lang w:eastAsia="en-US"/>
        </w:rPr>
        <w:t xml:space="preserve"> Model focus on different supervision formats.</w:t>
      </w:r>
    </w:p>
    <w:tbl>
      <w:tblPr>
        <w:tblW w:w="12842" w:type="dxa"/>
        <w:tblLayout w:type="fixed"/>
        <w:tblLook w:val="04A0" w:firstRow="1" w:lastRow="0" w:firstColumn="1" w:lastColumn="0" w:noHBand="0" w:noVBand="1"/>
      </w:tblPr>
      <w:tblGrid>
        <w:gridCol w:w="3402"/>
        <w:gridCol w:w="1843"/>
        <w:gridCol w:w="1644"/>
        <w:gridCol w:w="1701"/>
        <w:gridCol w:w="2268"/>
        <w:gridCol w:w="1984"/>
      </w:tblGrid>
      <w:tr w:rsidR="003F0CDB" w:rsidRPr="00EA0DC7" w14:paraId="0B143206" w14:textId="77777777" w:rsidTr="00F4729C">
        <w:trPr>
          <w:trHeight w:val="983"/>
        </w:trPr>
        <w:tc>
          <w:tcPr>
            <w:tcW w:w="3402" w:type="dxa"/>
            <w:tcBorders>
              <w:top w:val="single" w:sz="4" w:space="0" w:color="auto"/>
              <w:left w:val="nil"/>
              <w:bottom w:val="single" w:sz="4" w:space="0" w:color="auto"/>
              <w:right w:val="nil"/>
            </w:tcBorders>
            <w:shd w:val="clear" w:color="auto" w:fill="auto"/>
            <w:noWrap/>
            <w:vAlign w:val="center"/>
            <w:hideMark/>
          </w:tcPr>
          <w:p w14:paraId="1DB04670" w14:textId="77777777" w:rsidR="003F0CDB" w:rsidRPr="00EA0DC7" w:rsidRDefault="003F0CDB" w:rsidP="00F20CDF">
            <w:pPr>
              <w:spacing w:before="240" w:after="0" w:line="240" w:lineRule="auto"/>
              <w:jc w:val="center"/>
              <w:rPr>
                <w:rFonts w:eastAsia="Times New Roman" w:cs="Arial"/>
                <w:bCs/>
                <w:szCs w:val="24"/>
              </w:rPr>
            </w:pPr>
          </w:p>
        </w:tc>
        <w:tc>
          <w:tcPr>
            <w:tcW w:w="1843" w:type="dxa"/>
            <w:tcBorders>
              <w:top w:val="single" w:sz="4" w:space="0" w:color="auto"/>
              <w:left w:val="nil"/>
              <w:bottom w:val="single" w:sz="4" w:space="0" w:color="auto"/>
              <w:right w:val="nil"/>
            </w:tcBorders>
            <w:shd w:val="clear" w:color="auto" w:fill="auto"/>
            <w:vAlign w:val="center"/>
            <w:hideMark/>
          </w:tcPr>
          <w:p w14:paraId="0E8B054A" w14:textId="77777777" w:rsidR="003F0CDB" w:rsidRPr="00EA0DC7" w:rsidRDefault="003F0CDB" w:rsidP="00F20CDF">
            <w:pPr>
              <w:spacing w:before="240" w:line="240" w:lineRule="auto"/>
              <w:jc w:val="center"/>
              <w:rPr>
                <w:rFonts w:eastAsia="Times New Roman" w:cs="Arial"/>
                <w:b/>
                <w:bCs/>
                <w:szCs w:val="24"/>
              </w:rPr>
            </w:pPr>
            <w:r w:rsidRPr="00EA0DC7">
              <w:rPr>
                <w:rFonts w:eastAsia="Times New Roman" w:cs="Arial"/>
                <w:b/>
                <w:bCs/>
                <w:szCs w:val="24"/>
              </w:rPr>
              <w:t>Group supervision</w:t>
            </w:r>
          </w:p>
        </w:tc>
        <w:tc>
          <w:tcPr>
            <w:tcW w:w="1644" w:type="dxa"/>
            <w:tcBorders>
              <w:top w:val="single" w:sz="4" w:space="0" w:color="auto"/>
              <w:left w:val="nil"/>
              <w:bottom w:val="single" w:sz="4" w:space="0" w:color="auto"/>
              <w:right w:val="nil"/>
            </w:tcBorders>
            <w:vAlign w:val="center"/>
          </w:tcPr>
          <w:p w14:paraId="0656B01E" w14:textId="77777777" w:rsidR="003F0CDB" w:rsidRPr="00EA0DC7" w:rsidRDefault="003F0CDB" w:rsidP="00F20CDF">
            <w:pPr>
              <w:spacing w:before="240" w:line="240" w:lineRule="auto"/>
              <w:jc w:val="center"/>
              <w:rPr>
                <w:rFonts w:eastAsia="Times New Roman" w:cs="Arial"/>
                <w:b/>
                <w:bCs/>
                <w:szCs w:val="24"/>
              </w:rPr>
            </w:pPr>
            <w:r w:rsidRPr="00EA0DC7">
              <w:rPr>
                <w:rFonts w:eastAsia="Times New Roman" w:cs="Arial"/>
                <w:b/>
                <w:bCs/>
                <w:szCs w:val="24"/>
              </w:rPr>
              <w:t>Peer supervision</w:t>
            </w:r>
          </w:p>
        </w:tc>
        <w:tc>
          <w:tcPr>
            <w:tcW w:w="1701" w:type="dxa"/>
            <w:tcBorders>
              <w:top w:val="single" w:sz="4" w:space="0" w:color="auto"/>
              <w:left w:val="nil"/>
              <w:bottom w:val="single" w:sz="4" w:space="0" w:color="auto"/>
              <w:right w:val="nil"/>
            </w:tcBorders>
            <w:shd w:val="clear" w:color="auto" w:fill="auto"/>
            <w:vAlign w:val="center"/>
            <w:hideMark/>
          </w:tcPr>
          <w:p w14:paraId="46AF2645" w14:textId="77777777" w:rsidR="003F0CDB" w:rsidRPr="00EA0DC7" w:rsidRDefault="003F0CDB" w:rsidP="00F20CDF">
            <w:pPr>
              <w:spacing w:before="240" w:line="240" w:lineRule="auto"/>
              <w:jc w:val="center"/>
              <w:rPr>
                <w:rFonts w:eastAsia="Times New Roman" w:cs="Arial"/>
                <w:b/>
                <w:bCs/>
                <w:szCs w:val="24"/>
              </w:rPr>
            </w:pPr>
            <w:r w:rsidRPr="00EA0DC7">
              <w:rPr>
                <w:rFonts w:eastAsia="Times New Roman" w:cs="Arial"/>
                <w:b/>
                <w:bCs/>
                <w:szCs w:val="24"/>
              </w:rPr>
              <w:t>Self-supervision</w:t>
            </w:r>
          </w:p>
        </w:tc>
        <w:tc>
          <w:tcPr>
            <w:tcW w:w="2268" w:type="dxa"/>
            <w:tcBorders>
              <w:top w:val="single" w:sz="4" w:space="0" w:color="auto"/>
              <w:left w:val="nil"/>
              <w:bottom w:val="single" w:sz="4" w:space="0" w:color="auto"/>
              <w:right w:val="nil"/>
            </w:tcBorders>
            <w:vAlign w:val="center"/>
          </w:tcPr>
          <w:p w14:paraId="485C07D2" w14:textId="77777777" w:rsidR="003F0CDB" w:rsidRPr="00EA0DC7" w:rsidRDefault="003F0CDB" w:rsidP="00F20CDF">
            <w:pPr>
              <w:spacing w:before="240" w:line="240" w:lineRule="auto"/>
              <w:jc w:val="center"/>
              <w:rPr>
                <w:rFonts w:eastAsia="Times New Roman" w:cs="Arial"/>
                <w:b/>
                <w:bCs/>
                <w:szCs w:val="24"/>
              </w:rPr>
            </w:pPr>
            <w:r w:rsidRPr="00EA0DC7">
              <w:rPr>
                <w:rFonts w:eastAsia="Times New Roman" w:cs="Arial"/>
                <w:b/>
                <w:bCs/>
                <w:szCs w:val="24"/>
              </w:rPr>
              <w:t>Phone/ email/ tele-conferencing supervision</w:t>
            </w:r>
          </w:p>
        </w:tc>
        <w:tc>
          <w:tcPr>
            <w:tcW w:w="1984" w:type="dxa"/>
            <w:tcBorders>
              <w:top w:val="single" w:sz="4" w:space="0" w:color="auto"/>
              <w:left w:val="nil"/>
              <w:bottom w:val="single" w:sz="4" w:space="0" w:color="auto"/>
              <w:right w:val="nil"/>
            </w:tcBorders>
            <w:vAlign w:val="center"/>
          </w:tcPr>
          <w:p w14:paraId="0DA4EC91" w14:textId="77777777" w:rsidR="003F0CDB" w:rsidRPr="00EA0DC7" w:rsidRDefault="003F0CDB" w:rsidP="00F20CDF">
            <w:pPr>
              <w:spacing w:before="240" w:line="240" w:lineRule="auto"/>
              <w:jc w:val="center"/>
              <w:rPr>
                <w:rFonts w:eastAsia="Times New Roman" w:cs="Arial"/>
                <w:b/>
                <w:bCs/>
                <w:szCs w:val="24"/>
              </w:rPr>
            </w:pPr>
            <w:r w:rsidRPr="00EA0DC7">
              <w:rPr>
                <w:rFonts w:eastAsia="Times New Roman" w:cs="Arial"/>
                <w:b/>
                <w:bCs/>
                <w:szCs w:val="24"/>
              </w:rPr>
              <w:t>Client invited into supervision</w:t>
            </w:r>
          </w:p>
        </w:tc>
      </w:tr>
      <w:tr w:rsidR="003F0CDB" w:rsidRPr="00EA0DC7" w14:paraId="093B658B" w14:textId="77777777" w:rsidTr="00F4729C">
        <w:trPr>
          <w:trHeight w:val="1112"/>
        </w:trPr>
        <w:tc>
          <w:tcPr>
            <w:tcW w:w="3402" w:type="dxa"/>
            <w:tcBorders>
              <w:top w:val="single" w:sz="4" w:space="0" w:color="auto"/>
              <w:left w:val="nil"/>
              <w:right w:val="nil"/>
              <w:tl2br w:val="single" w:sz="4" w:space="0" w:color="auto"/>
            </w:tcBorders>
            <w:shd w:val="clear" w:color="auto" w:fill="auto"/>
            <w:hideMark/>
          </w:tcPr>
          <w:p w14:paraId="20CFBE43" w14:textId="77777777" w:rsidR="003F0CDB" w:rsidRPr="00EA0DC7" w:rsidRDefault="003F0CDB" w:rsidP="00F20CDF">
            <w:pPr>
              <w:spacing w:before="240" w:after="0" w:line="240" w:lineRule="auto"/>
              <w:jc w:val="right"/>
              <w:rPr>
                <w:rFonts w:eastAsia="Times New Roman" w:cs="Arial"/>
                <w:b/>
                <w:szCs w:val="24"/>
              </w:rPr>
            </w:pPr>
            <w:r w:rsidRPr="00EA0DC7">
              <w:rPr>
                <w:rFonts w:eastAsia="Times New Roman" w:cs="Arial"/>
                <w:b/>
                <w:szCs w:val="24"/>
              </w:rPr>
              <w:t>No. of models</w:t>
            </w:r>
          </w:p>
          <w:p w14:paraId="5CC2DF03" w14:textId="77777777" w:rsidR="003F0CDB" w:rsidRPr="00EA0DC7" w:rsidRDefault="003F0CDB" w:rsidP="00957911">
            <w:pPr>
              <w:spacing w:after="0" w:line="240" w:lineRule="auto"/>
              <w:jc w:val="right"/>
              <w:rPr>
                <w:rFonts w:eastAsia="Times New Roman" w:cs="Arial"/>
                <w:b/>
                <w:szCs w:val="24"/>
              </w:rPr>
            </w:pPr>
            <w:r w:rsidRPr="00EA0DC7">
              <w:rPr>
                <w:rFonts w:eastAsia="Times New Roman" w:cs="Arial"/>
                <w:b/>
                <w:szCs w:val="24"/>
              </w:rPr>
              <w:t>with</w:t>
            </w:r>
          </w:p>
          <w:p w14:paraId="3AF26BA7" w14:textId="77777777" w:rsidR="003F0CDB" w:rsidRPr="00EA0DC7" w:rsidRDefault="003F0CDB" w:rsidP="00957911">
            <w:pPr>
              <w:spacing w:after="0" w:line="240" w:lineRule="auto"/>
              <w:jc w:val="right"/>
              <w:rPr>
                <w:rFonts w:eastAsia="Times New Roman" w:cs="Arial"/>
                <w:b/>
                <w:bCs/>
                <w:szCs w:val="24"/>
              </w:rPr>
            </w:pPr>
            <w:r w:rsidRPr="00EA0DC7">
              <w:rPr>
                <w:rFonts w:eastAsia="Times New Roman" w:cs="Arial"/>
                <w:b/>
                <w:szCs w:val="24"/>
              </w:rPr>
              <w:t>element</w:t>
            </w:r>
          </w:p>
          <w:p w14:paraId="0118BF49" w14:textId="77777777" w:rsidR="003F0CDB" w:rsidRPr="00EA0DC7" w:rsidRDefault="003F0CDB" w:rsidP="00F20CDF">
            <w:pPr>
              <w:spacing w:line="240" w:lineRule="auto"/>
              <w:rPr>
                <w:rFonts w:eastAsia="Times New Roman" w:cs="Arial"/>
                <w:b/>
                <w:bCs/>
                <w:szCs w:val="24"/>
              </w:rPr>
            </w:pPr>
            <w:r w:rsidRPr="00EA0DC7">
              <w:rPr>
                <w:rFonts w:eastAsia="Times New Roman" w:cs="Arial"/>
                <w:b/>
                <w:bCs/>
                <w:szCs w:val="24"/>
              </w:rPr>
              <w:t>Model/ approach</w:t>
            </w:r>
          </w:p>
        </w:tc>
        <w:tc>
          <w:tcPr>
            <w:tcW w:w="1843" w:type="dxa"/>
            <w:tcBorders>
              <w:top w:val="single" w:sz="4" w:space="0" w:color="auto"/>
              <w:left w:val="nil"/>
              <w:right w:val="nil"/>
            </w:tcBorders>
            <w:shd w:val="clear" w:color="auto" w:fill="auto"/>
            <w:vAlign w:val="center"/>
            <w:hideMark/>
          </w:tcPr>
          <w:p w14:paraId="2D6F104A"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21</w:t>
            </w:r>
          </w:p>
          <w:p w14:paraId="18D0A647"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(40.38%)</w:t>
            </w:r>
          </w:p>
        </w:tc>
        <w:tc>
          <w:tcPr>
            <w:tcW w:w="1644" w:type="dxa"/>
            <w:tcBorders>
              <w:top w:val="single" w:sz="4" w:space="0" w:color="auto"/>
              <w:left w:val="nil"/>
              <w:right w:val="nil"/>
            </w:tcBorders>
            <w:vAlign w:val="center"/>
          </w:tcPr>
          <w:p w14:paraId="1787A409"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14</w:t>
            </w:r>
          </w:p>
          <w:p w14:paraId="49ACABDF"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(26.92%)</w:t>
            </w:r>
          </w:p>
        </w:tc>
        <w:tc>
          <w:tcPr>
            <w:tcW w:w="1701" w:type="dxa"/>
            <w:tcBorders>
              <w:top w:val="single" w:sz="4" w:space="0" w:color="auto"/>
              <w:left w:val="nil"/>
              <w:right w:val="nil"/>
            </w:tcBorders>
            <w:shd w:val="clear" w:color="auto" w:fill="auto"/>
            <w:vAlign w:val="center"/>
            <w:hideMark/>
          </w:tcPr>
          <w:p w14:paraId="004A6DDC"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w:t>
            </w:r>
          </w:p>
          <w:p w14:paraId="426532A4"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(7.69%)</w:t>
            </w:r>
          </w:p>
        </w:tc>
        <w:tc>
          <w:tcPr>
            <w:tcW w:w="2268" w:type="dxa"/>
            <w:tcBorders>
              <w:top w:val="single" w:sz="4" w:space="0" w:color="auto"/>
              <w:left w:val="nil"/>
              <w:right w:val="nil"/>
            </w:tcBorders>
            <w:vAlign w:val="center"/>
          </w:tcPr>
          <w:p w14:paraId="3F548D61"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w:t>
            </w:r>
          </w:p>
          <w:p w14:paraId="29C09543"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(3.85%)</w:t>
            </w:r>
          </w:p>
        </w:tc>
        <w:tc>
          <w:tcPr>
            <w:tcW w:w="1984" w:type="dxa"/>
            <w:tcBorders>
              <w:top w:val="single" w:sz="4" w:space="0" w:color="auto"/>
              <w:left w:val="nil"/>
              <w:right w:val="nil"/>
            </w:tcBorders>
            <w:vAlign w:val="center"/>
          </w:tcPr>
          <w:p w14:paraId="5C2AE8B4"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w:t>
            </w:r>
          </w:p>
          <w:p w14:paraId="752E3886"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(1.92%)</w:t>
            </w:r>
          </w:p>
        </w:tc>
      </w:tr>
      <w:tr w:rsidR="003F0CDB" w:rsidRPr="00EA0DC7" w14:paraId="310B3B6B" w14:textId="77777777" w:rsidTr="00F4729C">
        <w:trPr>
          <w:trHeight w:val="573"/>
        </w:trPr>
        <w:tc>
          <w:tcPr>
            <w:tcW w:w="3402" w:type="dxa"/>
            <w:tcBorders>
              <w:left w:val="nil"/>
              <w:bottom w:val="nil"/>
              <w:right w:val="nil"/>
            </w:tcBorders>
            <w:shd w:val="clear" w:color="auto" w:fill="auto"/>
            <w:vAlign w:val="bottom"/>
            <w:hideMark/>
          </w:tcPr>
          <w:p w14:paraId="46B33886" w14:textId="32982B4A" w:rsidR="003F0CDB" w:rsidRPr="00EA0DC7" w:rsidRDefault="003F0CDB" w:rsidP="00957911">
            <w:pPr>
              <w:spacing w:line="240" w:lineRule="auto"/>
              <w:rPr>
                <w:rFonts w:eastAsia="Times New Roman" w:cs="Arial"/>
                <w:szCs w:val="24"/>
              </w:rPr>
            </w:pPr>
            <w:r w:rsidRPr="00EA0DC7">
              <w:rPr>
                <w:rFonts w:eastAsia="Times New Roman" w:cs="Arial"/>
                <w:szCs w:val="24"/>
              </w:rPr>
              <w:t>Hogan (1964)</w:t>
            </w:r>
          </w:p>
        </w:tc>
        <w:tc>
          <w:tcPr>
            <w:tcW w:w="1843" w:type="dxa"/>
            <w:tcBorders>
              <w:left w:val="nil"/>
              <w:bottom w:val="nil"/>
              <w:right w:val="nil"/>
            </w:tcBorders>
            <w:shd w:val="clear" w:color="auto" w:fill="auto"/>
            <w:noWrap/>
            <w:vAlign w:val="center"/>
            <w:hideMark/>
          </w:tcPr>
          <w:p w14:paraId="648C3AE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left w:val="nil"/>
              <w:bottom w:val="nil"/>
              <w:right w:val="nil"/>
            </w:tcBorders>
            <w:vAlign w:val="center"/>
          </w:tcPr>
          <w:p w14:paraId="72BCA20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shd w:val="clear" w:color="auto" w:fill="auto"/>
            <w:noWrap/>
            <w:vAlign w:val="center"/>
            <w:hideMark/>
          </w:tcPr>
          <w:p w14:paraId="49A0FF3F" w14:textId="77777777" w:rsidR="003F0CDB" w:rsidRPr="00EA0DC7" w:rsidRDefault="003F0CDB" w:rsidP="00957911">
            <w:pPr>
              <w:spacing w:line="240" w:lineRule="auto"/>
              <w:jc w:val="center"/>
              <w:rPr>
                <w:rFonts w:eastAsia="Times New Roman" w:cs="Arial"/>
                <w:szCs w:val="24"/>
              </w:rPr>
            </w:pPr>
          </w:p>
        </w:tc>
        <w:tc>
          <w:tcPr>
            <w:tcW w:w="2268" w:type="dxa"/>
            <w:tcBorders>
              <w:left w:val="nil"/>
              <w:bottom w:val="nil"/>
              <w:right w:val="nil"/>
            </w:tcBorders>
            <w:vAlign w:val="center"/>
          </w:tcPr>
          <w:p w14:paraId="406CF4E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left w:val="nil"/>
              <w:bottom w:val="nil"/>
              <w:right w:val="nil"/>
            </w:tcBorders>
            <w:vAlign w:val="center"/>
          </w:tcPr>
          <w:p w14:paraId="2EFCBDD4" w14:textId="77777777" w:rsidR="003F0CDB" w:rsidRPr="00EA0DC7" w:rsidRDefault="003F0CDB" w:rsidP="00957911">
            <w:pPr>
              <w:spacing w:line="240" w:lineRule="auto"/>
              <w:jc w:val="center"/>
              <w:rPr>
                <w:rFonts w:eastAsia="Times New Roman" w:cs="Arial"/>
                <w:szCs w:val="24"/>
              </w:rPr>
            </w:pPr>
          </w:p>
        </w:tc>
      </w:tr>
      <w:tr w:rsidR="003F0CDB" w:rsidRPr="00EA0DC7" w14:paraId="1DA5F007" w14:textId="77777777" w:rsidTr="00F20CDF">
        <w:trPr>
          <w:trHeight w:val="423"/>
        </w:trPr>
        <w:tc>
          <w:tcPr>
            <w:tcW w:w="3402" w:type="dxa"/>
            <w:tcBorders>
              <w:top w:val="nil"/>
              <w:left w:val="nil"/>
              <w:bottom w:val="nil"/>
              <w:right w:val="nil"/>
            </w:tcBorders>
            <w:shd w:val="clear" w:color="auto" w:fill="auto"/>
            <w:vAlign w:val="bottom"/>
            <w:hideMark/>
          </w:tcPr>
          <w:p w14:paraId="16F343B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Ekstein &amp; Wallerstein (1972)</w:t>
            </w:r>
          </w:p>
        </w:tc>
        <w:tc>
          <w:tcPr>
            <w:tcW w:w="1843" w:type="dxa"/>
            <w:tcBorders>
              <w:top w:val="nil"/>
              <w:left w:val="nil"/>
              <w:bottom w:val="nil"/>
              <w:right w:val="nil"/>
            </w:tcBorders>
            <w:shd w:val="clear" w:color="auto" w:fill="auto"/>
            <w:noWrap/>
            <w:vAlign w:val="center"/>
            <w:hideMark/>
          </w:tcPr>
          <w:p w14:paraId="0D78FCFA"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758DB93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59076E3C"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0D1CEC5C"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29A442DD" w14:textId="77777777" w:rsidR="003F0CDB" w:rsidRPr="00EA0DC7" w:rsidRDefault="003F0CDB" w:rsidP="00957911">
            <w:pPr>
              <w:spacing w:line="240" w:lineRule="auto"/>
              <w:jc w:val="center"/>
              <w:rPr>
                <w:rFonts w:eastAsia="Times New Roman" w:cs="Arial"/>
                <w:szCs w:val="24"/>
              </w:rPr>
            </w:pPr>
          </w:p>
        </w:tc>
      </w:tr>
      <w:tr w:rsidR="003F0CDB" w:rsidRPr="00EA0DC7" w14:paraId="6D122E6E" w14:textId="77777777" w:rsidTr="00F20CDF">
        <w:trPr>
          <w:trHeight w:val="80"/>
        </w:trPr>
        <w:tc>
          <w:tcPr>
            <w:tcW w:w="3402" w:type="dxa"/>
            <w:tcBorders>
              <w:top w:val="nil"/>
              <w:left w:val="nil"/>
              <w:bottom w:val="nil"/>
              <w:right w:val="nil"/>
            </w:tcBorders>
            <w:shd w:val="clear" w:color="auto" w:fill="auto"/>
            <w:vAlign w:val="bottom"/>
            <w:hideMark/>
          </w:tcPr>
          <w:p w14:paraId="01F60AE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Mueller &amp; Kell (1971)</w:t>
            </w:r>
          </w:p>
        </w:tc>
        <w:tc>
          <w:tcPr>
            <w:tcW w:w="1843" w:type="dxa"/>
            <w:tcBorders>
              <w:top w:val="nil"/>
              <w:left w:val="nil"/>
              <w:bottom w:val="nil"/>
              <w:right w:val="nil"/>
            </w:tcBorders>
            <w:shd w:val="clear" w:color="auto" w:fill="auto"/>
            <w:noWrap/>
            <w:vAlign w:val="center"/>
            <w:hideMark/>
          </w:tcPr>
          <w:p w14:paraId="570DB30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439B308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33A2637F"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7CFC38B"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88DA57A" w14:textId="77777777" w:rsidR="003F0CDB" w:rsidRPr="00EA0DC7" w:rsidRDefault="003F0CDB" w:rsidP="00957911">
            <w:pPr>
              <w:spacing w:line="240" w:lineRule="auto"/>
              <w:jc w:val="center"/>
              <w:rPr>
                <w:rFonts w:eastAsia="Times New Roman" w:cs="Arial"/>
                <w:szCs w:val="24"/>
              </w:rPr>
            </w:pPr>
          </w:p>
        </w:tc>
      </w:tr>
      <w:tr w:rsidR="003F0CDB" w:rsidRPr="00EA0DC7" w14:paraId="66C7F523" w14:textId="77777777" w:rsidTr="00F20CDF">
        <w:trPr>
          <w:trHeight w:val="80"/>
        </w:trPr>
        <w:tc>
          <w:tcPr>
            <w:tcW w:w="3402" w:type="dxa"/>
            <w:tcBorders>
              <w:top w:val="nil"/>
              <w:left w:val="nil"/>
              <w:bottom w:val="nil"/>
              <w:right w:val="nil"/>
            </w:tcBorders>
            <w:shd w:val="clear" w:color="auto" w:fill="auto"/>
            <w:vAlign w:val="bottom"/>
            <w:hideMark/>
          </w:tcPr>
          <w:p w14:paraId="6D8C2E90"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Delaney (1972)</w:t>
            </w:r>
          </w:p>
        </w:tc>
        <w:tc>
          <w:tcPr>
            <w:tcW w:w="1843" w:type="dxa"/>
            <w:tcBorders>
              <w:top w:val="nil"/>
              <w:left w:val="nil"/>
              <w:bottom w:val="nil"/>
              <w:right w:val="nil"/>
            </w:tcBorders>
            <w:shd w:val="clear" w:color="auto" w:fill="auto"/>
            <w:noWrap/>
            <w:vAlign w:val="center"/>
            <w:hideMark/>
          </w:tcPr>
          <w:p w14:paraId="35E34D37"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6C15F70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21B34674"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5A2818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64F99B0" w14:textId="77777777" w:rsidR="003F0CDB" w:rsidRPr="00EA0DC7" w:rsidRDefault="003F0CDB" w:rsidP="00957911">
            <w:pPr>
              <w:spacing w:line="240" w:lineRule="auto"/>
              <w:jc w:val="center"/>
              <w:rPr>
                <w:rFonts w:eastAsia="Times New Roman" w:cs="Arial"/>
                <w:szCs w:val="24"/>
              </w:rPr>
            </w:pPr>
          </w:p>
        </w:tc>
      </w:tr>
      <w:tr w:rsidR="003F0CDB" w:rsidRPr="00EA0DC7" w14:paraId="4E122583" w14:textId="77777777" w:rsidTr="00F20CDF">
        <w:trPr>
          <w:trHeight w:val="80"/>
        </w:trPr>
        <w:tc>
          <w:tcPr>
            <w:tcW w:w="3402" w:type="dxa"/>
            <w:tcBorders>
              <w:top w:val="nil"/>
              <w:left w:val="nil"/>
              <w:bottom w:val="nil"/>
              <w:right w:val="nil"/>
            </w:tcBorders>
            <w:shd w:val="clear" w:color="auto" w:fill="auto"/>
            <w:vAlign w:val="bottom"/>
            <w:hideMark/>
          </w:tcPr>
          <w:p w14:paraId="201437D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Ard (1973)</w:t>
            </w:r>
          </w:p>
        </w:tc>
        <w:tc>
          <w:tcPr>
            <w:tcW w:w="1843" w:type="dxa"/>
            <w:tcBorders>
              <w:top w:val="nil"/>
              <w:left w:val="nil"/>
              <w:bottom w:val="nil"/>
              <w:right w:val="nil"/>
            </w:tcBorders>
            <w:shd w:val="clear" w:color="auto" w:fill="auto"/>
            <w:noWrap/>
            <w:vAlign w:val="center"/>
            <w:hideMark/>
          </w:tcPr>
          <w:p w14:paraId="42AE7A0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3A8B8F3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17013D4B"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25992EB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00A17BAC" w14:textId="77777777" w:rsidR="003F0CDB" w:rsidRPr="00EA0DC7" w:rsidRDefault="003F0CDB" w:rsidP="00957911">
            <w:pPr>
              <w:spacing w:line="240" w:lineRule="auto"/>
              <w:jc w:val="center"/>
              <w:rPr>
                <w:rFonts w:eastAsia="Times New Roman" w:cs="Arial"/>
                <w:szCs w:val="24"/>
              </w:rPr>
            </w:pPr>
          </w:p>
        </w:tc>
      </w:tr>
      <w:tr w:rsidR="003F0CDB" w:rsidRPr="00EA0DC7" w14:paraId="055E5DD0" w14:textId="77777777" w:rsidTr="00F20CDF">
        <w:trPr>
          <w:trHeight w:val="80"/>
        </w:trPr>
        <w:tc>
          <w:tcPr>
            <w:tcW w:w="3402" w:type="dxa"/>
            <w:tcBorders>
              <w:top w:val="nil"/>
              <w:left w:val="nil"/>
              <w:bottom w:val="nil"/>
              <w:right w:val="nil"/>
            </w:tcBorders>
            <w:shd w:val="clear" w:color="auto" w:fill="auto"/>
            <w:vAlign w:val="bottom"/>
            <w:hideMark/>
          </w:tcPr>
          <w:p w14:paraId="2935FCF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Bernard (1979)</w:t>
            </w:r>
          </w:p>
        </w:tc>
        <w:tc>
          <w:tcPr>
            <w:tcW w:w="1843" w:type="dxa"/>
            <w:tcBorders>
              <w:top w:val="nil"/>
              <w:left w:val="nil"/>
              <w:bottom w:val="nil"/>
              <w:right w:val="nil"/>
            </w:tcBorders>
            <w:shd w:val="clear" w:color="auto" w:fill="auto"/>
            <w:noWrap/>
            <w:vAlign w:val="center"/>
            <w:hideMark/>
          </w:tcPr>
          <w:p w14:paraId="17375885"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414B9B4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0C914FD6"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3DB07213"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3515189F" w14:textId="77777777" w:rsidR="003F0CDB" w:rsidRPr="00EA0DC7" w:rsidRDefault="003F0CDB" w:rsidP="00957911">
            <w:pPr>
              <w:spacing w:line="240" w:lineRule="auto"/>
              <w:jc w:val="center"/>
              <w:rPr>
                <w:rFonts w:eastAsia="Times New Roman" w:cs="Arial"/>
                <w:szCs w:val="24"/>
              </w:rPr>
            </w:pPr>
          </w:p>
        </w:tc>
      </w:tr>
      <w:tr w:rsidR="003F0CDB" w:rsidRPr="00EA0DC7" w14:paraId="64AAC909" w14:textId="77777777" w:rsidTr="00F20CDF">
        <w:trPr>
          <w:trHeight w:val="80"/>
        </w:trPr>
        <w:tc>
          <w:tcPr>
            <w:tcW w:w="3402" w:type="dxa"/>
            <w:tcBorders>
              <w:top w:val="nil"/>
              <w:left w:val="nil"/>
              <w:bottom w:val="nil"/>
              <w:right w:val="nil"/>
            </w:tcBorders>
            <w:shd w:val="clear" w:color="auto" w:fill="auto"/>
            <w:vAlign w:val="bottom"/>
            <w:hideMark/>
          </w:tcPr>
          <w:p w14:paraId="1041A412"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Littrell et al. (1979)</w:t>
            </w:r>
          </w:p>
        </w:tc>
        <w:tc>
          <w:tcPr>
            <w:tcW w:w="1843" w:type="dxa"/>
            <w:tcBorders>
              <w:top w:val="nil"/>
              <w:left w:val="nil"/>
              <w:bottom w:val="nil"/>
              <w:right w:val="nil"/>
            </w:tcBorders>
            <w:shd w:val="clear" w:color="auto" w:fill="auto"/>
            <w:noWrap/>
            <w:vAlign w:val="center"/>
            <w:hideMark/>
          </w:tcPr>
          <w:p w14:paraId="41400029"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4F52F28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3C2EB90D"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677DEE4E"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652C0438" w14:textId="77777777" w:rsidR="003F0CDB" w:rsidRPr="00EA0DC7" w:rsidRDefault="003F0CDB" w:rsidP="00957911">
            <w:pPr>
              <w:spacing w:line="240" w:lineRule="auto"/>
              <w:jc w:val="center"/>
              <w:rPr>
                <w:rFonts w:eastAsia="Times New Roman" w:cs="Arial"/>
                <w:szCs w:val="24"/>
              </w:rPr>
            </w:pPr>
          </w:p>
        </w:tc>
      </w:tr>
      <w:tr w:rsidR="003F0CDB" w:rsidRPr="00EA0DC7" w14:paraId="551A51CF" w14:textId="77777777" w:rsidTr="00F20CDF">
        <w:trPr>
          <w:trHeight w:val="459"/>
        </w:trPr>
        <w:tc>
          <w:tcPr>
            <w:tcW w:w="3402" w:type="dxa"/>
            <w:tcBorders>
              <w:top w:val="nil"/>
              <w:left w:val="nil"/>
              <w:bottom w:val="single" w:sz="4" w:space="0" w:color="auto"/>
              <w:right w:val="nil"/>
            </w:tcBorders>
            <w:shd w:val="clear" w:color="auto" w:fill="auto"/>
            <w:vAlign w:val="bottom"/>
            <w:hideMark/>
          </w:tcPr>
          <w:p w14:paraId="06EF3F4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Langs (1980)</w:t>
            </w:r>
          </w:p>
        </w:tc>
        <w:tc>
          <w:tcPr>
            <w:tcW w:w="1843" w:type="dxa"/>
            <w:tcBorders>
              <w:top w:val="nil"/>
              <w:left w:val="nil"/>
              <w:bottom w:val="single" w:sz="4" w:space="0" w:color="auto"/>
              <w:right w:val="nil"/>
            </w:tcBorders>
            <w:shd w:val="clear" w:color="auto" w:fill="auto"/>
            <w:noWrap/>
            <w:vAlign w:val="center"/>
            <w:hideMark/>
          </w:tcPr>
          <w:p w14:paraId="235C4F6E"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single" w:sz="4" w:space="0" w:color="auto"/>
              <w:right w:val="nil"/>
            </w:tcBorders>
            <w:vAlign w:val="center"/>
          </w:tcPr>
          <w:p w14:paraId="275FFC5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shd w:val="clear" w:color="auto" w:fill="auto"/>
            <w:noWrap/>
            <w:vAlign w:val="center"/>
            <w:hideMark/>
          </w:tcPr>
          <w:p w14:paraId="2861479D"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single" w:sz="4" w:space="0" w:color="auto"/>
              <w:right w:val="nil"/>
            </w:tcBorders>
            <w:vAlign w:val="center"/>
          </w:tcPr>
          <w:p w14:paraId="370524FB"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single" w:sz="4" w:space="0" w:color="auto"/>
              <w:right w:val="nil"/>
            </w:tcBorders>
            <w:vAlign w:val="center"/>
          </w:tcPr>
          <w:p w14:paraId="5B688DF2" w14:textId="77777777" w:rsidR="003F0CDB" w:rsidRPr="00EA0DC7" w:rsidRDefault="003F0CDB" w:rsidP="00957911">
            <w:pPr>
              <w:spacing w:line="240" w:lineRule="auto"/>
              <w:jc w:val="center"/>
              <w:rPr>
                <w:rFonts w:eastAsia="Times New Roman" w:cs="Arial"/>
                <w:szCs w:val="24"/>
              </w:rPr>
            </w:pPr>
          </w:p>
        </w:tc>
      </w:tr>
    </w:tbl>
    <w:p w14:paraId="5EB9A56E" w14:textId="77777777" w:rsidR="00817A09" w:rsidRPr="00EA0DC7" w:rsidRDefault="00817A09" w:rsidP="00F20CDF">
      <w:pPr>
        <w:spacing w:before="240" w:line="240" w:lineRule="auto"/>
        <w:jc w:val="center"/>
        <w:rPr>
          <w:rFonts w:eastAsia="Times New Roman" w:cs="Arial"/>
          <w:b/>
          <w:bCs/>
          <w:szCs w:val="24"/>
        </w:rPr>
        <w:sectPr w:rsidR="00817A09" w:rsidRPr="00EA0DC7" w:rsidSect="001A0398">
          <w:pgSz w:w="16838" w:h="11906" w:orient="landscape"/>
          <w:pgMar w:top="2268" w:right="1440" w:bottom="1440" w:left="1440" w:header="709" w:footer="709" w:gutter="0"/>
          <w:cols w:space="708"/>
          <w:docGrid w:linePitch="360"/>
        </w:sectPr>
      </w:pPr>
    </w:p>
    <w:tbl>
      <w:tblPr>
        <w:tblW w:w="12842" w:type="dxa"/>
        <w:tblLayout w:type="fixed"/>
        <w:tblLook w:val="04A0" w:firstRow="1" w:lastRow="0" w:firstColumn="1" w:lastColumn="0" w:noHBand="0" w:noVBand="1"/>
      </w:tblPr>
      <w:tblGrid>
        <w:gridCol w:w="3402"/>
        <w:gridCol w:w="1843"/>
        <w:gridCol w:w="1644"/>
        <w:gridCol w:w="1701"/>
        <w:gridCol w:w="2268"/>
        <w:gridCol w:w="1984"/>
      </w:tblGrid>
      <w:tr w:rsidR="00F20CDF" w:rsidRPr="00EA0DC7" w14:paraId="2FA51B10" w14:textId="77777777" w:rsidTr="00F20CDF">
        <w:trPr>
          <w:trHeight w:val="235"/>
        </w:trPr>
        <w:tc>
          <w:tcPr>
            <w:tcW w:w="3402" w:type="dxa"/>
            <w:tcBorders>
              <w:top w:val="single" w:sz="4" w:space="0" w:color="auto"/>
              <w:left w:val="nil"/>
              <w:bottom w:val="single" w:sz="4" w:space="0" w:color="auto"/>
              <w:right w:val="nil"/>
            </w:tcBorders>
            <w:shd w:val="clear" w:color="auto" w:fill="auto"/>
            <w:vAlign w:val="center"/>
          </w:tcPr>
          <w:p w14:paraId="7BE9698C" w14:textId="2D277B80"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843" w:type="dxa"/>
            <w:tcBorders>
              <w:top w:val="single" w:sz="4" w:space="0" w:color="auto"/>
              <w:left w:val="nil"/>
              <w:bottom w:val="single" w:sz="4" w:space="0" w:color="auto"/>
              <w:right w:val="nil"/>
            </w:tcBorders>
            <w:shd w:val="clear" w:color="auto" w:fill="auto"/>
            <w:noWrap/>
            <w:vAlign w:val="center"/>
          </w:tcPr>
          <w:p w14:paraId="4483132D" w14:textId="3A91F080"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Group supervision</w:t>
            </w:r>
          </w:p>
        </w:tc>
        <w:tc>
          <w:tcPr>
            <w:tcW w:w="1644" w:type="dxa"/>
            <w:tcBorders>
              <w:top w:val="single" w:sz="4" w:space="0" w:color="auto"/>
              <w:left w:val="nil"/>
              <w:bottom w:val="single" w:sz="4" w:space="0" w:color="auto"/>
              <w:right w:val="nil"/>
            </w:tcBorders>
            <w:vAlign w:val="center"/>
          </w:tcPr>
          <w:p w14:paraId="73836DCD" w14:textId="0BC44155"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Peer supervision</w:t>
            </w:r>
          </w:p>
        </w:tc>
        <w:tc>
          <w:tcPr>
            <w:tcW w:w="1701" w:type="dxa"/>
            <w:tcBorders>
              <w:top w:val="single" w:sz="4" w:space="0" w:color="auto"/>
              <w:left w:val="nil"/>
              <w:bottom w:val="single" w:sz="4" w:space="0" w:color="auto"/>
              <w:right w:val="nil"/>
            </w:tcBorders>
            <w:shd w:val="clear" w:color="auto" w:fill="auto"/>
            <w:noWrap/>
            <w:vAlign w:val="center"/>
          </w:tcPr>
          <w:p w14:paraId="1418441E" w14:textId="030B23C3"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Self-supervision</w:t>
            </w:r>
          </w:p>
        </w:tc>
        <w:tc>
          <w:tcPr>
            <w:tcW w:w="2268" w:type="dxa"/>
            <w:tcBorders>
              <w:top w:val="single" w:sz="4" w:space="0" w:color="auto"/>
              <w:left w:val="nil"/>
              <w:bottom w:val="single" w:sz="4" w:space="0" w:color="auto"/>
              <w:right w:val="nil"/>
            </w:tcBorders>
            <w:vAlign w:val="center"/>
          </w:tcPr>
          <w:p w14:paraId="01F9E315" w14:textId="5D67A70F"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Phone/ email/ tele-conferencing supervision</w:t>
            </w:r>
          </w:p>
        </w:tc>
        <w:tc>
          <w:tcPr>
            <w:tcW w:w="1984" w:type="dxa"/>
            <w:tcBorders>
              <w:top w:val="single" w:sz="4" w:space="0" w:color="auto"/>
              <w:left w:val="nil"/>
              <w:bottom w:val="single" w:sz="4" w:space="0" w:color="auto"/>
              <w:right w:val="nil"/>
            </w:tcBorders>
            <w:vAlign w:val="center"/>
          </w:tcPr>
          <w:p w14:paraId="6A89483C" w14:textId="6C80E5A2"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Client invited into supervision</w:t>
            </w:r>
          </w:p>
        </w:tc>
      </w:tr>
      <w:tr w:rsidR="003F0CDB" w:rsidRPr="00EA0DC7" w14:paraId="6BF51CAE" w14:textId="77777777" w:rsidTr="00F20CDF">
        <w:trPr>
          <w:trHeight w:val="235"/>
        </w:trPr>
        <w:tc>
          <w:tcPr>
            <w:tcW w:w="3402" w:type="dxa"/>
            <w:tcBorders>
              <w:top w:val="single" w:sz="4" w:space="0" w:color="auto"/>
              <w:left w:val="nil"/>
              <w:bottom w:val="nil"/>
              <w:right w:val="nil"/>
            </w:tcBorders>
            <w:shd w:val="clear" w:color="auto" w:fill="auto"/>
            <w:hideMark/>
          </w:tcPr>
          <w:p w14:paraId="6DC14451" w14:textId="77777777" w:rsidR="003F0CDB" w:rsidRPr="00EA0DC7" w:rsidRDefault="003F0CDB" w:rsidP="00F20CDF">
            <w:pPr>
              <w:spacing w:before="240" w:line="240" w:lineRule="auto"/>
              <w:rPr>
                <w:rFonts w:eastAsia="Times New Roman" w:cs="Arial"/>
                <w:szCs w:val="24"/>
              </w:rPr>
            </w:pPr>
            <w:r w:rsidRPr="00EA0DC7">
              <w:rPr>
                <w:rFonts w:eastAsia="Times New Roman" w:cs="Arial"/>
                <w:szCs w:val="24"/>
              </w:rPr>
              <w:t>Rice (1980)</w:t>
            </w:r>
          </w:p>
        </w:tc>
        <w:tc>
          <w:tcPr>
            <w:tcW w:w="1843" w:type="dxa"/>
            <w:tcBorders>
              <w:top w:val="single" w:sz="4" w:space="0" w:color="auto"/>
              <w:left w:val="nil"/>
              <w:bottom w:val="nil"/>
              <w:right w:val="nil"/>
            </w:tcBorders>
            <w:shd w:val="clear" w:color="auto" w:fill="auto"/>
            <w:noWrap/>
            <w:vAlign w:val="center"/>
            <w:hideMark/>
          </w:tcPr>
          <w:p w14:paraId="2A66DAA0" w14:textId="77777777" w:rsidR="003F0CDB" w:rsidRPr="00EA0DC7" w:rsidRDefault="003F0CDB" w:rsidP="00F20CDF">
            <w:pPr>
              <w:spacing w:before="240" w:line="240" w:lineRule="auto"/>
              <w:jc w:val="center"/>
              <w:rPr>
                <w:rFonts w:eastAsia="Times New Roman" w:cs="Arial"/>
                <w:szCs w:val="24"/>
              </w:rPr>
            </w:pPr>
          </w:p>
        </w:tc>
        <w:tc>
          <w:tcPr>
            <w:tcW w:w="1644" w:type="dxa"/>
            <w:tcBorders>
              <w:top w:val="single" w:sz="4" w:space="0" w:color="auto"/>
              <w:left w:val="nil"/>
              <w:bottom w:val="nil"/>
              <w:right w:val="nil"/>
            </w:tcBorders>
            <w:vAlign w:val="center"/>
          </w:tcPr>
          <w:p w14:paraId="46DE0810" w14:textId="77777777" w:rsidR="003F0CDB" w:rsidRPr="00EA0DC7" w:rsidRDefault="003F0CDB" w:rsidP="00F20CDF">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shd w:val="clear" w:color="auto" w:fill="auto"/>
            <w:noWrap/>
            <w:vAlign w:val="center"/>
            <w:hideMark/>
          </w:tcPr>
          <w:p w14:paraId="4EE822C8" w14:textId="77777777" w:rsidR="003F0CDB" w:rsidRPr="00EA0DC7" w:rsidRDefault="003F0CDB" w:rsidP="00F20CDF">
            <w:pPr>
              <w:spacing w:before="240" w:line="240" w:lineRule="auto"/>
              <w:jc w:val="center"/>
              <w:rPr>
                <w:rFonts w:eastAsia="Times New Roman" w:cs="Arial"/>
                <w:szCs w:val="24"/>
              </w:rPr>
            </w:pPr>
          </w:p>
        </w:tc>
        <w:tc>
          <w:tcPr>
            <w:tcW w:w="2268" w:type="dxa"/>
            <w:tcBorders>
              <w:top w:val="single" w:sz="4" w:space="0" w:color="auto"/>
              <w:left w:val="nil"/>
              <w:bottom w:val="nil"/>
              <w:right w:val="nil"/>
            </w:tcBorders>
            <w:vAlign w:val="center"/>
          </w:tcPr>
          <w:p w14:paraId="3A8B2BBF" w14:textId="77777777" w:rsidR="003F0CDB" w:rsidRPr="00EA0DC7" w:rsidRDefault="003F0CDB" w:rsidP="00F20CDF">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vAlign w:val="center"/>
          </w:tcPr>
          <w:p w14:paraId="081A171B" w14:textId="77777777" w:rsidR="003F0CDB" w:rsidRPr="00EA0DC7" w:rsidRDefault="003F0CDB" w:rsidP="00F20CDF">
            <w:pPr>
              <w:spacing w:before="240" w:line="240" w:lineRule="auto"/>
              <w:jc w:val="center"/>
              <w:rPr>
                <w:rFonts w:eastAsia="Times New Roman" w:cs="Arial"/>
                <w:szCs w:val="24"/>
              </w:rPr>
            </w:pPr>
          </w:p>
        </w:tc>
      </w:tr>
      <w:tr w:rsidR="003F0CDB" w:rsidRPr="00EA0DC7" w14:paraId="0EB069A4" w14:textId="77777777" w:rsidTr="00F20CDF">
        <w:trPr>
          <w:trHeight w:val="135"/>
        </w:trPr>
        <w:tc>
          <w:tcPr>
            <w:tcW w:w="3402" w:type="dxa"/>
            <w:tcBorders>
              <w:top w:val="nil"/>
              <w:left w:val="nil"/>
              <w:bottom w:val="nil"/>
              <w:right w:val="nil"/>
            </w:tcBorders>
            <w:shd w:val="clear" w:color="auto" w:fill="auto"/>
            <w:vAlign w:val="bottom"/>
            <w:hideMark/>
          </w:tcPr>
          <w:p w14:paraId="355A300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Linehan (1980)</w:t>
            </w:r>
          </w:p>
        </w:tc>
        <w:tc>
          <w:tcPr>
            <w:tcW w:w="1843" w:type="dxa"/>
            <w:tcBorders>
              <w:top w:val="nil"/>
              <w:left w:val="nil"/>
              <w:bottom w:val="nil"/>
              <w:right w:val="nil"/>
            </w:tcBorders>
            <w:shd w:val="clear" w:color="auto" w:fill="auto"/>
            <w:noWrap/>
            <w:vAlign w:val="center"/>
            <w:hideMark/>
          </w:tcPr>
          <w:p w14:paraId="5FF251D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6E3A8D4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5749E2E2"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4891E413"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1FE77CEE" w14:textId="77777777" w:rsidR="003F0CDB" w:rsidRPr="00EA0DC7" w:rsidRDefault="003F0CDB" w:rsidP="00957911">
            <w:pPr>
              <w:spacing w:line="240" w:lineRule="auto"/>
              <w:jc w:val="center"/>
              <w:rPr>
                <w:rFonts w:eastAsia="Times New Roman" w:cs="Arial"/>
                <w:szCs w:val="24"/>
              </w:rPr>
            </w:pPr>
          </w:p>
        </w:tc>
      </w:tr>
      <w:tr w:rsidR="003F0CDB" w:rsidRPr="00EA0DC7" w14:paraId="2921A44B" w14:textId="77777777" w:rsidTr="00F20CDF">
        <w:trPr>
          <w:trHeight w:val="238"/>
        </w:trPr>
        <w:tc>
          <w:tcPr>
            <w:tcW w:w="3402" w:type="dxa"/>
            <w:tcBorders>
              <w:top w:val="nil"/>
              <w:left w:val="nil"/>
              <w:right w:val="nil"/>
            </w:tcBorders>
            <w:shd w:val="clear" w:color="auto" w:fill="auto"/>
            <w:hideMark/>
          </w:tcPr>
          <w:p w14:paraId="20D16E6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Beier &amp; Young (1980)</w:t>
            </w:r>
          </w:p>
        </w:tc>
        <w:tc>
          <w:tcPr>
            <w:tcW w:w="1843" w:type="dxa"/>
            <w:tcBorders>
              <w:top w:val="nil"/>
              <w:left w:val="nil"/>
              <w:right w:val="nil"/>
            </w:tcBorders>
            <w:shd w:val="clear" w:color="auto" w:fill="auto"/>
            <w:noWrap/>
            <w:vAlign w:val="center"/>
            <w:hideMark/>
          </w:tcPr>
          <w:p w14:paraId="1D8442C0"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right w:val="nil"/>
            </w:tcBorders>
            <w:vAlign w:val="center"/>
          </w:tcPr>
          <w:p w14:paraId="76018C79"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shd w:val="clear" w:color="auto" w:fill="auto"/>
            <w:noWrap/>
            <w:vAlign w:val="center"/>
            <w:hideMark/>
          </w:tcPr>
          <w:p w14:paraId="3476FE29"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54013CA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4E803FEF" w14:textId="77777777" w:rsidR="003F0CDB" w:rsidRPr="00EA0DC7" w:rsidRDefault="003F0CDB" w:rsidP="00957911">
            <w:pPr>
              <w:spacing w:line="240" w:lineRule="auto"/>
              <w:jc w:val="center"/>
              <w:rPr>
                <w:rFonts w:eastAsia="Times New Roman" w:cs="Arial"/>
                <w:szCs w:val="24"/>
              </w:rPr>
            </w:pPr>
          </w:p>
        </w:tc>
      </w:tr>
      <w:tr w:rsidR="003F0CDB" w:rsidRPr="00EA0DC7" w14:paraId="7192532D" w14:textId="77777777" w:rsidTr="00F20CDF">
        <w:trPr>
          <w:trHeight w:val="287"/>
        </w:trPr>
        <w:tc>
          <w:tcPr>
            <w:tcW w:w="3402" w:type="dxa"/>
            <w:tcBorders>
              <w:left w:val="nil"/>
              <w:right w:val="nil"/>
            </w:tcBorders>
            <w:shd w:val="clear" w:color="auto" w:fill="auto"/>
            <w:vAlign w:val="bottom"/>
            <w:hideMark/>
          </w:tcPr>
          <w:p w14:paraId="304C9EC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Stoltenberg (1981)</w:t>
            </w:r>
          </w:p>
        </w:tc>
        <w:tc>
          <w:tcPr>
            <w:tcW w:w="1843" w:type="dxa"/>
            <w:tcBorders>
              <w:left w:val="nil"/>
              <w:right w:val="nil"/>
            </w:tcBorders>
            <w:shd w:val="clear" w:color="auto" w:fill="auto"/>
            <w:noWrap/>
            <w:vAlign w:val="center"/>
            <w:hideMark/>
          </w:tcPr>
          <w:p w14:paraId="0674C1C5" w14:textId="77777777" w:rsidR="003F0CDB" w:rsidRPr="00EA0DC7" w:rsidRDefault="003F0CDB" w:rsidP="00957911">
            <w:pPr>
              <w:spacing w:line="240" w:lineRule="auto"/>
              <w:jc w:val="center"/>
              <w:rPr>
                <w:rFonts w:eastAsia="Times New Roman" w:cs="Arial"/>
                <w:szCs w:val="24"/>
              </w:rPr>
            </w:pPr>
          </w:p>
        </w:tc>
        <w:tc>
          <w:tcPr>
            <w:tcW w:w="1644" w:type="dxa"/>
            <w:tcBorders>
              <w:left w:val="nil"/>
              <w:right w:val="nil"/>
            </w:tcBorders>
            <w:vAlign w:val="center"/>
          </w:tcPr>
          <w:p w14:paraId="483A44E2"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shd w:val="clear" w:color="auto" w:fill="auto"/>
            <w:noWrap/>
            <w:vAlign w:val="center"/>
            <w:hideMark/>
          </w:tcPr>
          <w:p w14:paraId="7E717348" w14:textId="77777777" w:rsidR="003F0CDB" w:rsidRPr="00EA0DC7" w:rsidRDefault="003F0CDB" w:rsidP="00957911">
            <w:pPr>
              <w:spacing w:line="240" w:lineRule="auto"/>
              <w:jc w:val="center"/>
              <w:rPr>
                <w:rFonts w:eastAsia="Times New Roman" w:cs="Arial"/>
                <w:szCs w:val="24"/>
              </w:rPr>
            </w:pPr>
          </w:p>
        </w:tc>
        <w:tc>
          <w:tcPr>
            <w:tcW w:w="2268" w:type="dxa"/>
            <w:tcBorders>
              <w:left w:val="nil"/>
              <w:right w:val="nil"/>
            </w:tcBorders>
            <w:vAlign w:val="center"/>
          </w:tcPr>
          <w:p w14:paraId="6160818C" w14:textId="77777777" w:rsidR="003F0CDB" w:rsidRPr="00EA0DC7" w:rsidRDefault="003F0CDB" w:rsidP="00957911">
            <w:pPr>
              <w:spacing w:line="240" w:lineRule="auto"/>
              <w:jc w:val="center"/>
              <w:rPr>
                <w:rFonts w:eastAsia="Times New Roman" w:cs="Arial"/>
                <w:szCs w:val="24"/>
              </w:rPr>
            </w:pPr>
          </w:p>
        </w:tc>
        <w:tc>
          <w:tcPr>
            <w:tcW w:w="1984" w:type="dxa"/>
            <w:tcBorders>
              <w:left w:val="nil"/>
              <w:right w:val="nil"/>
            </w:tcBorders>
            <w:vAlign w:val="center"/>
          </w:tcPr>
          <w:p w14:paraId="4E56C362" w14:textId="77777777" w:rsidR="003F0CDB" w:rsidRPr="00EA0DC7" w:rsidRDefault="003F0CDB" w:rsidP="00957911">
            <w:pPr>
              <w:spacing w:line="240" w:lineRule="auto"/>
              <w:jc w:val="center"/>
              <w:rPr>
                <w:rFonts w:eastAsia="Times New Roman" w:cs="Arial"/>
                <w:szCs w:val="24"/>
              </w:rPr>
            </w:pPr>
          </w:p>
        </w:tc>
      </w:tr>
      <w:tr w:rsidR="003F0CDB" w:rsidRPr="00EA0DC7" w14:paraId="0ACA68F0" w14:textId="77777777" w:rsidTr="00F20CDF">
        <w:trPr>
          <w:trHeight w:val="80"/>
        </w:trPr>
        <w:tc>
          <w:tcPr>
            <w:tcW w:w="3402" w:type="dxa"/>
            <w:tcBorders>
              <w:left w:val="nil"/>
              <w:bottom w:val="nil"/>
              <w:right w:val="nil"/>
            </w:tcBorders>
            <w:shd w:val="clear" w:color="auto" w:fill="auto"/>
            <w:vAlign w:val="bottom"/>
            <w:hideMark/>
          </w:tcPr>
          <w:p w14:paraId="158DD79E"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Loganbill et al. (1982)</w:t>
            </w:r>
          </w:p>
        </w:tc>
        <w:tc>
          <w:tcPr>
            <w:tcW w:w="1843" w:type="dxa"/>
            <w:tcBorders>
              <w:left w:val="nil"/>
              <w:bottom w:val="nil"/>
              <w:right w:val="nil"/>
            </w:tcBorders>
            <w:shd w:val="clear" w:color="auto" w:fill="auto"/>
            <w:noWrap/>
            <w:vAlign w:val="center"/>
            <w:hideMark/>
          </w:tcPr>
          <w:p w14:paraId="7D957C05" w14:textId="77777777" w:rsidR="003F0CDB" w:rsidRPr="00EA0DC7" w:rsidRDefault="003F0CDB" w:rsidP="00957911">
            <w:pPr>
              <w:spacing w:line="240" w:lineRule="auto"/>
              <w:jc w:val="center"/>
              <w:rPr>
                <w:rFonts w:eastAsia="Times New Roman" w:cs="Arial"/>
                <w:szCs w:val="24"/>
              </w:rPr>
            </w:pPr>
          </w:p>
        </w:tc>
        <w:tc>
          <w:tcPr>
            <w:tcW w:w="1644" w:type="dxa"/>
            <w:tcBorders>
              <w:left w:val="nil"/>
              <w:bottom w:val="nil"/>
              <w:right w:val="nil"/>
            </w:tcBorders>
            <w:vAlign w:val="center"/>
          </w:tcPr>
          <w:p w14:paraId="6AC3D1C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shd w:val="clear" w:color="auto" w:fill="auto"/>
            <w:noWrap/>
            <w:vAlign w:val="center"/>
            <w:hideMark/>
          </w:tcPr>
          <w:p w14:paraId="75540387" w14:textId="77777777" w:rsidR="003F0CDB" w:rsidRPr="00EA0DC7" w:rsidRDefault="003F0CDB" w:rsidP="00957911">
            <w:pPr>
              <w:spacing w:line="240" w:lineRule="auto"/>
              <w:jc w:val="center"/>
              <w:rPr>
                <w:rFonts w:eastAsia="Times New Roman" w:cs="Arial"/>
                <w:szCs w:val="24"/>
              </w:rPr>
            </w:pPr>
          </w:p>
        </w:tc>
        <w:tc>
          <w:tcPr>
            <w:tcW w:w="2268" w:type="dxa"/>
            <w:tcBorders>
              <w:left w:val="nil"/>
              <w:bottom w:val="nil"/>
              <w:right w:val="nil"/>
            </w:tcBorders>
            <w:vAlign w:val="center"/>
          </w:tcPr>
          <w:p w14:paraId="33184762" w14:textId="77777777" w:rsidR="003F0CDB" w:rsidRPr="00EA0DC7" w:rsidRDefault="003F0CDB" w:rsidP="00957911">
            <w:pPr>
              <w:spacing w:line="240" w:lineRule="auto"/>
              <w:jc w:val="center"/>
              <w:rPr>
                <w:rFonts w:eastAsia="Times New Roman" w:cs="Arial"/>
                <w:szCs w:val="24"/>
              </w:rPr>
            </w:pPr>
          </w:p>
        </w:tc>
        <w:tc>
          <w:tcPr>
            <w:tcW w:w="1984" w:type="dxa"/>
            <w:tcBorders>
              <w:left w:val="nil"/>
              <w:bottom w:val="nil"/>
              <w:right w:val="nil"/>
            </w:tcBorders>
            <w:vAlign w:val="center"/>
          </w:tcPr>
          <w:p w14:paraId="45773F76" w14:textId="77777777" w:rsidR="003F0CDB" w:rsidRPr="00EA0DC7" w:rsidRDefault="003F0CDB" w:rsidP="00957911">
            <w:pPr>
              <w:spacing w:line="240" w:lineRule="auto"/>
              <w:jc w:val="center"/>
              <w:rPr>
                <w:rFonts w:eastAsia="Times New Roman" w:cs="Arial"/>
                <w:szCs w:val="24"/>
              </w:rPr>
            </w:pPr>
          </w:p>
        </w:tc>
      </w:tr>
      <w:tr w:rsidR="003F0CDB" w:rsidRPr="00EA0DC7" w14:paraId="0E90B3E2" w14:textId="77777777" w:rsidTr="00F20CDF">
        <w:trPr>
          <w:trHeight w:val="80"/>
        </w:trPr>
        <w:tc>
          <w:tcPr>
            <w:tcW w:w="3402" w:type="dxa"/>
            <w:tcBorders>
              <w:top w:val="nil"/>
              <w:left w:val="nil"/>
              <w:right w:val="nil"/>
            </w:tcBorders>
            <w:shd w:val="clear" w:color="auto" w:fill="auto"/>
            <w:vAlign w:val="bottom"/>
            <w:hideMark/>
          </w:tcPr>
          <w:p w14:paraId="12287537"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Yogev (1982)</w:t>
            </w:r>
          </w:p>
        </w:tc>
        <w:tc>
          <w:tcPr>
            <w:tcW w:w="1843" w:type="dxa"/>
            <w:tcBorders>
              <w:top w:val="nil"/>
              <w:left w:val="nil"/>
              <w:bottom w:val="nil"/>
              <w:right w:val="nil"/>
            </w:tcBorders>
            <w:shd w:val="clear" w:color="auto" w:fill="auto"/>
            <w:noWrap/>
            <w:vAlign w:val="center"/>
            <w:hideMark/>
          </w:tcPr>
          <w:p w14:paraId="3525710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786E26A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34CCEFD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3518EC2F"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182996F3" w14:textId="77777777" w:rsidR="003F0CDB" w:rsidRPr="00EA0DC7" w:rsidRDefault="003F0CDB" w:rsidP="00957911">
            <w:pPr>
              <w:spacing w:line="240" w:lineRule="auto"/>
              <w:jc w:val="center"/>
              <w:rPr>
                <w:rFonts w:eastAsia="Times New Roman" w:cs="Arial"/>
                <w:szCs w:val="24"/>
              </w:rPr>
            </w:pPr>
          </w:p>
        </w:tc>
      </w:tr>
      <w:tr w:rsidR="003F0CDB" w:rsidRPr="00EA0DC7" w14:paraId="5F15048D" w14:textId="77777777" w:rsidTr="00F20CDF">
        <w:trPr>
          <w:trHeight w:val="80"/>
        </w:trPr>
        <w:tc>
          <w:tcPr>
            <w:tcW w:w="3402" w:type="dxa"/>
            <w:shd w:val="clear" w:color="auto" w:fill="auto"/>
            <w:vAlign w:val="bottom"/>
            <w:hideMark/>
          </w:tcPr>
          <w:p w14:paraId="6051A32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Blocher (1983)</w:t>
            </w:r>
          </w:p>
        </w:tc>
        <w:tc>
          <w:tcPr>
            <w:tcW w:w="1843" w:type="dxa"/>
            <w:tcBorders>
              <w:top w:val="nil"/>
              <w:left w:val="nil"/>
              <w:bottom w:val="nil"/>
              <w:right w:val="nil"/>
            </w:tcBorders>
            <w:shd w:val="clear" w:color="auto" w:fill="auto"/>
            <w:noWrap/>
            <w:vAlign w:val="center"/>
            <w:hideMark/>
          </w:tcPr>
          <w:p w14:paraId="36EC853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2ABEEFA9"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79FD0314"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A6C0A8D"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1DDDBFD5" w14:textId="77777777" w:rsidR="003F0CDB" w:rsidRPr="00EA0DC7" w:rsidRDefault="003F0CDB" w:rsidP="00957911">
            <w:pPr>
              <w:spacing w:line="240" w:lineRule="auto"/>
              <w:jc w:val="center"/>
              <w:rPr>
                <w:rFonts w:eastAsia="Times New Roman" w:cs="Arial"/>
                <w:szCs w:val="24"/>
              </w:rPr>
            </w:pPr>
          </w:p>
        </w:tc>
      </w:tr>
      <w:tr w:rsidR="003F0CDB" w:rsidRPr="00EA0DC7" w14:paraId="30F03A9B" w14:textId="77777777" w:rsidTr="00F20CDF">
        <w:trPr>
          <w:trHeight w:val="80"/>
        </w:trPr>
        <w:tc>
          <w:tcPr>
            <w:tcW w:w="3402" w:type="dxa"/>
            <w:shd w:val="clear" w:color="auto" w:fill="auto"/>
          </w:tcPr>
          <w:p w14:paraId="445C7B93"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Bordin (1983)</w:t>
            </w:r>
          </w:p>
        </w:tc>
        <w:tc>
          <w:tcPr>
            <w:tcW w:w="1843" w:type="dxa"/>
            <w:tcBorders>
              <w:top w:val="nil"/>
              <w:left w:val="nil"/>
              <w:bottom w:val="nil"/>
              <w:right w:val="nil"/>
            </w:tcBorders>
            <w:shd w:val="clear" w:color="auto" w:fill="auto"/>
            <w:noWrap/>
            <w:vAlign w:val="center"/>
            <w:hideMark/>
          </w:tcPr>
          <w:p w14:paraId="2AFD94E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5D45A42D"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53B838C6"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5D66E962"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50142C31" w14:textId="77777777" w:rsidR="003F0CDB" w:rsidRPr="00EA0DC7" w:rsidRDefault="003F0CDB" w:rsidP="00957911">
            <w:pPr>
              <w:spacing w:line="240" w:lineRule="auto"/>
              <w:jc w:val="center"/>
              <w:rPr>
                <w:rFonts w:eastAsia="Times New Roman" w:cs="Arial"/>
                <w:szCs w:val="24"/>
              </w:rPr>
            </w:pPr>
          </w:p>
        </w:tc>
      </w:tr>
      <w:tr w:rsidR="003F0CDB" w:rsidRPr="00EA0DC7" w14:paraId="4B51638E" w14:textId="77777777" w:rsidTr="00F20CDF">
        <w:trPr>
          <w:trHeight w:val="80"/>
        </w:trPr>
        <w:tc>
          <w:tcPr>
            <w:tcW w:w="3402" w:type="dxa"/>
            <w:tcBorders>
              <w:left w:val="nil"/>
              <w:bottom w:val="nil"/>
              <w:right w:val="nil"/>
            </w:tcBorders>
            <w:shd w:val="clear" w:color="auto" w:fill="auto"/>
            <w:vAlign w:val="bottom"/>
            <w:hideMark/>
          </w:tcPr>
          <w:p w14:paraId="0B0507E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Hosford &amp; Barmann (1983)</w:t>
            </w:r>
          </w:p>
        </w:tc>
        <w:tc>
          <w:tcPr>
            <w:tcW w:w="1843" w:type="dxa"/>
            <w:tcBorders>
              <w:top w:val="nil"/>
              <w:left w:val="nil"/>
              <w:bottom w:val="nil"/>
              <w:right w:val="nil"/>
            </w:tcBorders>
            <w:shd w:val="clear" w:color="auto" w:fill="auto"/>
            <w:noWrap/>
            <w:vAlign w:val="center"/>
            <w:hideMark/>
          </w:tcPr>
          <w:p w14:paraId="5B0C05B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774472E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17F8186D"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23CDDCA6"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2B9697FC" w14:textId="77777777" w:rsidR="003F0CDB" w:rsidRPr="00EA0DC7" w:rsidRDefault="003F0CDB" w:rsidP="00957911">
            <w:pPr>
              <w:spacing w:line="240" w:lineRule="auto"/>
              <w:jc w:val="center"/>
              <w:rPr>
                <w:rFonts w:eastAsia="Times New Roman" w:cs="Arial"/>
                <w:szCs w:val="24"/>
              </w:rPr>
            </w:pPr>
          </w:p>
        </w:tc>
      </w:tr>
      <w:tr w:rsidR="003F0CDB" w:rsidRPr="00EA0DC7" w14:paraId="353FD1E8" w14:textId="77777777" w:rsidTr="00F20CDF">
        <w:trPr>
          <w:trHeight w:val="80"/>
        </w:trPr>
        <w:tc>
          <w:tcPr>
            <w:tcW w:w="3402" w:type="dxa"/>
            <w:tcBorders>
              <w:top w:val="nil"/>
              <w:left w:val="nil"/>
              <w:bottom w:val="nil"/>
              <w:right w:val="nil"/>
            </w:tcBorders>
            <w:shd w:val="clear" w:color="auto" w:fill="auto"/>
            <w:vAlign w:val="bottom"/>
            <w:hideMark/>
          </w:tcPr>
          <w:p w14:paraId="0C65239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Patterson (1983)</w:t>
            </w:r>
          </w:p>
        </w:tc>
        <w:tc>
          <w:tcPr>
            <w:tcW w:w="1843" w:type="dxa"/>
            <w:tcBorders>
              <w:top w:val="nil"/>
              <w:left w:val="nil"/>
              <w:bottom w:val="nil"/>
              <w:right w:val="nil"/>
            </w:tcBorders>
            <w:shd w:val="clear" w:color="auto" w:fill="auto"/>
            <w:noWrap/>
            <w:vAlign w:val="center"/>
            <w:hideMark/>
          </w:tcPr>
          <w:p w14:paraId="1F132C0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3D8BD52A"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387D8BF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436E74AB"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F7E8EF9" w14:textId="77777777" w:rsidR="003F0CDB" w:rsidRPr="00EA0DC7" w:rsidRDefault="003F0CDB" w:rsidP="00957911">
            <w:pPr>
              <w:spacing w:line="240" w:lineRule="auto"/>
              <w:jc w:val="center"/>
              <w:rPr>
                <w:rFonts w:eastAsia="Times New Roman" w:cs="Arial"/>
                <w:szCs w:val="24"/>
              </w:rPr>
            </w:pPr>
          </w:p>
        </w:tc>
      </w:tr>
      <w:tr w:rsidR="003F0CDB" w:rsidRPr="00EA0DC7" w14:paraId="2151539E" w14:textId="77777777" w:rsidTr="00F20CDF">
        <w:trPr>
          <w:trHeight w:val="80"/>
        </w:trPr>
        <w:tc>
          <w:tcPr>
            <w:tcW w:w="3402" w:type="dxa"/>
            <w:tcBorders>
              <w:top w:val="nil"/>
              <w:left w:val="nil"/>
              <w:right w:val="nil"/>
            </w:tcBorders>
            <w:shd w:val="clear" w:color="auto" w:fill="auto"/>
            <w:vAlign w:val="bottom"/>
            <w:hideMark/>
          </w:tcPr>
          <w:p w14:paraId="6C647709"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Wessler &amp; Ellis (1983)</w:t>
            </w:r>
          </w:p>
        </w:tc>
        <w:tc>
          <w:tcPr>
            <w:tcW w:w="1843" w:type="dxa"/>
            <w:tcBorders>
              <w:top w:val="nil"/>
              <w:left w:val="nil"/>
              <w:right w:val="nil"/>
            </w:tcBorders>
            <w:shd w:val="clear" w:color="auto" w:fill="auto"/>
            <w:noWrap/>
            <w:vAlign w:val="center"/>
            <w:hideMark/>
          </w:tcPr>
          <w:p w14:paraId="6537989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right w:val="nil"/>
            </w:tcBorders>
            <w:vAlign w:val="center"/>
          </w:tcPr>
          <w:p w14:paraId="20E5D0A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shd w:val="clear" w:color="auto" w:fill="auto"/>
            <w:noWrap/>
            <w:vAlign w:val="center"/>
            <w:hideMark/>
          </w:tcPr>
          <w:p w14:paraId="2B82F49B"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59EEB8E5"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36381A2F" w14:textId="77777777" w:rsidR="003F0CDB" w:rsidRPr="00EA0DC7" w:rsidRDefault="003F0CDB" w:rsidP="00957911">
            <w:pPr>
              <w:spacing w:line="240" w:lineRule="auto"/>
              <w:jc w:val="center"/>
              <w:rPr>
                <w:rFonts w:eastAsia="Times New Roman" w:cs="Arial"/>
                <w:szCs w:val="24"/>
              </w:rPr>
            </w:pPr>
          </w:p>
        </w:tc>
      </w:tr>
      <w:tr w:rsidR="003F0CDB" w:rsidRPr="00EA0DC7" w14:paraId="762DC86A" w14:textId="77777777" w:rsidTr="00F20CDF">
        <w:trPr>
          <w:trHeight w:val="80"/>
        </w:trPr>
        <w:tc>
          <w:tcPr>
            <w:tcW w:w="3402" w:type="dxa"/>
            <w:tcBorders>
              <w:top w:val="nil"/>
              <w:left w:val="nil"/>
              <w:right w:val="nil"/>
            </w:tcBorders>
            <w:shd w:val="clear" w:color="auto" w:fill="auto"/>
            <w:vAlign w:val="bottom"/>
            <w:hideMark/>
          </w:tcPr>
          <w:p w14:paraId="4801A65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Connell (1984)</w:t>
            </w:r>
          </w:p>
        </w:tc>
        <w:tc>
          <w:tcPr>
            <w:tcW w:w="1843" w:type="dxa"/>
            <w:tcBorders>
              <w:top w:val="nil"/>
              <w:left w:val="nil"/>
              <w:right w:val="nil"/>
            </w:tcBorders>
            <w:shd w:val="clear" w:color="auto" w:fill="auto"/>
            <w:noWrap/>
            <w:vAlign w:val="center"/>
            <w:hideMark/>
          </w:tcPr>
          <w:p w14:paraId="0258596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right w:val="nil"/>
            </w:tcBorders>
            <w:vAlign w:val="center"/>
          </w:tcPr>
          <w:p w14:paraId="126AF54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shd w:val="clear" w:color="auto" w:fill="auto"/>
            <w:noWrap/>
            <w:vAlign w:val="center"/>
            <w:hideMark/>
          </w:tcPr>
          <w:p w14:paraId="2C4F658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7CF5DAC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7ED61698" w14:textId="77777777" w:rsidR="003F0CDB" w:rsidRPr="00EA0DC7" w:rsidRDefault="003F0CDB" w:rsidP="00957911">
            <w:pPr>
              <w:spacing w:line="240" w:lineRule="auto"/>
              <w:jc w:val="center"/>
              <w:rPr>
                <w:rFonts w:eastAsia="Times New Roman" w:cs="Arial"/>
                <w:szCs w:val="24"/>
              </w:rPr>
            </w:pPr>
          </w:p>
        </w:tc>
      </w:tr>
      <w:tr w:rsidR="003F0CDB" w:rsidRPr="00EA0DC7" w14:paraId="2B8BBB40" w14:textId="77777777" w:rsidTr="00F20CDF">
        <w:trPr>
          <w:trHeight w:val="80"/>
        </w:trPr>
        <w:tc>
          <w:tcPr>
            <w:tcW w:w="3402" w:type="dxa"/>
            <w:tcBorders>
              <w:left w:val="nil"/>
              <w:bottom w:val="single" w:sz="4" w:space="0" w:color="auto"/>
              <w:right w:val="nil"/>
            </w:tcBorders>
            <w:shd w:val="clear" w:color="auto" w:fill="auto"/>
            <w:vAlign w:val="bottom"/>
            <w:hideMark/>
          </w:tcPr>
          <w:p w14:paraId="556E8CC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Grater (1985)</w:t>
            </w:r>
          </w:p>
        </w:tc>
        <w:tc>
          <w:tcPr>
            <w:tcW w:w="1843" w:type="dxa"/>
            <w:tcBorders>
              <w:left w:val="nil"/>
              <w:bottom w:val="single" w:sz="4" w:space="0" w:color="auto"/>
              <w:right w:val="nil"/>
            </w:tcBorders>
            <w:shd w:val="clear" w:color="auto" w:fill="auto"/>
            <w:noWrap/>
            <w:vAlign w:val="center"/>
            <w:hideMark/>
          </w:tcPr>
          <w:p w14:paraId="0D1CB63F" w14:textId="77777777" w:rsidR="003F0CDB" w:rsidRPr="00EA0DC7" w:rsidRDefault="003F0CDB" w:rsidP="00957911">
            <w:pPr>
              <w:spacing w:line="240" w:lineRule="auto"/>
              <w:jc w:val="center"/>
              <w:rPr>
                <w:rFonts w:eastAsia="Times New Roman" w:cs="Arial"/>
                <w:szCs w:val="24"/>
              </w:rPr>
            </w:pPr>
          </w:p>
        </w:tc>
        <w:tc>
          <w:tcPr>
            <w:tcW w:w="1644" w:type="dxa"/>
            <w:tcBorders>
              <w:left w:val="nil"/>
              <w:bottom w:val="single" w:sz="4" w:space="0" w:color="auto"/>
              <w:right w:val="nil"/>
            </w:tcBorders>
            <w:vAlign w:val="center"/>
          </w:tcPr>
          <w:p w14:paraId="21884895"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single" w:sz="4" w:space="0" w:color="auto"/>
              <w:right w:val="nil"/>
            </w:tcBorders>
            <w:shd w:val="clear" w:color="auto" w:fill="auto"/>
            <w:noWrap/>
            <w:vAlign w:val="center"/>
            <w:hideMark/>
          </w:tcPr>
          <w:p w14:paraId="045550BA" w14:textId="77777777" w:rsidR="003F0CDB" w:rsidRPr="00EA0DC7" w:rsidRDefault="003F0CDB" w:rsidP="00957911">
            <w:pPr>
              <w:spacing w:line="240" w:lineRule="auto"/>
              <w:jc w:val="center"/>
              <w:rPr>
                <w:rFonts w:eastAsia="Times New Roman" w:cs="Arial"/>
                <w:szCs w:val="24"/>
              </w:rPr>
            </w:pPr>
          </w:p>
        </w:tc>
        <w:tc>
          <w:tcPr>
            <w:tcW w:w="2268" w:type="dxa"/>
            <w:tcBorders>
              <w:left w:val="nil"/>
              <w:bottom w:val="single" w:sz="4" w:space="0" w:color="auto"/>
              <w:right w:val="nil"/>
            </w:tcBorders>
            <w:vAlign w:val="center"/>
          </w:tcPr>
          <w:p w14:paraId="5806A5D1" w14:textId="77777777" w:rsidR="003F0CDB" w:rsidRPr="00EA0DC7" w:rsidRDefault="003F0CDB" w:rsidP="00957911">
            <w:pPr>
              <w:spacing w:line="240" w:lineRule="auto"/>
              <w:jc w:val="center"/>
              <w:rPr>
                <w:rFonts w:eastAsia="Times New Roman" w:cs="Arial"/>
                <w:szCs w:val="24"/>
              </w:rPr>
            </w:pPr>
          </w:p>
        </w:tc>
        <w:tc>
          <w:tcPr>
            <w:tcW w:w="1984" w:type="dxa"/>
            <w:tcBorders>
              <w:left w:val="nil"/>
              <w:bottom w:val="single" w:sz="4" w:space="0" w:color="auto"/>
              <w:right w:val="nil"/>
            </w:tcBorders>
            <w:vAlign w:val="center"/>
          </w:tcPr>
          <w:p w14:paraId="12143040" w14:textId="77777777" w:rsidR="003F0CDB" w:rsidRPr="00EA0DC7" w:rsidRDefault="003F0CDB" w:rsidP="00957911">
            <w:pPr>
              <w:spacing w:line="240" w:lineRule="auto"/>
              <w:jc w:val="center"/>
              <w:rPr>
                <w:rFonts w:eastAsia="Times New Roman" w:cs="Arial"/>
                <w:szCs w:val="24"/>
              </w:rPr>
            </w:pPr>
          </w:p>
        </w:tc>
      </w:tr>
    </w:tbl>
    <w:p w14:paraId="6263D3D2" w14:textId="77777777" w:rsidR="00817A09" w:rsidRPr="00EA0DC7" w:rsidRDefault="00817A09" w:rsidP="00F20CDF">
      <w:pPr>
        <w:spacing w:before="240" w:line="240" w:lineRule="auto"/>
        <w:jc w:val="center"/>
        <w:rPr>
          <w:rFonts w:eastAsia="Times New Roman" w:cs="Arial"/>
          <w:b/>
          <w:bCs/>
          <w:szCs w:val="24"/>
        </w:rPr>
        <w:sectPr w:rsidR="00817A09" w:rsidRPr="00EA0DC7" w:rsidSect="001A0398">
          <w:pgSz w:w="16838" w:h="11906" w:orient="landscape"/>
          <w:pgMar w:top="1440" w:right="1440" w:bottom="2268" w:left="1440" w:header="709" w:footer="709" w:gutter="0"/>
          <w:cols w:space="708"/>
          <w:docGrid w:linePitch="360"/>
        </w:sectPr>
      </w:pPr>
    </w:p>
    <w:tbl>
      <w:tblPr>
        <w:tblW w:w="12842" w:type="dxa"/>
        <w:tblLayout w:type="fixed"/>
        <w:tblLook w:val="04A0" w:firstRow="1" w:lastRow="0" w:firstColumn="1" w:lastColumn="0" w:noHBand="0" w:noVBand="1"/>
      </w:tblPr>
      <w:tblGrid>
        <w:gridCol w:w="3402"/>
        <w:gridCol w:w="1843"/>
        <w:gridCol w:w="1644"/>
        <w:gridCol w:w="1701"/>
        <w:gridCol w:w="2268"/>
        <w:gridCol w:w="1984"/>
      </w:tblGrid>
      <w:tr w:rsidR="00F20CDF" w:rsidRPr="00EA0DC7" w14:paraId="3641E685" w14:textId="77777777" w:rsidTr="00F20CDF">
        <w:trPr>
          <w:trHeight w:val="80"/>
        </w:trPr>
        <w:tc>
          <w:tcPr>
            <w:tcW w:w="3402" w:type="dxa"/>
            <w:tcBorders>
              <w:top w:val="single" w:sz="4" w:space="0" w:color="auto"/>
              <w:left w:val="nil"/>
              <w:bottom w:val="single" w:sz="4" w:space="0" w:color="auto"/>
              <w:right w:val="nil"/>
            </w:tcBorders>
            <w:shd w:val="clear" w:color="auto" w:fill="auto"/>
            <w:vAlign w:val="center"/>
          </w:tcPr>
          <w:p w14:paraId="5A3F2363" w14:textId="1DC324B4"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843" w:type="dxa"/>
            <w:tcBorders>
              <w:top w:val="single" w:sz="4" w:space="0" w:color="auto"/>
              <w:left w:val="nil"/>
              <w:bottom w:val="single" w:sz="4" w:space="0" w:color="auto"/>
              <w:right w:val="nil"/>
            </w:tcBorders>
            <w:shd w:val="clear" w:color="auto" w:fill="auto"/>
            <w:noWrap/>
            <w:vAlign w:val="center"/>
          </w:tcPr>
          <w:p w14:paraId="433D6EF9" w14:textId="479B3766"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Group supervision</w:t>
            </w:r>
          </w:p>
        </w:tc>
        <w:tc>
          <w:tcPr>
            <w:tcW w:w="1644" w:type="dxa"/>
            <w:tcBorders>
              <w:top w:val="single" w:sz="4" w:space="0" w:color="auto"/>
              <w:left w:val="nil"/>
              <w:bottom w:val="single" w:sz="4" w:space="0" w:color="auto"/>
              <w:right w:val="nil"/>
            </w:tcBorders>
            <w:vAlign w:val="center"/>
          </w:tcPr>
          <w:p w14:paraId="26D7106A" w14:textId="28A9119B"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Peer supervision</w:t>
            </w:r>
          </w:p>
        </w:tc>
        <w:tc>
          <w:tcPr>
            <w:tcW w:w="1701" w:type="dxa"/>
            <w:tcBorders>
              <w:top w:val="single" w:sz="4" w:space="0" w:color="auto"/>
              <w:left w:val="nil"/>
              <w:bottom w:val="single" w:sz="4" w:space="0" w:color="auto"/>
              <w:right w:val="nil"/>
            </w:tcBorders>
            <w:shd w:val="clear" w:color="auto" w:fill="auto"/>
            <w:noWrap/>
            <w:vAlign w:val="center"/>
          </w:tcPr>
          <w:p w14:paraId="239D70B3" w14:textId="79154112"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Self-supervision</w:t>
            </w:r>
          </w:p>
        </w:tc>
        <w:tc>
          <w:tcPr>
            <w:tcW w:w="2268" w:type="dxa"/>
            <w:tcBorders>
              <w:top w:val="single" w:sz="4" w:space="0" w:color="auto"/>
              <w:left w:val="nil"/>
              <w:bottom w:val="single" w:sz="4" w:space="0" w:color="auto"/>
              <w:right w:val="nil"/>
            </w:tcBorders>
            <w:vAlign w:val="center"/>
          </w:tcPr>
          <w:p w14:paraId="69F953B9" w14:textId="3F6E409B"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Phone/ email/ tele-conferencing supervision</w:t>
            </w:r>
          </w:p>
        </w:tc>
        <w:tc>
          <w:tcPr>
            <w:tcW w:w="1984" w:type="dxa"/>
            <w:tcBorders>
              <w:top w:val="single" w:sz="4" w:space="0" w:color="auto"/>
              <w:left w:val="nil"/>
              <w:bottom w:val="single" w:sz="4" w:space="0" w:color="auto"/>
              <w:right w:val="nil"/>
            </w:tcBorders>
            <w:vAlign w:val="center"/>
          </w:tcPr>
          <w:p w14:paraId="1D0DD21A" w14:textId="03B157E6"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Client invited into supervision</w:t>
            </w:r>
          </w:p>
        </w:tc>
      </w:tr>
      <w:tr w:rsidR="003F0CDB" w:rsidRPr="00EA0DC7" w14:paraId="3F739F20" w14:textId="77777777" w:rsidTr="00F20CDF">
        <w:trPr>
          <w:trHeight w:val="80"/>
        </w:trPr>
        <w:tc>
          <w:tcPr>
            <w:tcW w:w="3402" w:type="dxa"/>
            <w:tcBorders>
              <w:top w:val="single" w:sz="4" w:space="0" w:color="auto"/>
              <w:left w:val="nil"/>
              <w:bottom w:val="nil"/>
              <w:right w:val="nil"/>
            </w:tcBorders>
            <w:shd w:val="clear" w:color="auto" w:fill="auto"/>
            <w:vAlign w:val="bottom"/>
            <w:hideMark/>
          </w:tcPr>
          <w:p w14:paraId="2A9B6257" w14:textId="77777777" w:rsidR="003F0CDB" w:rsidRPr="00EA0DC7" w:rsidRDefault="003F0CDB" w:rsidP="00F20CDF">
            <w:pPr>
              <w:spacing w:before="240" w:line="240" w:lineRule="auto"/>
              <w:rPr>
                <w:rFonts w:eastAsia="Times New Roman" w:cs="Arial"/>
                <w:szCs w:val="24"/>
              </w:rPr>
            </w:pPr>
            <w:r w:rsidRPr="00EA0DC7">
              <w:rPr>
                <w:rFonts w:eastAsia="Times New Roman" w:cs="Arial"/>
                <w:szCs w:val="24"/>
              </w:rPr>
              <w:t>Friedmand &amp; Kaslow (1986)</w:t>
            </w:r>
          </w:p>
        </w:tc>
        <w:tc>
          <w:tcPr>
            <w:tcW w:w="1843" w:type="dxa"/>
            <w:tcBorders>
              <w:top w:val="single" w:sz="4" w:space="0" w:color="auto"/>
              <w:left w:val="nil"/>
              <w:bottom w:val="nil"/>
              <w:right w:val="nil"/>
            </w:tcBorders>
            <w:shd w:val="clear" w:color="auto" w:fill="auto"/>
            <w:noWrap/>
            <w:vAlign w:val="center"/>
            <w:hideMark/>
          </w:tcPr>
          <w:p w14:paraId="26186026" w14:textId="77777777" w:rsidR="003F0CDB" w:rsidRPr="00EA0DC7" w:rsidRDefault="003F0CDB" w:rsidP="00F20CDF">
            <w:pPr>
              <w:spacing w:before="240" w:line="240" w:lineRule="auto"/>
              <w:jc w:val="center"/>
              <w:rPr>
                <w:rFonts w:eastAsia="Times New Roman" w:cs="Arial"/>
                <w:szCs w:val="24"/>
              </w:rPr>
            </w:pPr>
          </w:p>
        </w:tc>
        <w:tc>
          <w:tcPr>
            <w:tcW w:w="1644" w:type="dxa"/>
            <w:tcBorders>
              <w:top w:val="single" w:sz="4" w:space="0" w:color="auto"/>
              <w:left w:val="nil"/>
              <w:bottom w:val="nil"/>
              <w:right w:val="nil"/>
            </w:tcBorders>
            <w:vAlign w:val="center"/>
          </w:tcPr>
          <w:p w14:paraId="102D62A8" w14:textId="77777777" w:rsidR="003F0CDB" w:rsidRPr="00EA0DC7" w:rsidRDefault="003F0CDB" w:rsidP="00F20CDF">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shd w:val="clear" w:color="auto" w:fill="auto"/>
            <w:noWrap/>
            <w:vAlign w:val="center"/>
            <w:hideMark/>
          </w:tcPr>
          <w:p w14:paraId="382E7A22" w14:textId="77777777" w:rsidR="003F0CDB" w:rsidRPr="00EA0DC7" w:rsidRDefault="003F0CDB" w:rsidP="00F20CDF">
            <w:pPr>
              <w:spacing w:before="240" w:line="240" w:lineRule="auto"/>
              <w:jc w:val="center"/>
              <w:rPr>
                <w:rFonts w:eastAsia="Times New Roman" w:cs="Arial"/>
                <w:szCs w:val="24"/>
              </w:rPr>
            </w:pPr>
          </w:p>
        </w:tc>
        <w:tc>
          <w:tcPr>
            <w:tcW w:w="2268" w:type="dxa"/>
            <w:tcBorders>
              <w:top w:val="single" w:sz="4" w:space="0" w:color="auto"/>
              <w:left w:val="nil"/>
              <w:bottom w:val="nil"/>
              <w:right w:val="nil"/>
            </w:tcBorders>
            <w:vAlign w:val="center"/>
          </w:tcPr>
          <w:p w14:paraId="6A103F8B" w14:textId="77777777" w:rsidR="003F0CDB" w:rsidRPr="00EA0DC7" w:rsidRDefault="003F0CDB" w:rsidP="00F20CDF">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vAlign w:val="center"/>
          </w:tcPr>
          <w:p w14:paraId="0C62A57F" w14:textId="77777777" w:rsidR="003F0CDB" w:rsidRPr="00EA0DC7" w:rsidRDefault="003F0CDB" w:rsidP="00F20CDF">
            <w:pPr>
              <w:spacing w:before="240" w:line="240" w:lineRule="auto"/>
              <w:jc w:val="center"/>
              <w:rPr>
                <w:rFonts w:eastAsia="Times New Roman" w:cs="Arial"/>
                <w:szCs w:val="24"/>
              </w:rPr>
            </w:pPr>
          </w:p>
        </w:tc>
      </w:tr>
      <w:tr w:rsidR="003F0CDB" w:rsidRPr="00EA0DC7" w14:paraId="6D2C3320" w14:textId="77777777" w:rsidTr="00F20CDF">
        <w:trPr>
          <w:trHeight w:val="80"/>
        </w:trPr>
        <w:tc>
          <w:tcPr>
            <w:tcW w:w="3402" w:type="dxa"/>
            <w:tcBorders>
              <w:top w:val="nil"/>
              <w:left w:val="nil"/>
              <w:bottom w:val="nil"/>
              <w:right w:val="nil"/>
            </w:tcBorders>
            <w:shd w:val="clear" w:color="auto" w:fill="auto"/>
            <w:vAlign w:val="bottom"/>
            <w:hideMark/>
          </w:tcPr>
          <w:p w14:paraId="51AC6BF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Hess (1986)</w:t>
            </w:r>
          </w:p>
        </w:tc>
        <w:tc>
          <w:tcPr>
            <w:tcW w:w="1843" w:type="dxa"/>
            <w:tcBorders>
              <w:top w:val="nil"/>
              <w:left w:val="nil"/>
              <w:bottom w:val="nil"/>
              <w:right w:val="nil"/>
            </w:tcBorders>
            <w:shd w:val="clear" w:color="auto" w:fill="auto"/>
            <w:noWrap/>
            <w:vAlign w:val="center"/>
            <w:hideMark/>
          </w:tcPr>
          <w:p w14:paraId="5EB788D3"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4208DE2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693FF774"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5605033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195857C7" w14:textId="77777777" w:rsidR="003F0CDB" w:rsidRPr="00EA0DC7" w:rsidRDefault="003F0CDB" w:rsidP="00957911">
            <w:pPr>
              <w:spacing w:line="240" w:lineRule="auto"/>
              <w:jc w:val="center"/>
              <w:rPr>
                <w:rFonts w:eastAsia="Times New Roman" w:cs="Arial"/>
                <w:szCs w:val="24"/>
              </w:rPr>
            </w:pPr>
          </w:p>
        </w:tc>
      </w:tr>
      <w:tr w:rsidR="003F0CDB" w:rsidRPr="00EA0DC7" w14:paraId="012B0A1E" w14:textId="77777777" w:rsidTr="00F20CDF">
        <w:trPr>
          <w:trHeight w:val="80"/>
        </w:trPr>
        <w:tc>
          <w:tcPr>
            <w:tcW w:w="3402" w:type="dxa"/>
            <w:tcBorders>
              <w:top w:val="nil"/>
              <w:left w:val="nil"/>
              <w:bottom w:val="nil"/>
              <w:right w:val="nil"/>
            </w:tcBorders>
            <w:shd w:val="clear" w:color="auto" w:fill="auto"/>
            <w:vAlign w:val="bottom"/>
            <w:hideMark/>
          </w:tcPr>
          <w:p w14:paraId="53B2378D"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Stoltenberg &amp; Delworth (1987)</w:t>
            </w:r>
          </w:p>
        </w:tc>
        <w:tc>
          <w:tcPr>
            <w:tcW w:w="1843" w:type="dxa"/>
            <w:tcBorders>
              <w:top w:val="nil"/>
              <w:left w:val="nil"/>
              <w:bottom w:val="nil"/>
              <w:right w:val="nil"/>
            </w:tcBorders>
            <w:shd w:val="clear" w:color="auto" w:fill="auto"/>
            <w:noWrap/>
            <w:vAlign w:val="center"/>
            <w:hideMark/>
          </w:tcPr>
          <w:p w14:paraId="770A0FD5"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580E68FF"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3BDED9FA"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6F5D0F67"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6024DC79" w14:textId="77777777" w:rsidR="003F0CDB" w:rsidRPr="00EA0DC7" w:rsidRDefault="003F0CDB" w:rsidP="00957911">
            <w:pPr>
              <w:spacing w:line="240" w:lineRule="auto"/>
              <w:jc w:val="center"/>
              <w:rPr>
                <w:rFonts w:eastAsia="Times New Roman" w:cs="Arial"/>
                <w:szCs w:val="24"/>
              </w:rPr>
            </w:pPr>
          </w:p>
        </w:tc>
      </w:tr>
      <w:tr w:rsidR="003F0CDB" w:rsidRPr="00EA0DC7" w14:paraId="0F6AEA1F" w14:textId="77777777" w:rsidTr="00F20CDF">
        <w:trPr>
          <w:trHeight w:val="80"/>
        </w:trPr>
        <w:tc>
          <w:tcPr>
            <w:tcW w:w="3402" w:type="dxa"/>
            <w:tcBorders>
              <w:top w:val="nil"/>
              <w:left w:val="nil"/>
              <w:bottom w:val="nil"/>
              <w:right w:val="nil"/>
            </w:tcBorders>
            <w:shd w:val="clear" w:color="auto" w:fill="auto"/>
            <w:vAlign w:val="bottom"/>
            <w:hideMark/>
          </w:tcPr>
          <w:p w14:paraId="6B2FD38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Ault-Riche (1988)</w:t>
            </w:r>
          </w:p>
        </w:tc>
        <w:tc>
          <w:tcPr>
            <w:tcW w:w="1843" w:type="dxa"/>
            <w:tcBorders>
              <w:top w:val="nil"/>
              <w:left w:val="nil"/>
              <w:bottom w:val="nil"/>
              <w:right w:val="nil"/>
            </w:tcBorders>
            <w:shd w:val="clear" w:color="auto" w:fill="auto"/>
            <w:noWrap/>
            <w:vAlign w:val="center"/>
            <w:hideMark/>
          </w:tcPr>
          <w:p w14:paraId="24D399F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64C6AB1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349D7B33"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188C2D12"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54A9C156" w14:textId="77777777" w:rsidR="003F0CDB" w:rsidRPr="00EA0DC7" w:rsidRDefault="003F0CDB" w:rsidP="00957911">
            <w:pPr>
              <w:spacing w:line="240" w:lineRule="auto"/>
              <w:jc w:val="center"/>
              <w:rPr>
                <w:rFonts w:eastAsia="Times New Roman" w:cs="Arial"/>
                <w:szCs w:val="24"/>
              </w:rPr>
            </w:pPr>
          </w:p>
        </w:tc>
      </w:tr>
      <w:tr w:rsidR="003F0CDB" w:rsidRPr="00EA0DC7" w14:paraId="3D9B19AC" w14:textId="77777777" w:rsidTr="00F20CDF">
        <w:trPr>
          <w:trHeight w:val="80"/>
        </w:trPr>
        <w:tc>
          <w:tcPr>
            <w:tcW w:w="3402" w:type="dxa"/>
            <w:tcBorders>
              <w:top w:val="nil"/>
              <w:left w:val="nil"/>
              <w:right w:val="nil"/>
            </w:tcBorders>
            <w:shd w:val="clear" w:color="auto" w:fill="auto"/>
            <w:vAlign w:val="bottom"/>
            <w:hideMark/>
          </w:tcPr>
          <w:p w14:paraId="13A44DA1"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Watkins (1990)</w:t>
            </w:r>
          </w:p>
        </w:tc>
        <w:tc>
          <w:tcPr>
            <w:tcW w:w="1843" w:type="dxa"/>
            <w:tcBorders>
              <w:top w:val="nil"/>
              <w:left w:val="nil"/>
              <w:right w:val="nil"/>
            </w:tcBorders>
            <w:shd w:val="clear" w:color="auto" w:fill="auto"/>
            <w:noWrap/>
            <w:vAlign w:val="center"/>
            <w:hideMark/>
          </w:tcPr>
          <w:p w14:paraId="2142CCF7"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right w:val="nil"/>
            </w:tcBorders>
            <w:vAlign w:val="center"/>
          </w:tcPr>
          <w:p w14:paraId="1ABDF16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shd w:val="clear" w:color="auto" w:fill="auto"/>
            <w:noWrap/>
            <w:vAlign w:val="center"/>
            <w:hideMark/>
          </w:tcPr>
          <w:p w14:paraId="03E2D5D0"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3031346D"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6AB50559" w14:textId="77777777" w:rsidR="003F0CDB" w:rsidRPr="00EA0DC7" w:rsidRDefault="003F0CDB" w:rsidP="00957911">
            <w:pPr>
              <w:spacing w:line="240" w:lineRule="auto"/>
              <w:jc w:val="center"/>
              <w:rPr>
                <w:rFonts w:eastAsia="Times New Roman" w:cs="Arial"/>
                <w:szCs w:val="24"/>
              </w:rPr>
            </w:pPr>
          </w:p>
        </w:tc>
      </w:tr>
      <w:tr w:rsidR="003F0CDB" w:rsidRPr="00EA0DC7" w14:paraId="348DEA1F" w14:textId="77777777" w:rsidTr="00F20CDF">
        <w:trPr>
          <w:trHeight w:val="80"/>
        </w:trPr>
        <w:tc>
          <w:tcPr>
            <w:tcW w:w="3402" w:type="dxa"/>
            <w:tcBorders>
              <w:top w:val="nil"/>
              <w:left w:val="nil"/>
              <w:right w:val="nil"/>
            </w:tcBorders>
            <w:shd w:val="clear" w:color="auto" w:fill="auto"/>
            <w:vAlign w:val="bottom"/>
            <w:hideMark/>
          </w:tcPr>
          <w:p w14:paraId="0234BC5F"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Wetchler (1990)</w:t>
            </w:r>
          </w:p>
        </w:tc>
        <w:tc>
          <w:tcPr>
            <w:tcW w:w="1843" w:type="dxa"/>
            <w:tcBorders>
              <w:top w:val="nil"/>
              <w:left w:val="nil"/>
              <w:right w:val="nil"/>
            </w:tcBorders>
            <w:shd w:val="clear" w:color="auto" w:fill="auto"/>
            <w:noWrap/>
            <w:vAlign w:val="center"/>
            <w:hideMark/>
          </w:tcPr>
          <w:p w14:paraId="3C2B36AB"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right w:val="nil"/>
            </w:tcBorders>
            <w:vAlign w:val="center"/>
          </w:tcPr>
          <w:p w14:paraId="60DD13C4"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shd w:val="clear" w:color="auto" w:fill="auto"/>
            <w:noWrap/>
            <w:vAlign w:val="center"/>
            <w:hideMark/>
          </w:tcPr>
          <w:p w14:paraId="1C4C2849"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30B2497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42B8547C" w14:textId="77777777" w:rsidR="003F0CDB" w:rsidRPr="00EA0DC7" w:rsidRDefault="003F0CDB" w:rsidP="00957911">
            <w:pPr>
              <w:spacing w:line="240" w:lineRule="auto"/>
              <w:jc w:val="center"/>
              <w:rPr>
                <w:rFonts w:eastAsia="Times New Roman" w:cs="Arial"/>
                <w:szCs w:val="24"/>
              </w:rPr>
            </w:pPr>
          </w:p>
        </w:tc>
      </w:tr>
      <w:tr w:rsidR="003F0CDB" w:rsidRPr="00EA0DC7" w14:paraId="0943AEAD" w14:textId="77777777" w:rsidTr="00F20CDF">
        <w:trPr>
          <w:trHeight w:val="80"/>
        </w:trPr>
        <w:tc>
          <w:tcPr>
            <w:tcW w:w="3402" w:type="dxa"/>
            <w:tcBorders>
              <w:left w:val="nil"/>
              <w:bottom w:val="nil"/>
              <w:right w:val="nil"/>
            </w:tcBorders>
            <w:shd w:val="clear" w:color="auto" w:fill="auto"/>
            <w:vAlign w:val="bottom"/>
            <w:hideMark/>
          </w:tcPr>
          <w:p w14:paraId="0BB606EB"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Mead (1990)</w:t>
            </w:r>
          </w:p>
        </w:tc>
        <w:tc>
          <w:tcPr>
            <w:tcW w:w="1843" w:type="dxa"/>
            <w:tcBorders>
              <w:left w:val="nil"/>
              <w:bottom w:val="nil"/>
              <w:right w:val="nil"/>
            </w:tcBorders>
            <w:shd w:val="clear" w:color="auto" w:fill="auto"/>
            <w:noWrap/>
            <w:vAlign w:val="center"/>
            <w:hideMark/>
          </w:tcPr>
          <w:p w14:paraId="613421D6" w14:textId="77777777" w:rsidR="003F0CDB" w:rsidRPr="00EA0DC7" w:rsidRDefault="003F0CDB" w:rsidP="00957911">
            <w:pPr>
              <w:spacing w:line="240" w:lineRule="auto"/>
              <w:jc w:val="center"/>
              <w:rPr>
                <w:rFonts w:eastAsia="Times New Roman" w:cs="Arial"/>
                <w:szCs w:val="24"/>
              </w:rPr>
            </w:pPr>
          </w:p>
        </w:tc>
        <w:tc>
          <w:tcPr>
            <w:tcW w:w="1644" w:type="dxa"/>
            <w:tcBorders>
              <w:left w:val="nil"/>
              <w:bottom w:val="nil"/>
              <w:right w:val="nil"/>
            </w:tcBorders>
            <w:vAlign w:val="center"/>
          </w:tcPr>
          <w:p w14:paraId="2802FEFD" w14:textId="77777777" w:rsidR="003F0CDB" w:rsidRPr="00EA0DC7" w:rsidRDefault="003F0CDB" w:rsidP="00957911">
            <w:pPr>
              <w:spacing w:line="240" w:lineRule="auto"/>
              <w:jc w:val="center"/>
              <w:rPr>
                <w:rFonts w:eastAsia="Times New Roman" w:cs="Arial"/>
                <w:szCs w:val="24"/>
              </w:rPr>
            </w:pPr>
          </w:p>
        </w:tc>
        <w:tc>
          <w:tcPr>
            <w:tcW w:w="1701" w:type="dxa"/>
            <w:tcBorders>
              <w:left w:val="nil"/>
              <w:bottom w:val="nil"/>
              <w:right w:val="nil"/>
            </w:tcBorders>
            <w:shd w:val="clear" w:color="auto" w:fill="auto"/>
            <w:noWrap/>
            <w:vAlign w:val="center"/>
            <w:hideMark/>
          </w:tcPr>
          <w:p w14:paraId="15FCE723" w14:textId="77777777" w:rsidR="003F0CDB" w:rsidRPr="00EA0DC7" w:rsidRDefault="003F0CDB" w:rsidP="00957911">
            <w:pPr>
              <w:spacing w:line="240" w:lineRule="auto"/>
              <w:jc w:val="center"/>
              <w:rPr>
                <w:rFonts w:eastAsia="Times New Roman" w:cs="Arial"/>
                <w:szCs w:val="24"/>
              </w:rPr>
            </w:pPr>
          </w:p>
        </w:tc>
        <w:tc>
          <w:tcPr>
            <w:tcW w:w="2268" w:type="dxa"/>
            <w:tcBorders>
              <w:left w:val="nil"/>
              <w:bottom w:val="nil"/>
              <w:right w:val="nil"/>
            </w:tcBorders>
            <w:vAlign w:val="center"/>
          </w:tcPr>
          <w:p w14:paraId="223BD82C" w14:textId="77777777" w:rsidR="003F0CDB" w:rsidRPr="00EA0DC7" w:rsidRDefault="003F0CDB" w:rsidP="00957911">
            <w:pPr>
              <w:spacing w:line="240" w:lineRule="auto"/>
              <w:jc w:val="center"/>
              <w:rPr>
                <w:rFonts w:eastAsia="Times New Roman" w:cs="Arial"/>
                <w:szCs w:val="24"/>
              </w:rPr>
            </w:pPr>
          </w:p>
        </w:tc>
        <w:tc>
          <w:tcPr>
            <w:tcW w:w="1984" w:type="dxa"/>
            <w:tcBorders>
              <w:left w:val="nil"/>
              <w:bottom w:val="nil"/>
              <w:right w:val="nil"/>
            </w:tcBorders>
            <w:vAlign w:val="center"/>
          </w:tcPr>
          <w:p w14:paraId="6CE0DB23" w14:textId="77777777" w:rsidR="003F0CDB" w:rsidRPr="00EA0DC7" w:rsidRDefault="003F0CDB" w:rsidP="00957911">
            <w:pPr>
              <w:spacing w:line="240" w:lineRule="auto"/>
              <w:jc w:val="center"/>
              <w:rPr>
                <w:rFonts w:eastAsia="Times New Roman" w:cs="Arial"/>
                <w:szCs w:val="24"/>
              </w:rPr>
            </w:pPr>
          </w:p>
        </w:tc>
      </w:tr>
      <w:tr w:rsidR="003F0CDB" w:rsidRPr="00EA0DC7" w14:paraId="532F4A01" w14:textId="77777777" w:rsidTr="00F20CDF">
        <w:trPr>
          <w:trHeight w:val="80"/>
        </w:trPr>
        <w:tc>
          <w:tcPr>
            <w:tcW w:w="3402" w:type="dxa"/>
            <w:tcBorders>
              <w:top w:val="nil"/>
              <w:left w:val="nil"/>
              <w:bottom w:val="nil"/>
              <w:right w:val="nil"/>
            </w:tcBorders>
            <w:shd w:val="clear" w:color="auto" w:fill="auto"/>
            <w:vAlign w:val="bottom"/>
            <w:hideMark/>
          </w:tcPr>
          <w:p w14:paraId="0490D820"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Hawkins &amp; Shohet (1993)</w:t>
            </w:r>
          </w:p>
        </w:tc>
        <w:tc>
          <w:tcPr>
            <w:tcW w:w="1843" w:type="dxa"/>
            <w:tcBorders>
              <w:top w:val="nil"/>
              <w:left w:val="nil"/>
              <w:bottom w:val="nil"/>
              <w:right w:val="nil"/>
            </w:tcBorders>
            <w:shd w:val="clear" w:color="auto" w:fill="auto"/>
            <w:noWrap/>
            <w:vAlign w:val="center"/>
            <w:hideMark/>
          </w:tcPr>
          <w:p w14:paraId="43BFFCB8"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374F086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6E02C816"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BC2DE50"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DD799AC" w14:textId="77777777" w:rsidR="003F0CDB" w:rsidRPr="00EA0DC7" w:rsidRDefault="003F0CDB" w:rsidP="00957911">
            <w:pPr>
              <w:spacing w:line="240" w:lineRule="auto"/>
              <w:jc w:val="center"/>
              <w:rPr>
                <w:rFonts w:eastAsia="Times New Roman" w:cs="Arial"/>
                <w:szCs w:val="24"/>
              </w:rPr>
            </w:pPr>
          </w:p>
        </w:tc>
      </w:tr>
      <w:tr w:rsidR="003F0CDB" w:rsidRPr="00EA0DC7" w14:paraId="1ABF594C" w14:textId="77777777" w:rsidTr="00F20CDF">
        <w:trPr>
          <w:trHeight w:val="80"/>
        </w:trPr>
        <w:tc>
          <w:tcPr>
            <w:tcW w:w="3402" w:type="dxa"/>
            <w:tcBorders>
              <w:top w:val="nil"/>
              <w:left w:val="nil"/>
              <w:bottom w:val="nil"/>
              <w:right w:val="nil"/>
            </w:tcBorders>
            <w:shd w:val="clear" w:color="auto" w:fill="auto"/>
            <w:vAlign w:val="bottom"/>
            <w:hideMark/>
          </w:tcPr>
          <w:p w14:paraId="5836DF3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Rodenhauser (1994)</w:t>
            </w:r>
          </w:p>
        </w:tc>
        <w:tc>
          <w:tcPr>
            <w:tcW w:w="1843" w:type="dxa"/>
            <w:tcBorders>
              <w:top w:val="nil"/>
              <w:left w:val="nil"/>
              <w:bottom w:val="nil"/>
              <w:right w:val="nil"/>
            </w:tcBorders>
            <w:shd w:val="clear" w:color="auto" w:fill="auto"/>
            <w:noWrap/>
            <w:vAlign w:val="center"/>
            <w:hideMark/>
          </w:tcPr>
          <w:p w14:paraId="4C1DBBBC"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2BB80014"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4CE7BE8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1844063"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9A71AE2" w14:textId="77777777" w:rsidR="003F0CDB" w:rsidRPr="00EA0DC7" w:rsidRDefault="003F0CDB" w:rsidP="00957911">
            <w:pPr>
              <w:spacing w:line="240" w:lineRule="auto"/>
              <w:jc w:val="center"/>
              <w:rPr>
                <w:rFonts w:eastAsia="Times New Roman" w:cs="Arial"/>
                <w:szCs w:val="24"/>
              </w:rPr>
            </w:pPr>
          </w:p>
        </w:tc>
      </w:tr>
      <w:tr w:rsidR="003F0CDB" w:rsidRPr="00EA0DC7" w14:paraId="64D7A4E1" w14:textId="77777777" w:rsidTr="00F20CDF">
        <w:trPr>
          <w:trHeight w:val="80"/>
        </w:trPr>
        <w:tc>
          <w:tcPr>
            <w:tcW w:w="3402" w:type="dxa"/>
            <w:tcBorders>
              <w:top w:val="nil"/>
              <w:left w:val="nil"/>
              <w:bottom w:val="nil"/>
              <w:right w:val="nil"/>
            </w:tcBorders>
            <w:shd w:val="clear" w:color="auto" w:fill="auto"/>
            <w:vAlign w:val="bottom"/>
            <w:hideMark/>
          </w:tcPr>
          <w:p w14:paraId="39D18290"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Thomas (1994)</w:t>
            </w:r>
          </w:p>
        </w:tc>
        <w:tc>
          <w:tcPr>
            <w:tcW w:w="1843" w:type="dxa"/>
            <w:tcBorders>
              <w:top w:val="nil"/>
              <w:left w:val="nil"/>
              <w:bottom w:val="nil"/>
              <w:right w:val="nil"/>
            </w:tcBorders>
            <w:shd w:val="clear" w:color="auto" w:fill="auto"/>
            <w:noWrap/>
            <w:vAlign w:val="center"/>
            <w:hideMark/>
          </w:tcPr>
          <w:p w14:paraId="358AB2DE"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24FCBF59"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0F4584DD"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7906C95B"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1467954F" w14:textId="77777777" w:rsidR="003F0CDB" w:rsidRPr="00EA0DC7" w:rsidRDefault="003F0CDB" w:rsidP="00957911">
            <w:pPr>
              <w:spacing w:line="240" w:lineRule="auto"/>
              <w:jc w:val="center"/>
              <w:rPr>
                <w:rFonts w:eastAsia="Times New Roman" w:cs="Arial"/>
                <w:szCs w:val="24"/>
              </w:rPr>
            </w:pPr>
          </w:p>
        </w:tc>
      </w:tr>
      <w:tr w:rsidR="003F0CDB" w:rsidRPr="00EA0DC7" w14:paraId="57CF5D8E" w14:textId="77777777" w:rsidTr="00F20CDF">
        <w:trPr>
          <w:trHeight w:val="125"/>
        </w:trPr>
        <w:tc>
          <w:tcPr>
            <w:tcW w:w="3402" w:type="dxa"/>
            <w:tcBorders>
              <w:top w:val="nil"/>
              <w:left w:val="nil"/>
              <w:bottom w:val="nil"/>
              <w:right w:val="nil"/>
            </w:tcBorders>
            <w:shd w:val="clear" w:color="auto" w:fill="auto"/>
            <w:vAlign w:val="bottom"/>
            <w:hideMark/>
          </w:tcPr>
          <w:p w14:paraId="3FDD39E2"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Rigazio-DiGilio &amp; Anderson (1994)</w:t>
            </w:r>
          </w:p>
        </w:tc>
        <w:tc>
          <w:tcPr>
            <w:tcW w:w="1843" w:type="dxa"/>
            <w:tcBorders>
              <w:top w:val="nil"/>
              <w:left w:val="nil"/>
              <w:bottom w:val="nil"/>
              <w:right w:val="nil"/>
            </w:tcBorders>
            <w:shd w:val="clear" w:color="auto" w:fill="auto"/>
            <w:noWrap/>
            <w:vAlign w:val="center"/>
            <w:hideMark/>
          </w:tcPr>
          <w:p w14:paraId="25026D64"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692B6A7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419F7E7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1EC28587"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278942AB" w14:textId="77777777" w:rsidR="003F0CDB" w:rsidRPr="00EA0DC7" w:rsidRDefault="003F0CDB" w:rsidP="00957911">
            <w:pPr>
              <w:spacing w:line="240" w:lineRule="auto"/>
              <w:jc w:val="center"/>
              <w:rPr>
                <w:rFonts w:eastAsia="Times New Roman" w:cs="Arial"/>
                <w:szCs w:val="24"/>
              </w:rPr>
            </w:pPr>
          </w:p>
        </w:tc>
      </w:tr>
      <w:tr w:rsidR="003F0CDB" w:rsidRPr="00EA0DC7" w14:paraId="4BBAF2C8" w14:textId="77777777" w:rsidTr="00F20CDF">
        <w:trPr>
          <w:trHeight w:val="80"/>
        </w:trPr>
        <w:tc>
          <w:tcPr>
            <w:tcW w:w="3402" w:type="dxa"/>
            <w:tcBorders>
              <w:top w:val="nil"/>
              <w:left w:val="nil"/>
              <w:bottom w:val="nil"/>
              <w:right w:val="nil"/>
            </w:tcBorders>
            <w:shd w:val="clear" w:color="auto" w:fill="auto"/>
            <w:vAlign w:val="bottom"/>
            <w:hideMark/>
          </w:tcPr>
          <w:p w14:paraId="4944FCB5"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Holloway (1995)</w:t>
            </w:r>
          </w:p>
        </w:tc>
        <w:tc>
          <w:tcPr>
            <w:tcW w:w="1843" w:type="dxa"/>
            <w:tcBorders>
              <w:top w:val="nil"/>
              <w:left w:val="nil"/>
              <w:bottom w:val="nil"/>
              <w:right w:val="nil"/>
            </w:tcBorders>
            <w:shd w:val="clear" w:color="auto" w:fill="auto"/>
            <w:noWrap/>
            <w:vAlign w:val="center"/>
            <w:hideMark/>
          </w:tcPr>
          <w:p w14:paraId="769F89B6"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617302C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143E6948"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3959B29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412536FA" w14:textId="77777777" w:rsidR="003F0CDB" w:rsidRPr="00EA0DC7" w:rsidRDefault="003F0CDB" w:rsidP="00957911">
            <w:pPr>
              <w:spacing w:line="240" w:lineRule="auto"/>
              <w:jc w:val="center"/>
              <w:rPr>
                <w:rFonts w:eastAsia="Times New Roman" w:cs="Arial"/>
                <w:szCs w:val="24"/>
              </w:rPr>
            </w:pPr>
          </w:p>
        </w:tc>
      </w:tr>
      <w:tr w:rsidR="003F0CDB" w:rsidRPr="00EA0DC7" w14:paraId="45CA0F0A" w14:textId="77777777" w:rsidTr="00F20CDF">
        <w:trPr>
          <w:trHeight w:val="80"/>
        </w:trPr>
        <w:tc>
          <w:tcPr>
            <w:tcW w:w="3402" w:type="dxa"/>
            <w:tcBorders>
              <w:top w:val="nil"/>
              <w:left w:val="nil"/>
              <w:bottom w:val="single" w:sz="4" w:space="0" w:color="auto"/>
              <w:right w:val="nil"/>
            </w:tcBorders>
            <w:shd w:val="clear" w:color="auto" w:fill="auto"/>
            <w:vAlign w:val="bottom"/>
            <w:hideMark/>
          </w:tcPr>
          <w:p w14:paraId="5E00B3F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Hipp &amp; Munson (1995)</w:t>
            </w:r>
          </w:p>
        </w:tc>
        <w:tc>
          <w:tcPr>
            <w:tcW w:w="1843" w:type="dxa"/>
            <w:tcBorders>
              <w:top w:val="nil"/>
              <w:left w:val="nil"/>
              <w:bottom w:val="single" w:sz="4" w:space="0" w:color="auto"/>
              <w:right w:val="nil"/>
            </w:tcBorders>
            <w:shd w:val="clear" w:color="auto" w:fill="auto"/>
            <w:noWrap/>
            <w:vAlign w:val="center"/>
            <w:hideMark/>
          </w:tcPr>
          <w:p w14:paraId="5C04748D"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single" w:sz="4" w:space="0" w:color="auto"/>
              <w:right w:val="nil"/>
            </w:tcBorders>
            <w:vAlign w:val="center"/>
          </w:tcPr>
          <w:p w14:paraId="31F8280E"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shd w:val="clear" w:color="auto" w:fill="auto"/>
            <w:noWrap/>
            <w:vAlign w:val="center"/>
            <w:hideMark/>
          </w:tcPr>
          <w:p w14:paraId="18256AF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268" w:type="dxa"/>
            <w:tcBorders>
              <w:top w:val="nil"/>
              <w:left w:val="nil"/>
              <w:bottom w:val="single" w:sz="4" w:space="0" w:color="auto"/>
              <w:right w:val="nil"/>
            </w:tcBorders>
            <w:vAlign w:val="center"/>
          </w:tcPr>
          <w:p w14:paraId="6E856350"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single" w:sz="4" w:space="0" w:color="auto"/>
              <w:right w:val="nil"/>
            </w:tcBorders>
            <w:vAlign w:val="center"/>
          </w:tcPr>
          <w:p w14:paraId="0E3FEF3F" w14:textId="77777777" w:rsidR="003F0CDB" w:rsidRPr="00EA0DC7" w:rsidRDefault="003F0CDB" w:rsidP="00957911">
            <w:pPr>
              <w:spacing w:line="240" w:lineRule="auto"/>
              <w:jc w:val="center"/>
              <w:rPr>
                <w:rFonts w:eastAsia="Times New Roman" w:cs="Arial"/>
                <w:szCs w:val="24"/>
              </w:rPr>
            </w:pPr>
          </w:p>
        </w:tc>
      </w:tr>
    </w:tbl>
    <w:p w14:paraId="1BEF0757" w14:textId="77777777" w:rsidR="00817A09" w:rsidRPr="00EA0DC7" w:rsidRDefault="00817A09" w:rsidP="00F20CDF">
      <w:pPr>
        <w:spacing w:before="240" w:line="240" w:lineRule="auto"/>
        <w:jc w:val="center"/>
        <w:rPr>
          <w:rFonts w:eastAsia="Times New Roman" w:cs="Arial"/>
          <w:b/>
          <w:bCs/>
          <w:szCs w:val="24"/>
        </w:rPr>
        <w:sectPr w:rsidR="00817A09" w:rsidRPr="00EA0DC7" w:rsidSect="001A0398">
          <w:pgSz w:w="16838" w:h="11906" w:orient="landscape"/>
          <w:pgMar w:top="2268" w:right="1440" w:bottom="1440" w:left="1440" w:header="709" w:footer="709" w:gutter="0"/>
          <w:cols w:space="708"/>
          <w:docGrid w:linePitch="360"/>
        </w:sectPr>
      </w:pPr>
    </w:p>
    <w:tbl>
      <w:tblPr>
        <w:tblW w:w="12842" w:type="dxa"/>
        <w:tblLayout w:type="fixed"/>
        <w:tblLook w:val="04A0" w:firstRow="1" w:lastRow="0" w:firstColumn="1" w:lastColumn="0" w:noHBand="0" w:noVBand="1"/>
      </w:tblPr>
      <w:tblGrid>
        <w:gridCol w:w="3402"/>
        <w:gridCol w:w="1843"/>
        <w:gridCol w:w="1644"/>
        <w:gridCol w:w="1701"/>
        <w:gridCol w:w="2268"/>
        <w:gridCol w:w="1984"/>
      </w:tblGrid>
      <w:tr w:rsidR="00F20CDF" w:rsidRPr="00EA0DC7" w14:paraId="4FF619A1" w14:textId="77777777" w:rsidTr="00F20CDF">
        <w:trPr>
          <w:trHeight w:val="80"/>
        </w:trPr>
        <w:tc>
          <w:tcPr>
            <w:tcW w:w="3402" w:type="dxa"/>
            <w:tcBorders>
              <w:top w:val="single" w:sz="4" w:space="0" w:color="auto"/>
              <w:left w:val="nil"/>
              <w:bottom w:val="single" w:sz="4" w:space="0" w:color="auto"/>
              <w:right w:val="nil"/>
            </w:tcBorders>
            <w:shd w:val="clear" w:color="auto" w:fill="auto"/>
            <w:vAlign w:val="center"/>
          </w:tcPr>
          <w:p w14:paraId="6A43048B" w14:textId="5968937D"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843" w:type="dxa"/>
            <w:tcBorders>
              <w:top w:val="single" w:sz="4" w:space="0" w:color="auto"/>
              <w:left w:val="nil"/>
              <w:bottom w:val="single" w:sz="4" w:space="0" w:color="auto"/>
              <w:right w:val="nil"/>
            </w:tcBorders>
            <w:shd w:val="clear" w:color="auto" w:fill="auto"/>
            <w:noWrap/>
            <w:vAlign w:val="center"/>
          </w:tcPr>
          <w:p w14:paraId="28124720" w14:textId="18EF802F"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Group supervision</w:t>
            </w:r>
          </w:p>
        </w:tc>
        <w:tc>
          <w:tcPr>
            <w:tcW w:w="1644" w:type="dxa"/>
            <w:tcBorders>
              <w:top w:val="single" w:sz="4" w:space="0" w:color="auto"/>
              <w:left w:val="nil"/>
              <w:bottom w:val="single" w:sz="4" w:space="0" w:color="auto"/>
              <w:right w:val="nil"/>
            </w:tcBorders>
            <w:vAlign w:val="center"/>
          </w:tcPr>
          <w:p w14:paraId="603F6F6A" w14:textId="37155242"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Peer supervision</w:t>
            </w:r>
          </w:p>
        </w:tc>
        <w:tc>
          <w:tcPr>
            <w:tcW w:w="1701" w:type="dxa"/>
            <w:tcBorders>
              <w:top w:val="single" w:sz="4" w:space="0" w:color="auto"/>
              <w:left w:val="nil"/>
              <w:bottom w:val="single" w:sz="4" w:space="0" w:color="auto"/>
              <w:right w:val="nil"/>
            </w:tcBorders>
            <w:shd w:val="clear" w:color="auto" w:fill="auto"/>
            <w:noWrap/>
            <w:vAlign w:val="center"/>
          </w:tcPr>
          <w:p w14:paraId="7CA218B6" w14:textId="480176E2"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Self-supervision</w:t>
            </w:r>
          </w:p>
        </w:tc>
        <w:tc>
          <w:tcPr>
            <w:tcW w:w="2268" w:type="dxa"/>
            <w:tcBorders>
              <w:top w:val="single" w:sz="4" w:space="0" w:color="auto"/>
              <w:left w:val="nil"/>
              <w:bottom w:val="single" w:sz="4" w:space="0" w:color="auto"/>
              <w:right w:val="nil"/>
            </w:tcBorders>
            <w:vAlign w:val="center"/>
          </w:tcPr>
          <w:p w14:paraId="719AEAD6" w14:textId="7B3A8BD2"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Phone/ email/ tele-conferencing supervision</w:t>
            </w:r>
          </w:p>
        </w:tc>
        <w:tc>
          <w:tcPr>
            <w:tcW w:w="1984" w:type="dxa"/>
            <w:tcBorders>
              <w:top w:val="single" w:sz="4" w:space="0" w:color="auto"/>
              <w:left w:val="nil"/>
              <w:bottom w:val="single" w:sz="4" w:space="0" w:color="auto"/>
              <w:right w:val="nil"/>
            </w:tcBorders>
            <w:vAlign w:val="center"/>
          </w:tcPr>
          <w:p w14:paraId="5F300329" w14:textId="101301AF"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Client invited into supervision</w:t>
            </w:r>
          </w:p>
        </w:tc>
      </w:tr>
      <w:tr w:rsidR="003F0CDB" w:rsidRPr="00EA0DC7" w14:paraId="2851761B" w14:textId="77777777" w:rsidTr="00F20CDF">
        <w:trPr>
          <w:trHeight w:val="80"/>
        </w:trPr>
        <w:tc>
          <w:tcPr>
            <w:tcW w:w="3402" w:type="dxa"/>
            <w:tcBorders>
              <w:top w:val="single" w:sz="4" w:space="0" w:color="auto"/>
              <w:left w:val="nil"/>
              <w:bottom w:val="nil"/>
              <w:right w:val="nil"/>
            </w:tcBorders>
            <w:shd w:val="clear" w:color="auto" w:fill="auto"/>
            <w:vAlign w:val="bottom"/>
            <w:hideMark/>
          </w:tcPr>
          <w:p w14:paraId="73AFD396" w14:textId="77777777" w:rsidR="003F0CDB" w:rsidRPr="00EA0DC7" w:rsidRDefault="003F0CDB" w:rsidP="00817A09">
            <w:pPr>
              <w:spacing w:before="240" w:line="240" w:lineRule="auto"/>
              <w:jc w:val="left"/>
              <w:rPr>
                <w:rFonts w:eastAsia="Times New Roman" w:cs="Arial"/>
                <w:szCs w:val="24"/>
              </w:rPr>
            </w:pPr>
            <w:r w:rsidRPr="00EA0DC7">
              <w:rPr>
                <w:rFonts w:eastAsia="Times New Roman" w:cs="Arial"/>
                <w:szCs w:val="24"/>
              </w:rPr>
              <w:t>Carroll (1996)</w:t>
            </w:r>
          </w:p>
        </w:tc>
        <w:tc>
          <w:tcPr>
            <w:tcW w:w="1843" w:type="dxa"/>
            <w:tcBorders>
              <w:top w:val="single" w:sz="4" w:space="0" w:color="auto"/>
              <w:left w:val="nil"/>
              <w:bottom w:val="nil"/>
              <w:right w:val="nil"/>
            </w:tcBorders>
            <w:shd w:val="clear" w:color="auto" w:fill="auto"/>
            <w:noWrap/>
            <w:vAlign w:val="center"/>
            <w:hideMark/>
          </w:tcPr>
          <w:p w14:paraId="3B552358" w14:textId="77777777" w:rsidR="003F0CDB" w:rsidRPr="00EA0DC7" w:rsidRDefault="003F0CDB" w:rsidP="00957911">
            <w:pPr>
              <w:spacing w:line="240" w:lineRule="auto"/>
              <w:jc w:val="center"/>
              <w:rPr>
                <w:rFonts w:eastAsia="Times New Roman" w:cs="Arial"/>
                <w:szCs w:val="24"/>
              </w:rPr>
            </w:pPr>
          </w:p>
        </w:tc>
        <w:tc>
          <w:tcPr>
            <w:tcW w:w="1644" w:type="dxa"/>
            <w:tcBorders>
              <w:top w:val="single" w:sz="4" w:space="0" w:color="auto"/>
              <w:left w:val="nil"/>
              <w:bottom w:val="nil"/>
              <w:right w:val="nil"/>
            </w:tcBorders>
            <w:vAlign w:val="center"/>
          </w:tcPr>
          <w:p w14:paraId="4C39B891" w14:textId="77777777" w:rsidR="003F0CDB" w:rsidRPr="00EA0DC7" w:rsidRDefault="003F0CDB" w:rsidP="00957911">
            <w:pPr>
              <w:spacing w:line="240" w:lineRule="auto"/>
              <w:jc w:val="center"/>
              <w:rPr>
                <w:rFonts w:eastAsia="Times New Roman" w:cs="Arial"/>
                <w:szCs w:val="24"/>
              </w:rPr>
            </w:pPr>
          </w:p>
        </w:tc>
        <w:tc>
          <w:tcPr>
            <w:tcW w:w="1701" w:type="dxa"/>
            <w:tcBorders>
              <w:top w:val="single" w:sz="4" w:space="0" w:color="auto"/>
              <w:left w:val="nil"/>
              <w:bottom w:val="nil"/>
              <w:right w:val="nil"/>
            </w:tcBorders>
            <w:shd w:val="clear" w:color="auto" w:fill="auto"/>
            <w:noWrap/>
            <w:vAlign w:val="center"/>
            <w:hideMark/>
          </w:tcPr>
          <w:p w14:paraId="5D6A6518" w14:textId="77777777" w:rsidR="003F0CDB" w:rsidRPr="00EA0DC7" w:rsidRDefault="003F0CDB" w:rsidP="00957911">
            <w:pPr>
              <w:spacing w:line="240" w:lineRule="auto"/>
              <w:jc w:val="center"/>
              <w:rPr>
                <w:rFonts w:eastAsia="Times New Roman" w:cs="Arial"/>
                <w:szCs w:val="24"/>
              </w:rPr>
            </w:pPr>
          </w:p>
        </w:tc>
        <w:tc>
          <w:tcPr>
            <w:tcW w:w="2268" w:type="dxa"/>
            <w:tcBorders>
              <w:top w:val="single" w:sz="4" w:space="0" w:color="auto"/>
              <w:left w:val="nil"/>
              <w:bottom w:val="nil"/>
              <w:right w:val="nil"/>
            </w:tcBorders>
            <w:vAlign w:val="center"/>
          </w:tcPr>
          <w:p w14:paraId="55B5426D" w14:textId="77777777" w:rsidR="003F0CDB" w:rsidRPr="00EA0DC7" w:rsidRDefault="003F0CDB" w:rsidP="00957911">
            <w:pPr>
              <w:spacing w:line="240" w:lineRule="auto"/>
              <w:jc w:val="center"/>
              <w:rPr>
                <w:rFonts w:eastAsia="Times New Roman" w:cs="Arial"/>
                <w:szCs w:val="24"/>
              </w:rPr>
            </w:pPr>
          </w:p>
        </w:tc>
        <w:tc>
          <w:tcPr>
            <w:tcW w:w="1984" w:type="dxa"/>
            <w:tcBorders>
              <w:top w:val="single" w:sz="4" w:space="0" w:color="auto"/>
              <w:left w:val="nil"/>
              <w:bottom w:val="nil"/>
              <w:right w:val="nil"/>
            </w:tcBorders>
            <w:vAlign w:val="center"/>
          </w:tcPr>
          <w:p w14:paraId="25C24157" w14:textId="77777777" w:rsidR="003F0CDB" w:rsidRPr="00EA0DC7" w:rsidRDefault="003F0CDB" w:rsidP="00957911">
            <w:pPr>
              <w:spacing w:line="240" w:lineRule="auto"/>
              <w:jc w:val="center"/>
              <w:rPr>
                <w:rFonts w:eastAsia="Times New Roman" w:cs="Arial"/>
                <w:szCs w:val="24"/>
              </w:rPr>
            </w:pPr>
          </w:p>
        </w:tc>
      </w:tr>
      <w:tr w:rsidR="003F0CDB" w:rsidRPr="00EA0DC7" w14:paraId="53CFAD5E" w14:textId="77777777" w:rsidTr="00F20CDF">
        <w:trPr>
          <w:trHeight w:val="80"/>
        </w:trPr>
        <w:tc>
          <w:tcPr>
            <w:tcW w:w="3402" w:type="dxa"/>
            <w:tcBorders>
              <w:top w:val="nil"/>
              <w:left w:val="nil"/>
              <w:bottom w:val="nil"/>
              <w:right w:val="nil"/>
            </w:tcBorders>
            <w:shd w:val="clear" w:color="auto" w:fill="auto"/>
            <w:vAlign w:val="bottom"/>
            <w:hideMark/>
          </w:tcPr>
          <w:p w14:paraId="582CB8EF"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Carroll (1996)</w:t>
            </w:r>
          </w:p>
        </w:tc>
        <w:tc>
          <w:tcPr>
            <w:tcW w:w="1843" w:type="dxa"/>
            <w:tcBorders>
              <w:top w:val="nil"/>
              <w:left w:val="nil"/>
              <w:bottom w:val="nil"/>
              <w:right w:val="nil"/>
            </w:tcBorders>
            <w:shd w:val="clear" w:color="auto" w:fill="auto"/>
            <w:noWrap/>
            <w:vAlign w:val="center"/>
            <w:hideMark/>
          </w:tcPr>
          <w:p w14:paraId="46BF7B78"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3AF091D8"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3A17F0D9"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437F857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0E2F9E1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3F0CDB" w:rsidRPr="00EA0DC7" w14:paraId="13E8C00F" w14:textId="77777777" w:rsidTr="00F20CDF">
        <w:trPr>
          <w:trHeight w:val="80"/>
        </w:trPr>
        <w:tc>
          <w:tcPr>
            <w:tcW w:w="3402" w:type="dxa"/>
            <w:tcBorders>
              <w:top w:val="nil"/>
              <w:left w:val="nil"/>
              <w:bottom w:val="nil"/>
              <w:right w:val="nil"/>
            </w:tcBorders>
            <w:shd w:val="clear" w:color="auto" w:fill="auto"/>
            <w:vAlign w:val="bottom"/>
            <w:hideMark/>
          </w:tcPr>
          <w:p w14:paraId="613ADC0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Haber (1996)</w:t>
            </w:r>
          </w:p>
        </w:tc>
        <w:tc>
          <w:tcPr>
            <w:tcW w:w="1843" w:type="dxa"/>
            <w:tcBorders>
              <w:top w:val="nil"/>
              <w:left w:val="nil"/>
              <w:bottom w:val="nil"/>
              <w:right w:val="nil"/>
            </w:tcBorders>
            <w:shd w:val="clear" w:color="auto" w:fill="auto"/>
            <w:noWrap/>
            <w:vAlign w:val="center"/>
            <w:hideMark/>
          </w:tcPr>
          <w:p w14:paraId="2A1782B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62FF34BF"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7397640B"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11E5DFF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4" w:type="dxa"/>
            <w:tcBorders>
              <w:top w:val="nil"/>
              <w:left w:val="nil"/>
              <w:bottom w:val="nil"/>
              <w:right w:val="nil"/>
            </w:tcBorders>
            <w:vAlign w:val="center"/>
          </w:tcPr>
          <w:p w14:paraId="3ACE358A" w14:textId="77777777" w:rsidR="003F0CDB" w:rsidRPr="00EA0DC7" w:rsidRDefault="003F0CDB" w:rsidP="00957911">
            <w:pPr>
              <w:spacing w:line="240" w:lineRule="auto"/>
              <w:jc w:val="center"/>
              <w:rPr>
                <w:rFonts w:eastAsia="Times New Roman" w:cs="Arial"/>
                <w:szCs w:val="24"/>
              </w:rPr>
            </w:pPr>
          </w:p>
        </w:tc>
      </w:tr>
      <w:tr w:rsidR="003F0CDB" w:rsidRPr="00EA0DC7" w14:paraId="4B441EFB" w14:textId="77777777" w:rsidTr="00F20CDF">
        <w:trPr>
          <w:trHeight w:val="80"/>
        </w:trPr>
        <w:tc>
          <w:tcPr>
            <w:tcW w:w="3402" w:type="dxa"/>
            <w:tcBorders>
              <w:top w:val="nil"/>
              <w:left w:val="nil"/>
              <w:bottom w:val="nil"/>
              <w:right w:val="nil"/>
            </w:tcBorders>
            <w:shd w:val="clear" w:color="auto" w:fill="auto"/>
            <w:vAlign w:val="bottom"/>
            <w:hideMark/>
          </w:tcPr>
          <w:p w14:paraId="631CB98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Liese &amp; Beck (1997)</w:t>
            </w:r>
          </w:p>
        </w:tc>
        <w:tc>
          <w:tcPr>
            <w:tcW w:w="1843" w:type="dxa"/>
            <w:tcBorders>
              <w:top w:val="nil"/>
              <w:left w:val="nil"/>
              <w:bottom w:val="nil"/>
              <w:right w:val="nil"/>
            </w:tcBorders>
            <w:shd w:val="clear" w:color="auto" w:fill="auto"/>
            <w:noWrap/>
            <w:vAlign w:val="center"/>
            <w:hideMark/>
          </w:tcPr>
          <w:p w14:paraId="6005F46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5F7D685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69187412"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6A29C5A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5F90A62E" w14:textId="77777777" w:rsidR="003F0CDB" w:rsidRPr="00EA0DC7" w:rsidRDefault="003F0CDB" w:rsidP="00957911">
            <w:pPr>
              <w:spacing w:line="240" w:lineRule="auto"/>
              <w:jc w:val="center"/>
              <w:rPr>
                <w:rFonts w:eastAsia="Times New Roman" w:cs="Arial"/>
                <w:szCs w:val="24"/>
              </w:rPr>
            </w:pPr>
          </w:p>
        </w:tc>
      </w:tr>
      <w:tr w:rsidR="003F0CDB" w:rsidRPr="00EA0DC7" w14:paraId="02F4E322" w14:textId="77777777" w:rsidTr="00F20CDF">
        <w:trPr>
          <w:trHeight w:val="80"/>
        </w:trPr>
        <w:tc>
          <w:tcPr>
            <w:tcW w:w="3402" w:type="dxa"/>
            <w:tcBorders>
              <w:top w:val="nil"/>
              <w:left w:val="nil"/>
              <w:bottom w:val="nil"/>
              <w:right w:val="nil"/>
            </w:tcBorders>
            <w:shd w:val="clear" w:color="auto" w:fill="auto"/>
            <w:vAlign w:val="bottom"/>
            <w:hideMark/>
          </w:tcPr>
          <w:p w14:paraId="0F656F15"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Ward &amp; House (1998)</w:t>
            </w:r>
          </w:p>
        </w:tc>
        <w:tc>
          <w:tcPr>
            <w:tcW w:w="1843" w:type="dxa"/>
            <w:tcBorders>
              <w:top w:val="nil"/>
              <w:left w:val="nil"/>
              <w:bottom w:val="nil"/>
              <w:right w:val="nil"/>
            </w:tcBorders>
            <w:shd w:val="clear" w:color="auto" w:fill="auto"/>
            <w:noWrap/>
            <w:vAlign w:val="center"/>
            <w:hideMark/>
          </w:tcPr>
          <w:p w14:paraId="416341A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nil"/>
              <w:right w:val="nil"/>
            </w:tcBorders>
            <w:vAlign w:val="center"/>
          </w:tcPr>
          <w:p w14:paraId="17DBB43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shd w:val="clear" w:color="auto" w:fill="auto"/>
            <w:noWrap/>
            <w:vAlign w:val="center"/>
            <w:hideMark/>
          </w:tcPr>
          <w:p w14:paraId="629E3D95"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6BAD6A86"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6DC7802" w14:textId="77777777" w:rsidR="003F0CDB" w:rsidRPr="00EA0DC7" w:rsidRDefault="003F0CDB" w:rsidP="00957911">
            <w:pPr>
              <w:spacing w:line="240" w:lineRule="auto"/>
              <w:jc w:val="center"/>
              <w:rPr>
                <w:rFonts w:eastAsia="Times New Roman" w:cs="Arial"/>
                <w:szCs w:val="24"/>
              </w:rPr>
            </w:pPr>
          </w:p>
        </w:tc>
      </w:tr>
      <w:tr w:rsidR="003F0CDB" w:rsidRPr="00EA0DC7" w14:paraId="13C21641" w14:textId="77777777" w:rsidTr="00F20CDF">
        <w:trPr>
          <w:trHeight w:val="80"/>
        </w:trPr>
        <w:tc>
          <w:tcPr>
            <w:tcW w:w="3402" w:type="dxa"/>
            <w:tcBorders>
              <w:top w:val="nil"/>
              <w:left w:val="nil"/>
              <w:bottom w:val="nil"/>
              <w:right w:val="nil"/>
            </w:tcBorders>
            <w:shd w:val="clear" w:color="auto" w:fill="auto"/>
            <w:vAlign w:val="bottom"/>
            <w:hideMark/>
          </w:tcPr>
          <w:p w14:paraId="07BA5351"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Bob (1999)</w:t>
            </w:r>
          </w:p>
        </w:tc>
        <w:tc>
          <w:tcPr>
            <w:tcW w:w="1843" w:type="dxa"/>
            <w:tcBorders>
              <w:top w:val="nil"/>
              <w:left w:val="nil"/>
              <w:bottom w:val="nil"/>
              <w:right w:val="nil"/>
            </w:tcBorders>
            <w:shd w:val="clear" w:color="auto" w:fill="auto"/>
            <w:noWrap/>
            <w:vAlign w:val="center"/>
            <w:hideMark/>
          </w:tcPr>
          <w:p w14:paraId="121AF43E"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2F18A04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5EC932AC"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67A9CA22"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77BC742F" w14:textId="77777777" w:rsidR="003F0CDB" w:rsidRPr="00EA0DC7" w:rsidRDefault="003F0CDB" w:rsidP="00957911">
            <w:pPr>
              <w:spacing w:line="240" w:lineRule="auto"/>
              <w:jc w:val="center"/>
              <w:rPr>
                <w:rFonts w:eastAsia="Times New Roman" w:cs="Arial"/>
                <w:szCs w:val="24"/>
              </w:rPr>
            </w:pPr>
          </w:p>
        </w:tc>
      </w:tr>
      <w:tr w:rsidR="003F0CDB" w:rsidRPr="00EA0DC7" w14:paraId="77E82B15" w14:textId="77777777" w:rsidTr="00F20CDF">
        <w:trPr>
          <w:trHeight w:val="80"/>
        </w:trPr>
        <w:tc>
          <w:tcPr>
            <w:tcW w:w="3402" w:type="dxa"/>
            <w:tcBorders>
              <w:top w:val="nil"/>
              <w:left w:val="nil"/>
              <w:right w:val="nil"/>
            </w:tcBorders>
            <w:shd w:val="clear" w:color="auto" w:fill="auto"/>
            <w:vAlign w:val="bottom"/>
            <w:hideMark/>
          </w:tcPr>
          <w:p w14:paraId="17DC73BD"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Nelson &amp; Johnson (1999)</w:t>
            </w:r>
          </w:p>
        </w:tc>
        <w:tc>
          <w:tcPr>
            <w:tcW w:w="1843" w:type="dxa"/>
            <w:tcBorders>
              <w:top w:val="nil"/>
              <w:left w:val="nil"/>
              <w:right w:val="nil"/>
            </w:tcBorders>
            <w:shd w:val="clear" w:color="auto" w:fill="auto"/>
            <w:noWrap/>
            <w:vAlign w:val="center"/>
            <w:hideMark/>
          </w:tcPr>
          <w:p w14:paraId="7F50CF01"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right w:val="nil"/>
            </w:tcBorders>
            <w:vAlign w:val="center"/>
          </w:tcPr>
          <w:p w14:paraId="5A22662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shd w:val="clear" w:color="auto" w:fill="auto"/>
            <w:noWrap/>
            <w:vAlign w:val="center"/>
            <w:hideMark/>
          </w:tcPr>
          <w:p w14:paraId="74B5CBB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268" w:type="dxa"/>
            <w:tcBorders>
              <w:top w:val="nil"/>
              <w:left w:val="nil"/>
              <w:right w:val="nil"/>
            </w:tcBorders>
            <w:vAlign w:val="center"/>
          </w:tcPr>
          <w:p w14:paraId="7D544A3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25B04F8A" w14:textId="77777777" w:rsidR="003F0CDB" w:rsidRPr="00EA0DC7" w:rsidRDefault="003F0CDB" w:rsidP="00957911">
            <w:pPr>
              <w:spacing w:line="240" w:lineRule="auto"/>
              <w:jc w:val="center"/>
              <w:rPr>
                <w:rFonts w:eastAsia="Times New Roman" w:cs="Arial"/>
                <w:szCs w:val="24"/>
              </w:rPr>
            </w:pPr>
          </w:p>
        </w:tc>
      </w:tr>
      <w:tr w:rsidR="003F0CDB" w:rsidRPr="00EA0DC7" w14:paraId="2619CD5B" w14:textId="77777777" w:rsidTr="00F20CDF">
        <w:trPr>
          <w:trHeight w:val="80"/>
        </w:trPr>
        <w:tc>
          <w:tcPr>
            <w:tcW w:w="3402" w:type="dxa"/>
            <w:tcBorders>
              <w:top w:val="nil"/>
              <w:left w:val="nil"/>
              <w:right w:val="nil"/>
            </w:tcBorders>
            <w:shd w:val="clear" w:color="auto" w:fill="auto"/>
            <w:vAlign w:val="bottom"/>
            <w:hideMark/>
          </w:tcPr>
          <w:p w14:paraId="20C9CF8C"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Edwards &amp; Chen (1999)</w:t>
            </w:r>
          </w:p>
        </w:tc>
        <w:tc>
          <w:tcPr>
            <w:tcW w:w="1843" w:type="dxa"/>
            <w:tcBorders>
              <w:top w:val="nil"/>
              <w:left w:val="nil"/>
              <w:right w:val="nil"/>
            </w:tcBorders>
            <w:shd w:val="clear" w:color="auto" w:fill="auto"/>
            <w:noWrap/>
            <w:vAlign w:val="center"/>
            <w:hideMark/>
          </w:tcPr>
          <w:p w14:paraId="792BFEB4"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right w:val="nil"/>
            </w:tcBorders>
            <w:vAlign w:val="center"/>
          </w:tcPr>
          <w:p w14:paraId="27D73F38"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shd w:val="clear" w:color="auto" w:fill="auto"/>
            <w:noWrap/>
            <w:vAlign w:val="center"/>
            <w:hideMark/>
          </w:tcPr>
          <w:p w14:paraId="07A11CB1"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4AD66181"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1D677C57" w14:textId="77777777" w:rsidR="003F0CDB" w:rsidRPr="00EA0DC7" w:rsidRDefault="003F0CDB" w:rsidP="00957911">
            <w:pPr>
              <w:spacing w:line="240" w:lineRule="auto"/>
              <w:jc w:val="center"/>
              <w:rPr>
                <w:rFonts w:eastAsia="Times New Roman" w:cs="Arial"/>
                <w:szCs w:val="24"/>
              </w:rPr>
            </w:pPr>
          </w:p>
        </w:tc>
      </w:tr>
      <w:tr w:rsidR="003F0CDB" w:rsidRPr="00EA0DC7" w14:paraId="0D18A7C0" w14:textId="77777777" w:rsidTr="00F20CDF">
        <w:trPr>
          <w:trHeight w:val="80"/>
        </w:trPr>
        <w:tc>
          <w:tcPr>
            <w:tcW w:w="3402" w:type="dxa"/>
            <w:tcBorders>
              <w:left w:val="nil"/>
              <w:right w:val="nil"/>
            </w:tcBorders>
            <w:shd w:val="clear" w:color="auto" w:fill="auto"/>
            <w:vAlign w:val="bottom"/>
            <w:hideMark/>
          </w:tcPr>
          <w:p w14:paraId="46E7D4EE"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Granello (2000)</w:t>
            </w:r>
          </w:p>
        </w:tc>
        <w:tc>
          <w:tcPr>
            <w:tcW w:w="1843" w:type="dxa"/>
            <w:tcBorders>
              <w:left w:val="nil"/>
              <w:right w:val="nil"/>
            </w:tcBorders>
            <w:shd w:val="clear" w:color="auto" w:fill="auto"/>
            <w:noWrap/>
            <w:vAlign w:val="center"/>
            <w:hideMark/>
          </w:tcPr>
          <w:p w14:paraId="46E0832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left w:val="nil"/>
              <w:right w:val="nil"/>
            </w:tcBorders>
            <w:vAlign w:val="center"/>
          </w:tcPr>
          <w:p w14:paraId="2E136C9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shd w:val="clear" w:color="auto" w:fill="auto"/>
            <w:noWrap/>
            <w:vAlign w:val="center"/>
            <w:hideMark/>
          </w:tcPr>
          <w:p w14:paraId="3A38DFE0" w14:textId="77777777" w:rsidR="003F0CDB" w:rsidRPr="00EA0DC7" w:rsidRDefault="003F0CDB" w:rsidP="00957911">
            <w:pPr>
              <w:spacing w:line="240" w:lineRule="auto"/>
              <w:jc w:val="center"/>
              <w:rPr>
                <w:rFonts w:eastAsia="Times New Roman" w:cs="Arial"/>
                <w:szCs w:val="24"/>
              </w:rPr>
            </w:pPr>
          </w:p>
        </w:tc>
        <w:tc>
          <w:tcPr>
            <w:tcW w:w="2268" w:type="dxa"/>
            <w:tcBorders>
              <w:left w:val="nil"/>
              <w:right w:val="nil"/>
            </w:tcBorders>
            <w:vAlign w:val="center"/>
          </w:tcPr>
          <w:p w14:paraId="32F16F1D" w14:textId="77777777" w:rsidR="003F0CDB" w:rsidRPr="00EA0DC7" w:rsidRDefault="003F0CDB" w:rsidP="00957911">
            <w:pPr>
              <w:spacing w:line="240" w:lineRule="auto"/>
              <w:jc w:val="center"/>
              <w:rPr>
                <w:rFonts w:eastAsia="Times New Roman" w:cs="Arial"/>
                <w:szCs w:val="24"/>
              </w:rPr>
            </w:pPr>
          </w:p>
        </w:tc>
        <w:tc>
          <w:tcPr>
            <w:tcW w:w="1984" w:type="dxa"/>
            <w:tcBorders>
              <w:left w:val="nil"/>
              <w:right w:val="nil"/>
            </w:tcBorders>
            <w:vAlign w:val="center"/>
          </w:tcPr>
          <w:p w14:paraId="73408419" w14:textId="77777777" w:rsidR="003F0CDB" w:rsidRPr="00EA0DC7" w:rsidRDefault="003F0CDB" w:rsidP="00957911">
            <w:pPr>
              <w:spacing w:line="240" w:lineRule="auto"/>
              <w:jc w:val="center"/>
              <w:rPr>
                <w:rFonts w:eastAsia="Times New Roman" w:cs="Arial"/>
                <w:szCs w:val="24"/>
              </w:rPr>
            </w:pPr>
          </w:p>
        </w:tc>
      </w:tr>
      <w:tr w:rsidR="003F0CDB" w:rsidRPr="00EA0DC7" w14:paraId="353801E9" w14:textId="77777777" w:rsidTr="00F20CDF">
        <w:trPr>
          <w:trHeight w:val="80"/>
        </w:trPr>
        <w:tc>
          <w:tcPr>
            <w:tcW w:w="3402" w:type="dxa"/>
            <w:tcBorders>
              <w:left w:val="nil"/>
              <w:right w:val="nil"/>
            </w:tcBorders>
            <w:shd w:val="clear" w:color="auto" w:fill="auto"/>
            <w:vAlign w:val="bottom"/>
            <w:hideMark/>
          </w:tcPr>
          <w:p w14:paraId="50678D6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Gilbert &amp; Evans (2000)</w:t>
            </w:r>
          </w:p>
        </w:tc>
        <w:tc>
          <w:tcPr>
            <w:tcW w:w="1843" w:type="dxa"/>
            <w:tcBorders>
              <w:left w:val="nil"/>
              <w:right w:val="nil"/>
            </w:tcBorders>
            <w:shd w:val="clear" w:color="auto" w:fill="auto"/>
            <w:noWrap/>
            <w:vAlign w:val="center"/>
            <w:hideMark/>
          </w:tcPr>
          <w:p w14:paraId="2FA81BE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left w:val="nil"/>
              <w:right w:val="nil"/>
            </w:tcBorders>
            <w:vAlign w:val="center"/>
          </w:tcPr>
          <w:p w14:paraId="5F43604E"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shd w:val="clear" w:color="auto" w:fill="auto"/>
            <w:noWrap/>
            <w:vAlign w:val="center"/>
            <w:hideMark/>
          </w:tcPr>
          <w:p w14:paraId="36D2860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268" w:type="dxa"/>
            <w:tcBorders>
              <w:left w:val="nil"/>
              <w:right w:val="nil"/>
            </w:tcBorders>
            <w:vAlign w:val="center"/>
          </w:tcPr>
          <w:p w14:paraId="456D61E9" w14:textId="77777777" w:rsidR="003F0CDB" w:rsidRPr="00EA0DC7" w:rsidRDefault="003F0CDB" w:rsidP="00957911">
            <w:pPr>
              <w:spacing w:line="240" w:lineRule="auto"/>
              <w:jc w:val="center"/>
              <w:rPr>
                <w:rFonts w:eastAsia="Times New Roman" w:cs="Arial"/>
                <w:szCs w:val="24"/>
              </w:rPr>
            </w:pPr>
          </w:p>
        </w:tc>
        <w:tc>
          <w:tcPr>
            <w:tcW w:w="1984" w:type="dxa"/>
            <w:tcBorders>
              <w:left w:val="nil"/>
              <w:right w:val="nil"/>
            </w:tcBorders>
            <w:vAlign w:val="center"/>
          </w:tcPr>
          <w:p w14:paraId="10520289" w14:textId="77777777" w:rsidR="003F0CDB" w:rsidRPr="00EA0DC7" w:rsidRDefault="003F0CDB" w:rsidP="00957911">
            <w:pPr>
              <w:spacing w:line="240" w:lineRule="auto"/>
              <w:jc w:val="center"/>
              <w:rPr>
                <w:rFonts w:eastAsia="Times New Roman" w:cs="Arial"/>
                <w:szCs w:val="24"/>
              </w:rPr>
            </w:pPr>
          </w:p>
        </w:tc>
      </w:tr>
      <w:tr w:rsidR="003F0CDB" w:rsidRPr="00EA0DC7" w14:paraId="435B34C8" w14:textId="77777777" w:rsidTr="00F20CDF">
        <w:trPr>
          <w:trHeight w:val="80"/>
        </w:trPr>
        <w:tc>
          <w:tcPr>
            <w:tcW w:w="3402" w:type="dxa"/>
            <w:tcBorders>
              <w:left w:val="nil"/>
              <w:right w:val="nil"/>
            </w:tcBorders>
            <w:shd w:val="clear" w:color="auto" w:fill="auto"/>
            <w:vAlign w:val="bottom"/>
            <w:hideMark/>
          </w:tcPr>
          <w:p w14:paraId="40AE0DB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 xml:space="preserve">Scaife (2001) </w:t>
            </w:r>
          </w:p>
        </w:tc>
        <w:tc>
          <w:tcPr>
            <w:tcW w:w="1843" w:type="dxa"/>
            <w:tcBorders>
              <w:left w:val="nil"/>
              <w:right w:val="nil"/>
            </w:tcBorders>
            <w:shd w:val="clear" w:color="auto" w:fill="auto"/>
            <w:noWrap/>
            <w:vAlign w:val="center"/>
            <w:hideMark/>
          </w:tcPr>
          <w:p w14:paraId="705085DC" w14:textId="77777777" w:rsidR="003F0CDB" w:rsidRPr="00EA0DC7" w:rsidRDefault="003F0CDB" w:rsidP="00957911">
            <w:pPr>
              <w:spacing w:line="240" w:lineRule="auto"/>
              <w:jc w:val="center"/>
              <w:rPr>
                <w:rFonts w:eastAsia="Times New Roman" w:cs="Arial"/>
                <w:szCs w:val="24"/>
              </w:rPr>
            </w:pPr>
          </w:p>
        </w:tc>
        <w:tc>
          <w:tcPr>
            <w:tcW w:w="1644" w:type="dxa"/>
            <w:tcBorders>
              <w:left w:val="nil"/>
              <w:right w:val="nil"/>
            </w:tcBorders>
            <w:vAlign w:val="center"/>
          </w:tcPr>
          <w:p w14:paraId="5C2C3019"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shd w:val="clear" w:color="auto" w:fill="auto"/>
            <w:noWrap/>
            <w:vAlign w:val="center"/>
            <w:hideMark/>
          </w:tcPr>
          <w:p w14:paraId="263E0D92" w14:textId="77777777" w:rsidR="003F0CDB" w:rsidRPr="00EA0DC7" w:rsidRDefault="003F0CDB" w:rsidP="00957911">
            <w:pPr>
              <w:spacing w:line="240" w:lineRule="auto"/>
              <w:jc w:val="center"/>
              <w:rPr>
                <w:rFonts w:eastAsia="Times New Roman" w:cs="Arial"/>
                <w:szCs w:val="24"/>
              </w:rPr>
            </w:pPr>
          </w:p>
        </w:tc>
        <w:tc>
          <w:tcPr>
            <w:tcW w:w="2268" w:type="dxa"/>
            <w:tcBorders>
              <w:left w:val="nil"/>
              <w:right w:val="nil"/>
            </w:tcBorders>
            <w:vAlign w:val="center"/>
          </w:tcPr>
          <w:p w14:paraId="359B4F64" w14:textId="77777777" w:rsidR="003F0CDB" w:rsidRPr="00EA0DC7" w:rsidRDefault="003F0CDB" w:rsidP="00957911">
            <w:pPr>
              <w:spacing w:line="240" w:lineRule="auto"/>
              <w:jc w:val="center"/>
              <w:rPr>
                <w:rFonts w:eastAsia="Times New Roman" w:cs="Arial"/>
                <w:szCs w:val="24"/>
              </w:rPr>
            </w:pPr>
          </w:p>
        </w:tc>
        <w:tc>
          <w:tcPr>
            <w:tcW w:w="1984" w:type="dxa"/>
            <w:tcBorders>
              <w:left w:val="nil"/>
              <w:right w:val="nil"/>
            </w:tcBorders>
            <w:vAlign w:val="center"/>
          </w:tcPr>
          <w:p w14:paraId="22416F65" w14:textId="77777777" w:rsidR="003F0CDB" w:rsidRPr="00EA0DC7" w:rsidRDefault="003F0CDB" w:rsidP="00957911">
            <w:pPr>
              <w:spacing w:line="240" w:lineRule="auto"/>
              <w:jc w:val="center"/>
              <w:rPr>
                <w:rFonts w:eastAsia="Times New Roman" w:cs="Arial"/>
                <w:szCs w:val="24"/>
              </w:rPr>
            </w:pPr>
          </w:p>
        </w:tc>
      </w:tr>
      <w:tr w:rsidR="003F0CDB" w:rsidRPr="00EA0DC7" w14:paraId="6D1C8603" w14:textId="77777777" w:rsidTr="00F20CDF">
        <w:trPr>
          <w:trHeight w:val="80"/>
        </w:trPr>
        <w:tc>
          <w:tcPr>
            <w:tcW w:w="3402" w:type="dxa"/>
            <w:tcBorders>
              <w:top w:val="nil"/>
              <w:left w:val="nil"/>
              <w:right w:val="nil"/>
            </w:tcBorders>
            <w:shd w:val="clear" w:color="auto" w:fill="auto"/>
            <w:vAlign w:val="bottom"/>
            <w:hideMark/>
          </w:tcPr>
          <w:p w14:paraId="1D04B440"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Frawley-O'Dea &amp; Sarnat (2001)</w:t>
            </w:r>
          </w:p>
        </w:tc>
        <w:tc>
          <w:tcPr>
            <w:tcW w:w="1843" w:type="dxa"/>
            <w:tcBorders>
              <w:top w:val="nil"/>
              <w:left w:val="nil"/>
              <w:right w:val="nil"/>
            </w:tcBorders>
            <w:shd w:val="clear" w:color="auto" w:fill="auto"/>
            <w:noWrap/>
            <w:vAlign w:val="center"/>
            <w:hideMark/>
          </w:tcPr>
          <w:p w14:paraId="5883BBB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right w:val="nil"/>
            </w:tcBorders>
            <w:vAlign w:val="center"/>
          </w:tcPr>
          <w:p w14:paraId="50C430D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shd w:val="clear" w:color="auto" w:fill="auto"/>
            <w:noWrap/>
            <w:vAlign w:val="center"/>
            <w:hideMark/>
          </w:tcPr>
          <w:p w14:paraId="11939E00"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6721284F"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7E145562" w14:textId="77777777" w:rsidR="003F0CDB" w:rsidRPr="00EA0DC7" w:rsidRDefault="003F0CDB" w:rsidP="00957911">
            <w:pPr>
              <w:spacing w:line="240" w:lineRule="auto"/>
              <w:jc w:val="center"/>
              <w:rPr>
                <w:rFonts w:eastAsia="Times New Roman" w:cs="Arial"/>
                <w:szCs w:val="24"/>
              </w:rPr>
            </w:pPr>
          </w:p>
        </w:tc>
      </w:tr>
      <w:tr w:rsidR="003F0CDB" w:rsidRPr="00EA0DC7" w14:paraId="144235CF" w14:textId="77777777" w:rsidTr="00817A09">
        <w:trPr>
          <w:trHeight w:val="80"/>
        </w:trPr>
        <w:tc>
          <w:tcPr>
            <w:tcW w:w="3402" w:type="dxa"/>
            <w:tcBorders>
              <w:top w:val="nil"/>
              <w:left w:val="nil"/>
              <w:bottom w:val="single" w:sz="4" w:space="0" w:color="auto"/>
              <w:right w:val="nil"/>
            </w:tcBorders>
            <w:shd w:val="clear" w:color="auto" w:fill="auto"/>
            <w:vAlign w:val="bottom"/>
            <w:hideMark/>
          </w:tcPr>
          <w:p w14:paraId="7A4E133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Lee &amp; Everett (2004)</w:t>
            </w:r>
          </w:p>
        </w:tc>
        <w:tc>
          <w:tcPr>
            <w:tcW w:w="1843" w:type="dxa"/>
            <w:tcBorders>
              <w:top w:val="nil"/>
              <w:left w:val="nil"/>
              <w:bottom w:val="single" w:sz="4" w:space="0" w:color="auto"/>
              <w:right w:val="nil"/>
            </w:tcBorders>
            <w:shd w:val="clear" w:color="auto" w:fill="auto"/>
            <w:noWrap/>
            <w:vAlign w:val="center"/>
            <w:hideMark/>
          </w:tcPr>
          <w:p w14:paraId="2043A44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bottom w:val="single" w:sz="4" w:space="0" w:color="auto"/>
              <w:right w:val="nil"/>
            </w:tcBorders>
            <w:vAlign w:val="center"/>
          </w:tcPr>
          <w:p w14:paraId="5E032C4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single" w:sz="4" w:space="0" w:color="auto"/>
              <w:right w:val="nil"/>
            </w:tcBorders>
            <w:shd w:val="clear" w:color="auto" w:fill="auto"/>
            <w:noWrap/>
            <w:vAlign w:val="center"/>
            <w:hideMark/>
          </w:tcPr>
          <w:p w14:paraId="3AC5DDB5"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single" w:sz="4" w:space="0" w:color="auto"/>
              <w:right w:val="nil"/>
            </w:tcBorders>
            <w:vAlign w:val="center"/>
          </w:tcPr>
          <w:p w14:paraId="53D73AA6"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single" w:sz="4" w:space="0" w:color="auto"/>
              <w:right w:val="nil"/>
            </w:tcBorders>
            <w:vAlign w:val="center"/>
          </w:tcPr>
          <w:p w14:paraId="02F1E09A" w14:textId="77777777" w:rsidR="003F0CDB" w:rsidRPr="00EA0DC7" w:rsidRDefault="003F0CDB" w:rsidP="00957911">
            <w:pPr>
              <w:spacing w:line="240" w:lineRule="auto"/>
              <w:jc w:val="center"/>
              <w:rPr>
                <w:rFonts w:eastAsia="Times New Roman" w:cs="Arial"/>
                <w:szCs w:val="24"/>
              </w:rPr>
            </w:pPr>
          </w:p>
        </w:tc>
      </w:tr>
    </w:tbl>
    <w:p w14:paraId="6C2AD5CE" w14:textId="77777777" w:rsidR="00817A09" w:rsidRPr="00EA0DC7" w:rsidRDefault="00817A09" w:rsidP="00F20CDF">
      <w:pPr>
        <w:spacing w:before="240" w:line="240" w:lineRule="auto"/>
        <w:jc w:val="center"/>
        <w:rPr>
          <w:rFonts w:eastAsia="Times New Roman" w:cs="Arial"/>
          <w:b/>
          <w:bCs/>
          <w:szCs w:val="24"/>
        </w:rPr>
        <w:sectPr w:rsidR="00817A09" w:rsidRPr="00EA0DC7" w:rsidSect="001A0398">
          <w:pgSz w:w="16838" w:h="11906" w:orient="landscape"/>
          <w:pgMar w:top="1440" w:right="1440" w:bottom="2268" w:left="1440" w:header="709" w:footer="709" w:gutter="0"/>
          <w:cols w:space="708"/>
          <w:docGrid w:linePitch="360"/>
        </w:sectPr>
      </w:pPr>
    </w:p>
    <w:tbl>
      <w:tblPr>
        <w:tblW w:w="12842" w:type="dxa"/>
        <w:tblLayout w:type="fixed"/>
        <w:tblLook w:val="04A0" w:firstRow="1" w:lastRow="0" w:firstColumn="1" w:lastColumn="0" w:noHBand="0" w:noVBand="1"/>
      </w:tblPr>
      <w:tblGrid>
        <w:gridCol w:w="3402"/>
        <w:gridCol w:w="1843"/>
        <w:gridCol w:w="1644"/>
        <w:gridCol w:w="1701"/>
        <w:gridCol w:w="2268"/>
        <w:gridCol w:w="1984"/>
      </w:tblGrid>
      <w:tr w:rsidR="00F20CDF" w:rsidRPr="00EA0DC7" w14:paraId="10661510" w14:textId="77777777" w:rsidTr="00817A09">
        <w:trPr>
          <w:trHeight w:val="80"/>
        </w:trPr>
        <w:tc>
          <w:tcPr>
            <w:tcW w:w="3402" w:type="dxa"/>
            <w:tcBorders>
              <w:top w:val="single" w:sz="4" w:space="0" w:color="auto"/>
              <w:left w:val="nil"/>
              <w:bottom w:val="single" w:sz="4" w:space="0" w:color="auto"/>
              <w:right w:val="nil"/>
            </w:tcBorders>
            <w:shd w:val="clear" w:color="auto" w:fill="auto"/>
            <w:vAlign w:val="center"/>
          </w:tcPr>
          <w:p w14:paraId="33BBB3D0" w14:textId="41015BC8"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843" w:type="dxa"/>
            <w:tcBorders>
              <w:top w:val="single" w:sz="4" w:space="0" w:color="auto"/>
              <w:left w:val="nil"/>
              <w:bottom w:val="single" w:sz="4" w:space="0" w:color="auto"/>
              <w:right w:val="nil"/>
            </w:tcBorders>
            <w:shd w:val="clear" w:color="auto" w:fill="auto"/>
            <w:noWrap/>
            <w:vAlign w:val="center"/>
          </w:tcPr>
          <w:p w14:paraId="42EDF89F" w14:textId="500D6BA6"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Group supervision</w:t>
            </w:r>
          </w:p>
        </w:tc>
        <w:tc>
          <w:tcPr>
            <w:tcW w:w="1644" w:type="dxa"/>
            <w:tcBorders>
              <w:top w:val="single" w:sz="4" w:space="0" w:color="auto"/>
              <w:left w:val="nil"/>
              <w:bottom w:val="single" w:sz="4" w:space="0" w:color="auto"/>
              <w:right w:val="nil"/>
            </w:tcBorders>
            <w:vAlign w:val="center"/>
          </w:tcPr>
          <w:p w14:paraId="3E67BF3B" w14:textId="2DE7A3DC"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Peer supervision</w:t>
            </w:r>
          </w:p>
        </w:tc>
        <w:tc>
          <w:tcPr>
            <w:tcW w:w="1701" w:type="dxa"/>
            <w:tcBorders>
              <w:top w:val="single" w:sz="4" w:space="0" w:color="auto"/>
              <w:left w:val="nil"/>
              <w:bottom w:val="single" w:sz="4" w:space="0" w:color="auto"/>
              <w:right w:val="nil"/>
            </w:tcBorders>
            <w:shd w:val="clear" w:color="auto" w:fill="auto"/>
            <w:noWrap/>
            <w:vAlign w:val="center"/>
          </w:tcPr>
          <w:p w14:paraId="2D20219C" w14:textId="2A85FF9F"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Self-supervision</w:t>
            </w:r>
          </w:p>
        </w:tc>
        <w:tc>
          <w:tcPr>
            <w:tcW w:w="2268" w:type="dxa"/>
            <w:tcBorders>
              <w:top w:val="single" w:sz="4" w:space="0" w:color="auto"/>
              <w:left w:val="nil"/>
              <w:bottom w:val="single" w:sz="4" w:space="0" w:color="auto"/>
              <w:right w:val="nil"/>
            </w:tcBorders>
            <w:vAlign w:val="center"/>
          </w:tcPr>
          <w:p w14:paraId="44B63C15" w14:textId="71AC4249"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Phone/ email/ tele-conferencing supervision</w:t>
            </w:r>
          </w:p>
        </w:tc>
        <w:tc>
          <w:tcPr>
            <w:tcW w:w="1984" w:type="dxa"/>
            <w:tcBorders>
              <w:top w:val="single" w:sz="4" w:space="0" w:color="auto"/>
              <w:left w:val="nil"/>
              <w:bottom w:val="single" w:sz="4" w:space="0" w:color="auto"/>
              <w:right w:val="nil"/>
            </w:tcBorders>
            <w:vAlign w:val="center"/>
          </w:tcPr>
          <w:p w14:paraId="1E2BC660" w14:textId="7877EE51" w:rsidR="00F20CDF" w:rsidRPr="00EA0DC7" w:rsidRDefault="00F20CDF" w:rsidP="00F20CDF">
            <w:pPr>
              <w:spacing w:before="240" w:line="240" w:lineRule="auto"/>
              <w:jc w:val="center"/>
              <w:rPr>
                <w:rFonts w:eastAsia="Times New Roman" w:cs="Arial"/>
                <w:szCs w:val="24"/>
              </w:rPr>
            </w:pPr>
            <w:r w:rsidRPr="00EA0DC7">
              <w:rPr>
                <w:rFonts w:eastAsia="Times New Roman" w:cs="Arial"/>
                <w:b/>
                <w:bCs/>
                <w:szCs w:val="24"/>
              </w:rPr>
              <w:t>Client invited into supervision</w:t>
            </w:r>
          </w:p>
        </w:tc>
      </w:tr>
      <w:tr w:rsidR="003F0CDB" w:rsidRPr="00EA0DC7" w14:paraId="6A787E8F" w14:textId="77777777" w:rsidTr="00817A09">
        <w:trPr>
          <w:trHeight w:val="80"/>
        </w:trPr>
        <w:tc>
          <w:tcPr>
            <w:tcW w:w="3402" w:type="dxa"/>
            <w:tcBorders>
              <w:top w:val="single" w:sz="4" w:space="0" w:color="auto"/>
              <w:left w:val="nil"/>
              <w:bottom w:val="nil"/>
              <w:right w:val="nil"/>
            </w:tcBorders>
            <w:shd w:val="clear" w:color="auto" w:fill="auto"/>
            <w:vAlign w:val="bottom"/>
            <w:hideMark/>
          </w:tcPr>
          <w:p w14:paraId="4B171314" w14:textId="77777777" w:rsidR="003F0CDB" w:rsidRPr="00EA0DC7" w:rsidRDefault="003F0CDB" w:rsidP="00817A09">
            <w:pPr>
              <w:spacing w:before="240" w:line="240" w:lineRule="auto"/>
              <w:jc w:val="left"/>
              <w:rPr>
                <w:rFonts w:eastAsia="Times New Roman" w:cs="Arial"/>
                <w:szCs w:val="24"/>
              </w:rPr>
            </w:pPr>
            <w:r w:rsidRPr="00EA0DC7">
              <w:rPr>
                <w:rFonts w:eastAsia="Times New Roman" w:cs="Arial"/>
                <w:szCs w:val="24"/>
              </w:rPr>
              <w:t>Ladany et al. (2005)</w:t>
            </w:r>
          </w:p>
        </w:tc>
        <w:tc>
          <w:tcPr>
            <w:tcW w:w="1843" w:type="dxa"/>
            <w:tcBorders>
              <w:top w:val="single" w:sz="4" w:space="0" w:color="auto"/>
              <w:left w:val="nil"/>
              <w:bottom w:val="nil"/>
              <w:right w:val="nil"/>
            </w:tcBorders>
            <w:shd w:val="clear" w:color="auto" w:fill="auto"/>
            <w:noWrap/>
            <w:vAlign w:val="center"/>
            <w:hideMark/>
          </w:tcPr>
          <w:p w14:paraId="4F43BEAE"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single" w:sz="4" w:space="0" w:color="auto"/>
              <w:left w:val="nil"/>
              <w:bottom w:val="nil"/>
              <w:right w:val="nil"/>
            </w:tcBorders>
            <w:vAlign w:val="center"/>
          </w:tcPr>
          <w:p w14:paraId="74F6FFEF" w14:textId="77777777" w:rsidR="003F0CDB" w:rsidRPr="00EA0DC7" w:rsidRDefault="003F0CDB" w:rsidP="00817A09">
            <w:pPr>
              <w:spacing w:before="240" w:line="240" w:lineRule="auto"/>
              <w:jc w:val="center"/>
              <w:rPr>
                <w:rFonts w:eastAsia="Times New Roman" w:cs="Arial"/>
                <w:szCs w:val="24"/>
              </w:rPr>
            </w:pPr>
          </w:p>
        </w:tc>
        <w:tc>
          <w:tcPr>
            <w:tcW w:w="1701" w:type="dxa"/>
            <w:tcBorders>
              <w:top w:val="single" w:sz="4" w:space="0" w:color="auto"/>
              <w:left w:val="nil"/>
              <w:bottom w:val="nil"/>
              <w:right w:val="nil"/>
            </w:tcBorders>
            <w:shd w:val="clear" w:color="auto" w:fill="auto"/>
            <w:noWrap/>
            <w:vAlign w:val="center"/>
            <w:hideMark/>
          </w:tcPr>
          <w:p w14:paraId="42C57527" w14:textId="77777777" w:rsidR="003F0CDB" w:rsidRPr="00EA0DC7" w:rsidRDefault="003F0CDB" w:rsidP="00817A09">
            <w:pPr>
              <w:spacing w:before="240" w:line="240" w:lineRule="auto"/>
              <w:jc w:val="center"/>
              <w:rPr>
                <w:rFonts w:eastAsia="Times New Roman" w:cs="Arial"/>
                <w:szCs w:val="24"/>
              </w:rPr>
            </w:pPr>
          </w:p>
        </w:tc>
        <w:tc>
          <w:tcPr>
            <w:tcW w:w="2268" w:type="dxa"/>
            <w:tcBorders>
              <w:top w:val="single" w:sz="4" w:space="0" w:color="auto"/>
              <w:left w:val="nil"/>
              <w:bottom w:val="nil"/>
              <w:right w:val="nil"/>
            </w:tcBorders>
            <w:vAlign w:val="center"/>
          </w:tcPr>
          <w:p w14:paraId="2C2C206D" w14:textId="77777777" w:rsidR="003F0CDB" w:rsidRPr="00EA0DC7" w:rsidRDefault="003F0CDB" w:rsidP="00817A09">
            <w:pPr>
              <w:spacing w:before="240" w:line="240" w:lineRule="auto"/>
              <w:jc w:val="center"/>
              <w:rPr>
                <w:rFonts w:eastAsia="Times New Roman" w:cs="Arial"/>
                <w:szCs w:val="24"/>
              </w:rPr>
            </w:pPr>
          </w:p>
        </w:tc>
        <w:tc>
          <w:tcPr>
            <w:tcW w:w="1984" w:type="dxa"/>
            <w:tcBorders>
              <w:top w:val="single" w:sz="4" w:space="0" w:color="auto"/>
              <w:left w:val="nil"/>
              <w:bottom w:val="nil"/>
              <w:right w:val="nil"/>
            </w:tcBorders>
            <w:vAlign w:val="center"/>
          </w:tcPr>
          <w:p w14:paraId="33E4C579" w14:textId="77777777" w:rsidR="003F0CDB" w:rsidRPr="00EA0DC7" w:rsidRDefault="003F0CDB" w:rsidP="00817A09">
            <w:pPr>
              <w:spacing w:before="240" w:line="240" w:lineRule="auto"/>
              <w:jc w:val="center"/>
              <w:rPr>
                <w:rFonts w:eastAsia="Times New Roman" w:cs="Arial"/>
                <w:szCs w:val="24"/>
              </w:rPr>
            </w:pPr>
          </w:p>
        </w:tc>
      </w:tr>
      <w:tr w:rsidR="003F0CDB" w:rsidRPr="00EA0DC7" w14:paraId="25A456C1" w14:textId="77777777" w:rsidTr="00F20CDF">
        <w:trPr>
          <w:trHeight w:val="284"/>
        </w:trPr>
        <w:tc>
          <w:tcPr>
            <w:tcW w:w="3402" w:type="dxa"/>
            <w:tcBorders>
              <w:top w:val="nil"/>
              <w:left w:val="nil"/>
              <w:bottom w:val="nil"/>
              <w:right w:val="nil"/>
            </w:tcBorders>
            <w:shd w:val="clear" w:color="auto" w:fill="auto"/>
            <w:vAlign w:val="bottom"/>
            <w:hideMark/>
          </w:tcPr>
          <w:p w14:paraId="2B9C185B"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Armstrong &amp; Freeston (2006)</w:t>
            </w:r>
          </w:p>
        </w:tc>
        <w:tc>
          <w:tcPr>
            <w:tcW w:w="1843" w:type="dxa"/>
            <w:tcBorders>
              <w:top w:val="nil"/>
              <w:left w:val="nil"/>
              <w:bottom w:val="nil"/>
              <w:right w:val="nil"/>
            </w:tcBorders>
            <w:shd w:val="clear" w:color="auto" w:fill="auto"/>
            <w:noWrap/>
            <w:vAlign w:val="center"/>
            <w:hideMark/>
          </w:tcPr>
          <w:p w14:paraId="1E5F1DD2"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4207D50F"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41857D2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268" w:type="dxa"/>
            <w:tcBorders>
              <w:top w:val="nil"/>
              <w:left w:val="nil"/>
              <w:bottom w:val="nil"/>
              <w:right w:val="nil"/>
            </w:tcBorders>
            <w:vAlign w:val="center"/>
          </w:tcPr>
          <w:p w14:paraId="391E75A4"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6093EAD2" w14:textId="77777777" w:rsidR="003F0CDB" w:rsidRPr="00EA0DC7" w:rsidRDefault="003F0CDB" w:rsidP="00957911">
            <w:pPr>
              <w:spacing w:line="240" w:lineRule="auto"/>
              <w:jc w:val="center"/>
              <w:rPr>
                <w:rFonts w:eastAsia="Times New Roman" w:cs="Arial"/>
                <w:szCs w:val="24"/>
              </w:rPr>
            </w:pPr>
          </w:p>
        </w:tc>
      </w:tr>
      <w:tr w:rsidR="003F0CDB" w:rsidRPr="00EA0DC7" w14:paraId="4305E76C" w14:textId="77777777" w:rsidTr="00F20CDF">
        <w:trPr>
          <w:trHeight w:val="80"/>
        </w:trPr>
        <w:tc>
          <w:tcPr>
            <w:tcW w:w="3402" w:type="dxa"/>
            <w:tcBorders>
              <w:top w:val="nil"/>
              <w:left w:val="nil"/>
              <w:bottom w:val="nil"/>
              <w:right w:val="nil"/>
            </w:tcBorders>
            <w:shd w:val="clear" w:color="auto" w:fill="auto"/>
            <w:vAlign w:val="bottom"/>
            <w:hideMark/>
          </w:tcPr>
          <w:p w14:paraId="2CA0E323"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Morgan &amp; Sprenkle (2007)</w:t>
            </w:r>
          </w:p>
        </w:tc>
        <w:tc>
          <w:tcPr>
            <w:tcW w:w="1843" w:type="dxa"/>
            <w:tcBorders>
              <w:top w:val="nil"/>
              <w:left w:val="nil"/>
              <w:bottom w:val="nil"/>
              <w:right w:val="nil"/>
            </w:tcBorders>
            <w:shd w:val="clear" w:color="auto" w:fill="auto"/>
            <w:noWrap/>
            <w:vAlign w:val="center"/>
            <w:hideMark/>
          </w:tcPr>
          <w:p w14:paraId="333671F5"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nil"/>
              <w:right w:val="nil"/>
            </w:tcBorders>
            <w:vAlign w:val="center"/>
          </w:tcPr>
          <w:p w14:paraId="4ABE9F57"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shd w:val="clear" w:color="auto" w:fill="auto"/>
            <w:noWrap/>
            <w:vAlign w:val="center"/>
            <w:hideMark/>
          </w:tcPr>
          <w:p w14:paraId="0DF3B68F"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nil"/>
              <w:right w:val="nil"/>
            </w:tcBorders>
            <w:vAlign w:val="center"/>
          </w:tcPr>
          <w:p w14:paraId="59AF394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nil"/>
              <w:right w:val="nil"/>
            </w:tcBorders>
            <w:vAlign w:val="center"/>
          </w:tcPr>
          <w:p w14:paraId="323554E0" w14:textId="77777777" w:rsidR="003F0CDB" w:rsidRPr="00EA0DC7" w:rsidRDefault="003F0CDB" w:rsidP="00957911">
            <w:pPr>
              <w:spacing w:line="240" w:lineRule="auto"/>
              <w:jc w:val="center"/>
              <w:rPr>
                <w:rFonts w:eastAsia="Times New Roman" w:cs="Arial"/>
                <w:szCs w:val="24"/>
              </w:rPr>
            </w:pPr>
          </w:p>
        </w:tc>
      </w:tr>
      <w:tr w:rsidR="003F0CDB" w:rsidRPr="00EA0DC7" w14:paraId="1A6085EB" w14:textId="77777777" w:rsidTr="00F20CDF">
        <w:trPr>
          <w:trHeight w:val="80"/>
        </w:trPr>
        <w:tc>
          <w:tcPr>
            <w:tcW w:w="3402" w:type="dxa"/>
            <w:tcBorders>
              <w:top w:val="nil"/>
              <w:left w:val="nil"/>
              <w:right w:val="nil"/>
            </w:tcBorders>
            <w:shd w:val="clear" w:color="auto" w:fill="auto"/>
            <w:vAlign w:val="bottom"/>
            <w:hideMark/>
          </w:tcPr>
          <w:p w14:paraId="548BF01A"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Inskipp and Proctor (2009)</w:t>
            </w:r>
          </w:p>
        </w:tc>
        <w:tc>
          <w:tcPr>
            <w:tcW w:w="1843" w:type="dxa"/>
            <w:tcBorders>
              <w:top w:val="nil"/>
              <w:left w:val="nil"/>
              <w:right w:val="nil"/>
            </w:tcBorders>
            <w:shd w:val="clear" w:color="auto" w:fill="auto"/>
            <w:noWrap/>
            <w:vAlign w:val="center"/>
            <w:hideMark/>
          </w:tcPr>
          <w:p w14:paraId="1786F56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644" w:type="dxa"/>
            <w:tcBorders>
              <w:top w:val="nil"/>
              <w:left w:val="nil"/>
              <w:right w:val="nil"/>
            </w:tcBorders>
            <w:vAlign w:val="center"/>
          </w:tcPr>
          <w:p w14:paraId="2F824A9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shd w:val="clear" w:color="auto" w:fill="auto"/>
            <w:noWrap/>
            <w:vAlign w:val="center"/>
            <w:hideMark/>
          </w:tcPr>
          <w:p w14:paraId="34743D3A"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right w:val="nil"/>
            </w:tcBorders>
            <w:vAlign w:val="center"/>
          </w:tcPr>
          <w:p w14:paraId="6A5DA0A7"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right w:val="nil"/>
            </w:tcBorders>
            <w:vAlign w:val="center"/>
          </w:tcPr>
          <w:p w14:paraId="24E9048E" w14:textId="77777777" w:rsidR="003F0CDB" w:rsidRPr="00EA0DC7" w:rsidRDefault="003F0CDB" w:rsidP="00957911">
            <w:pPr>
              <w:spacing w:line="240" w:lineRule="auto"/>
              <w:jc w:val="center"/>
              <w:rPr>
                <w:rFonts w:eastAsia="Times New Roman" w:cs="Arial"/>
                <w:szCs w:val="24"/>
              </w:rPr>
            </w:pPr>
          </w:p>
        </w:tc>
      </w:tr>
      <w:tr w:rsidR="003F0CDB" w:rsidRPr="00EA0DC7" w14:paraId="4BCC3F44" w14:textId="77777777" w:rsidTr="00F20CDF">
        <w:trPr>
          <w:trHeight w:val="80"/>
        </w:trPr>
        <w:tc>
          <w:tcPr>
            <w:tcW w:w="3402" w:type="dxa"/>
            <w:tcBorders>
              <w:top w:val="nil"/>
              <w:left w:val="nil"/>
              <w:bottom w:val="single" w:sz="4" w:space="0" w:color="000000"/>
              <w:right w:val="nil"/>
            </w:tcBorders>
            <w:shd w:val="clear" w:color="auto" w:fill="auto"/>
            <w:vAlign w:val="bottom"/>
            <w:hideMark/>
          </w:tcPr>
          <w:p w14:paraId="03FE430B"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Page and Wosket (2015)</w:t>
            </w:r>
          </w:p>
        </w:tc>
        <w:tc>
          <w:tcPr>
            <w:tcW w:w="1843" w:type="dxa"/>
            <w:tcBorders>
              <w:top w:val="nil"/>
              <w:left w:val="nil"/>
              <w:bottom w:val="single" w:sz="4" w:space="0" w:color="000000"/>
              <w:right w:val="nil"/>
            </w:tcBorders>
            <w:shd w:val="clear" w:color="auto" w:fill="auto"/>
            <w:noWrap/>
            <w:vAlign w:val="center"/>
            <w:hideMark/>
          </w:tcPr>
          <w:p w14:paraId="4C5EB917" w14:textId="77777777" w:rsidR="003F0CDB" w:rsidRPr="00EA0DC7" w:rsidRDefault="003F0CDB" w:rsidP="00957911">
            <w:pPr>
              <w:spacing w:line="240" w:lineRule="auto"/>
              <w:jc w:val="center"/>
              <w:rPr>
                <w:rFonts w:eastAsia="Times New Roman" w:cs="Arial"/>
                <w:szCs w:val="24"/>
              </w:rPr>
            </w:pPr>
          </w:p>
        </w:tc>
        <w:tc>
          <w:tcPr>
            <w:tcW w:w="1644" w:type="dxa"/>
            <w:tcBorders>
              <w:top w:val="nil"/>
              <w:left w:val="nil"/>
              <w:bottom w:val="single" w:sz="4" w:space="0" w:color="000000"/>
              <w:right w:val="nil"/>
            </w:tcBorders>
            <w:vAlign w:val="center"/>
          </w:tcPr>
          <w:p w14:paraId="68EF74C1"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000000"/>
              <w:right w:val="nil"/>
            </w:tcBorders>
            <w:shd w:val="clear" w:color="auto" w:fill="auto"/>
            <w:noWrap/>
            <w:vAlign w:val="center"/>
            <w:hideMark/>
          </w:tcPr>
          <w:p w14:paraId="455F024E" w14:textId="77777777" w:rsidR="003F0CDB" w:rsidRPr="00EA0DC7" w:rsidRDefault="003F0CDB" w:rsidP="00957911">
            <w:pPr>
              <w:spacing w:line="240" w:lineRule="auto"/>
              <w:jc w:val="center"/>
              <w:rPr>
                <w:rFonts w:eastAsia="Times New Roman" w:cs="Arial"/>
                <w:szCs w:val="24"/>
              </w:rPr>
            </w:pPr>
          </w:p>
        </w:tc>
        <w:tc>
          <w:tcPr>
            <w:tcW w:w="2268" w:type="dxa"/>
            <w:tcBorders>
              <w:top w:val="nil"/>
              <w:left w:val="nil"/>
              <w:bottom w:val="single" w:sz="4" w:space="0" w:color="000000"/>
              <w:right w:val="nil"/>
            </w:tcBorders>
            <w:vAlign w:val="center"/>
          </w:tcPr>
          <w:p w14:paraId="68E83D48" w14:textId="77777777" w:rsidR="003F0CDB" w:rsidRPr="00EA0DC7" w:rsidRDefault="003F0CDB" w:rsidP="00957911">
            <w:pPr>
              <w:spacing w:line="240" w:lineRule="auto"/>
              <w:jc w:val="center"/>
              <w:rPr>
                <w:rFonts w:eastAsia="Times New Roman" w:cs="Arial"/>
                <w:szCs w:val="24"/>
              </w:rPr>
            </w:pPr>
          </w:p>
        </w:tc>
        <w:tc>
          <w:tcPr>
            <w:tcW w:w="1984" w:type="dxa"/>
            <w:tcBorders>
              <w:top w:val="nil"/>
              <w:left w:val="nil"/>
              <w:bottom w:val="single" w:sz="4" w:space="0" w:color="000000"/>
              <w:right w:val="nil"/>
            </w:tcBorders>
            <w:vAlign w:val="center"/>
          </w:tcPr>
          <w:p w14:paraId="3083CFEB" w14:textId="77777777" w:rsidR="003F0CDB" w:rsidRPr="00EA0DC7" w:rsidRDefault="003F0CDB" w:rsidP="00957911">
            <w:pPr>
              <w:spacing w:line="240" w:lineRule="auto"/>
              <w:jc w:val="center"/>
              <w:rPr>
                <w:rFonts w:eastAsia="Times New Roman" w:cs="Arial"/>
                <w:szCs w:val="24"/>
              </w:rPr>
            </w:pPr>
          </w:p>
        </w:tc>
      </w:tr>
    </w:tbl>
    <w:p w14:paraId="75A3E5D2" w14:textId="77777777" w:rsidR="003F0CDB" w:rsidRPr="00EA0DC7" w:rsidRDefault="003F0CDB" w:rsidP="003F0CDB">
      <w:pPr>
        <w:rPr>
          <w:rFonts w:eastAsia="Times New Roman" w:cs="Arial"/>
          <w:szCs w:val="24"/>
        </w:rPr>
        <w:sectPr w:rsidR="003F0CDB" w:rsidRPr="00EA0DC7" w:rsidSect="001A0398">
          <w:pgSz w:w="16838" w:h="11906" w:orient="landscape"/>
          <w:pgMar w:top="2268" w:right="1440" w:bottom="1440" w:left="1440" w:header="709" w:footer="709" w:gutter="0"/>
          <w:cols w:space="708"/>
          <w:docGrid w:linePitch="360"/>
        </w:sectPr>
      </w:pPr>
    </w:p>
    <w:p w14:paraId="2BB4AC7D" w14:textId="2926BC1C" w:rsidR="003F0CDB" w:rsidRPr="00EA0DC7" w:rsidRDefault="003F0CDB" w:rsidP="006B3274">
      <w:pPr>
        <w:pStyle w:val="Heading2"/>
        <w:rPr>
          <w:lang w:eastAsia="zh-CN"/>
        </w:rPr>
      </w:pPr>
      <w:bookmarkStart w:id="254" w:name="_Toc23881309"/>
      <w:bookmarkStart w:id="255" w:name="_Toc24548600"/>
      <w:bookmarkStart w:id="256" w:name="_Toc24548703"/>
      <w:bookmarkStart w:id="257" w:name="_Toc47039890"/>
      <w:r w:rsidRPr="00EA0DC7">
        <w:rPr>
          <w:lang w:eastAsia="zh-CN"/>
        </w:rPr>
        <w:lastRenderedPageBreak/>
        <w:t xml:space="preserve">Appendix </w:t>
      </w:r>
      <w:r w:rsidR="00D247AC" w:rsidRPr="00EA0DC7">
        <w:rPr>
          <w:lang w:eastAsia="zh-CN"/>
        </w:rPr>
        <w:t>2</w:t>
      </w:r>
      <w:r w:rsidRPr="00EA0DC7">
        <w:rPr>
          <w:lang w:eastAsia="zh-CN"/>
        </w:rPr>
        <w:t>K</w:t>
      </w:r>
      <w:r w:rsidR="006B3274" w:rsidRPr="00EA0DC7">
        <w:rPr>
          <w:lang w:eastAsia="zh-CN"/>
        </w:rPr>
        <w:t>. General aspect focus in supervision models</w:t>
      </w:r>
      <w:bookmarkEnd w:id="254"/>
      <w:bookmarkEnd w:id="255"/>
      <w:bookmarkEnd w:id="256"/>
      <w:bookmarkEnd w:id="257"/>
    </w:p>
    <w:p w14:paraId="4D4A1359" w14:textId="47CB34EA" w:rsidR="003F0CDB" w:rsidRPr="00EA0DC7" w:rsidRDefault="00D247AC" w:rsidP="003F0CDB">
      <w:pPr>
        <w:keepNext/>
        <w:spacing w:line="240" w:lineRule="auto"/>
        <w:rPr>
          <w:rFonts w:eastAsia="Calibri" w:cs="Arial"/>
          <w:bCs/>
          <w:i/>
          <w:szCs w:val="24"/>
          <w:lang w:eastAsia="en-US"/>
        </w:rPr>
      </w:pPr>
      <w:r w:rsidRPr="00EA0DC7">
        <w:rPr>
          <w:rFonts w:eastAsia="Calibri" w:cs="Arial"/>
          <w:bCs/>
          <w:szCs w:val="24"/>
          <w:lang w:eastAsia="en-US"/>
        </w:rPr>
        <w:t>Table 2K.</w:t>
      </w:r>
      <w:r w:rsidR="003F0CDB" w:rsidRPr="00EA0DC7">
        <w:rPr>
          <w:rFonts w:eastAsia="Calibri" w:cs="Arial"/>
          <w:bCs/>
          <w:szCs w:val="24"/>
          <w:lang w:eastAsia="en-US"/>
        </w:rPr>
        <w:t xml:space="preserve"> General aspects of the supervision models.</w:t>
      </w:r>
    </w:p>
    <w:tbl>
      <w:tblPr>
        <w:tblW w:w="13467" w:type="dxa"/>
        <w:tblLayout w:type="fixed"/>
        <w:tblLook w:val="04A0" w:firstRow="1" w:lastRow="0" w:firstColumn="1" w:lastColumn="0" w:noHBand="0" w:noVBand="1"/>
      </w:tblPr>
      <w:tblGrid>
        <w:gridCol w:w="3261"/>
        <w:gridCol w:w="1984"/>
        <w:gridCol w:w="2410"/>
        <w:gridCol w:w="1701"/>
        <w:gridCol w:w="1985"/>
        <w:gridCol w:w="2126"/>
      </w:tblGrid>
      <w:tr w:rsidR="003F0CDB" w:rsidRPr="00EA0DC7" w14:paraId="220D4181" w14:textId="77777777" w:rsidTr="00F4729C">
        <w:trPr>
          <w:trHeight w:val="1134"/>
        </w:trPr>
        <w:tc>
          <w:tcPr>
            <w:tcW w:w="3261" w:type="dxa"/>
            <w:tcBorders>
              <w:top w:val="single" w:sz="4" w:space="0" w:color="auto"/>
              <w:left w:val="nil"/>
              <w:bottom w:val="single" w:sz="4" w:space="0" w:color="auto"/>
              <w:right w:val="nil"/>
            </w:tcBorders>
            <w:shd w:val="clear" w:color="auto" w:fill="auto"/>
            <w:noWrap/>
            <w:vAlign w:val="center"/>
            <w:hideMark/>
          </w:tcPr>
          <w:p w14:paraId="2DD5124D" w14:textId="77777777" w:rsidR="003F0CDB" w:rsidRPr="00EA0DC7" w:rsidRDefault="003F0CDB" w:rsidP="00817A09">
            <w:pPr>
              <w:spacing w:before="240" w:after="0" w:line="240" w:lineRule="auto"/>
              <w:jc w:val="center"/>
              <w:rPr>
                <w:rFonts w:eastAsia="Times New Roman" w:cs="Arial"/>
                <w:b/>
                <w:bCs/>
                <w:szCs w:val="24"/>
              </w:rPr>
            </w:pPr>
          </w:p>
        </w:tc>
        <w:tc>
          <w:tcPr>
            <w:tcW w:w="1984" w:type="dxa"/>
            <w:tcBorders>
              <w:top w:val="single" w:sz="4" w:space="0" w:color="auto"/>
              <w:left w:val="nil"/>
              <w:bottom w:val="single" w:sz="4" w:space="0" w:color="auto"/>
              <w:right w:val="nil"/>
            </w:tcBorders>
            <w:vAlign w:val="center"/>
          </w:tcPr>
          <w:p w14:paraId="622BED10" w14:textId="77777777" w:rsidR="003F0CDB" w:rsidRPr="00EA0DC7" w:rsidRDefault="003F0CDB" w:rsidP="00817A09">
            <w:pPr>
              <w:spacing w:before="240" w:line="240" w:lineRule="auto"/>
              <w:jc w:val="center"/>
              <w:rPr>
                <w:rFonts w:eastAsia="Times New Roman" w:cs="Arial"/>
                <w:b/>
                <w:bCs/>
                <w:szCs w:val="24"/>
              </w:rPr>
            </w:pPr>
            <w:r w:rsidRPr="00EA0DC7">
              <w:rPr>
                <w:rFonts w:eastAsia="Times New Roman" w:cs="Arial"/>
                <w:b/>
                <w:bCs/>
                <w:szCs w:val="24"/>
              </w:rPr>
              <w:t>Transference and/ or parallel processes</w:t>
            </w:r>
          </w:p>
        </w:tc>
        <w:tc>
          <w:tcPr>
            <w:tcW w:w="2410" w:type="dxa"/>
            <w:tcBorders>
              <w:top w:val="single" w:sz="4" w:space="0" w:color="auto"/>
              <w:left w:val="nil"/>
              <w:bottom w:val="single" w:sz="4" w:space="0" w:color="auto"/>
              <w:right w:val="nil"/>
            </w:tcBorders>
            <w:vAlign w:val="center"/>
          </w:tcPr>
          <w:p w14:paraId="4A325787" w14:textId="77777777" w:rsidR="003F0CDB" w:rsidRPr="00EA0DC7" w:rsidRDefault="003F0CDB" w:rsidP="00817A09">
            <w:pPr>
              <w:spacing w:before="240" w:line="240" w:lineRule="auto"/>
              <w:jc w:val="center"/>
              <w:rPr>
                <w:rFonts w:eastAsia="Times New Roman" w:cs="Arial"/>
                <w:b/>
                <w:bCs/>
                <w:szCs w:val="24"/>
              </w:rPr>
            </w:pPr>
            <w:r w:rsidRPr="00EA0DC7">
              <w:rPr>
                <w:rFonts w:eastAsia="Times New Roman" w:cs="Arial"/>
                <w:b/>
                <w:bCs/>
                <w:szCs w:val="24"/>
              </w:rPr>
              <w:t>Acknowledgement of wider context of therapy process</w:t>
            </w:r>
          </w:p>
        </w:tc>
        <w:tc>
          <w:tcPr>
            <w:tcW w:w="1701" w:type="dxa"/>
            <w:tcBorders>
              <w:top w:val="single" w:sz="4" w:space="0" w:color="auto"/>
              <w:left w:val="nil"/>
              <w:bottom w:val="single" w:sz="4" w:space="0" w:color="auto"/>
              <w:right w:val="nil"/>
            </w:tcBorders>
            <w:vAlign w:val="center"/>
          </w:tcPr>
          <w:p w14:paraId="0854B249" w14:textId="77777777" w:rsidR="003F0CDB" w:rsidRPr="00EA0DC7" w:rsidRDefault="003F0CDB" w:rsidP="00817A09">
            <w:pPr>
              <w:spacing w:before="240" w:line="240" w:lineRule="auto"/>
              <w:jc w:val="center"/>
              <w:rPr>
                <w:rFonts w:eastAsia="Times New Roman" w:cs="Arial"/>
                <w:b/>
                <w:bCs/>
                <w:szCs w:val="24"/>
              </w:rPr>
            </w:pPr>
            <w:r w:rsidRPr="00EA0DC7">
              <w:rPr>
                <w:rFonts w:eastAsia="Times New Roman" w:cs="Arial"/>
                <w:b/>
                <w:bCs/>
                <w:szCs w:val="24"/>
              </w:rPr>
              <w:t>Stage/ level/ step model</w:t>
            </w:r>
          </w:p>
        </w:tc>
        <w:tc>
          <w:tcPr>
            <w:tcW w:w="1985" w:type="dxa"/>
            <w:tcBorders>
              <w:top w:val="single" w:sz="4" w:space="0" w:color="auto"/>
              <w:left w:val="nil"/>
              <w:bottom w:val="single" w:sz="4" w:space="0" w:color="auto"/>
              <w:right w:val="nil"/>
            </w:tcBorders>
            <w:vAlign w:val="center"/>
          </w:tcPr>
          <w:p w14:paraId="34483EA3" w14:textId="77777777" w:rsidR="003F0CDB" w:rsidRPr="00EA0DC7" w:rsidRDefault="003F0CDB" w:rsidP="00817A09">
            <w:pPr>
              <w:spacing w:before="240" w:line="240" w:lineRule="auto"/>
              <w:jc w:val="center"/>
              <w:rPr>
                <w:rFonts w:eastAsia="Times New Roman" w:cs="Arial"/>
                <w:b/>
                <w:bCs/>
                <w:szCs w:val="24"/>
              </w:rPr>
            </w:pPr>
            <w:r w:rsidRPr="00EA0DC7">
              <w:rPr>
                <w:rFonts w:eastAsia="Times New Roman" w:cs="Arial"/>
                <w:b/>
                <w:bCs/>
                <w:szCs w:val="24"/>
              </w:rPr>
              <w:t>Focus mainly on trainee rather than therapist</w:t>
            </w:r>
          </w:p>
        </w:tc>
        <w:tc>
          <w:tcPr>
            <w:tcW w:w="2126" w:type="dxa"/>
            <w:tcBorders>
              <w:top w:val="single" w:sz="4" w:space="0" w:color="auto"/>
              <w:left w:val="nil"/>
              <w:bottom w:val="single" w:sz="4" w:space="0" w:color="auto"/>
              <w:right w:val="nil"/>
            </w:tcBorders>
            <w:vAlign w:val="center"/>
          </w:tcPr>
          <w:p w14:paraId="5297BBD2" w14:textId="77777777" w:rsidR="003F0CDB" w:rsidRPr="00EA0DC7" w:rsidRDefault="003F0CDB" w:rsidP="00817A09">
            <w:pPr>
              <w:spacing w:before="240" w:line="240" w:lineRule="auto"/>
              <w:jc w:val="center"/>
              <w:rPr>
                <w:rFonts w:eastAsia="Times New Roman" w:cs="Arial"/>
                <w:b/>
                <w:bCs/>
                <w:szCs w:val="24"/>
              </w:rPr>
            </w:pPr>
            <w:r w:rsidRPr="00EA0DC7">
              <w:rPr>
                <w:rFonts w:eastAsia="Times New Roman" w:cs="Arial"/>
                <w:b/>
                <w:bCs/>
                <w:szCs w:val="24"/>
              </w:rPr>
              <w:t>Focus on solutions/ strengths over problems</w:t>
            </w:r>
          </w:p>
        </w:tc>
      </w:tr>
      <w:tr w:rsidR="003F0CDB" w:rsidRPr="00EA0DC7" w14:paraId="62AE9EE0" w14:textId="77777777" w:rsidTr="00F4729C">
        <w:trPr>
          <w:trHeight w:val="1087"/>
        </w:trPr>
        <w:tc>
          <w:tcPr>
            <w:tcW w:w="3261" w:type="dxa"/>
            <w:tcBorders>
              <w:top w:val="single" w:sz="4" w:space="0" w:color="auto"/>
              <w:left w:val="nil"/>
              <w:right w:val="nil"/>
              <w:tl2br w:val="single" w:sz="4" w:space="0" w:color="auto"/>
            </w:tcBorders>
            <w:shd w:val="clear" w:color="auto" w:fill="auto"/>
            <w:hideMark/>
          </w:tcPr>
          <w:p w14:paraId="7196C003" w14:textId="77777777" w:rsidR="003F0CDB" w:rsidRPr="00EA0DC7" w:rsidRDefault="003F0CDB" w:rsidP="00817A09">
            <w:pPr>
              <w:spacing w:before="240" w:after="0" w:line="240" w:lineRule="auto"/>
              <w:jc w:val="right"/>
              <w:rPr>
                <w:rFonts w:eastAsia="Times New Roman" w:cs="Arial"/>
                <w:b/>
                <w:szCs w:val="24"/>
              </w:rPr>
            </w:pPr>
            <w:r w:rsidRPr="00EA0DC7">
              <w:rPr>
                <w:rFonts w:eastAsia="Times New Roman" w:cs="Arial"/>
                <w:b/>
                <w:szCs w:val="24"/>
              </w:rPr>
              <w:t>No. of models</w:t>
            </w:r>
          </w:p>
          <w:p w14:paraId="3F511E3D" w14:textId="77777777" w:rsidR="003F0CDB" w:rsidRPr="00EA0DC7" w:rsidRDefault="003F0CDB" w:rsidP="00957911">
            <w:pPr>
              <w:spacing w:after="0" w:line="240" w:lineRule="auto"/>
              <w:jc w:val="right"/>
              <w:rPr>
                <w:rFonts w:eastAsia="Times New Roman" w:cs="Arial"/>
                <w:b/>
                <w:szCs w:val="24"/>
              </w:rPr>
            </w:pPr>
            <w:r w:rsidRPr="00EA0DC7">
              <w:rPr>
                <w:rFonts w:eastAsia="Times New Roman" w:cs="Arial"/>
                <w:b/>
                <w:szCs w:val="24"/>
              </w:rPr>
              <w:t>with</w:t>
            </w:r>
          </w:p>
          <w:p w14:paraId="2601DA69" w14:textId="77777777" w:rsidR="003F0CDB" w:rsidRPr="00EA0DC7" w:rsidRDefault="003F0CDB" w:rsidP="00957911">
            <w:pPr>
              <w:spacing w:after="0" w:line="240" w:lineRule="auto"/>
              <w:jc w:val="right"/>
              <w:rPr>
                <w:rFonts w:eastAsia="Times New Roman" w:cs="Arial"/>
                <w:b/>
                <w:bCs/>
                <w:szCs w:val="24"/>
              </w:rPr>
            </w:pPr>
            <w:r w:rsidRPr="00EA0DC7">
              <w:rPr>
                <w:rFonts w:eastAsia="Times New Roman" w:cs="Arial"/>
                <w:b/>
                <w:szCs w:val="24"/>
              </w:rPr>
              <w:t>element</w:t>
            </w:r>
          </w:p>
          <w:p w14:paraId="3024B63A" w14:textId="77777777" w:rsidR="003F0CDB" w:rsidRPr="00EA0DC7" w:rsidRDefault="003F0CDB" w:rsidP="00957911">
            <w:pPr>
              <w:spacing w:line="240" w:lineRule="auto"/>
              <w:rPr>
                <w:rFonts w:eastAsia="Times New Roman" w:cs="Arial"/>
                <w:b/>
                <w:bCs/>
                <w:szCs w:val="24"/>
              </w:rPr>
            </w:pPr>
            <w:r w:rsidRPr="00EA0DC7">
              <w:rPr>
                <w:rFonts w:eastAsia="Times New Roman" w:cs="Arial"/>
                <w:b/>
                <w:bCs/>
                <w:szCs w:val="24"/>
              </w:rPr>
              <w:t>Model/ approach</w:t>
            </w:r>
          </w:p>
        </w:tc>
        <w:tc>
          <w:tcPr>
            <w:tcW w:w="1984" w:type="dxa"/>
            <w:tcBorders>
              <w:top w:val="single" w:sz="4" w:space="0" w:color="auto"/>
              <w:left w:val="nil"/>
              <w:right w:val="nil"/>
            </w:tcBorders>
            <w:vAlign w:val="center"/>
          </w:tcPr>
          <w:p w14:paraId="0B6F9EDF"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27</w:t>
            </w:r>
          </w:p>
          <w:p w14:paraId="542E95A5"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(51.92%)</w:t>
            </w:r>
          </w:p>
        </w:tc>
        <w:tc>
          <w:tcPr>
            <w:tcW w:w="2410" w:type="dxa"/>
            <w:tcBorders>
              <w:top w:val="single" w:sz="4" w:space="0" w:color="auto"/>
              <w:left w:val="nil"/>
              <w:right w:val="nil"/>
            </w:tcBorders>
            <w:vAlign w:val="center"/>
          </w:tcPr>
          <w:p w14:paraId="1A2FC378"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22</w:t>
            </w:r>
          </w:p>
          <w:p w14:paraId="356A94FB"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(42.31%)</w:t>
            </w:r>
          </w:p>
        </w:tc>
        <w:tc>
          <w:tcPr>
            <w:tcW w:w="1701" w:type="dxa"/>
            <w:tcBorders>
              <w:top w:val="single" w:sz="4" w:space="0" w:color="auto"/>
              <w:left w:val="nil"/>
              <w:right w:val="nil"/>
            </w:tcBorders>
            <w:vAlign w:val="center"/>
          </w:tcPr>
          <w:p w14:paraId="54E23879"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20</w:t>
            </w:r>
          </w:p>
          <w:p w14:paraId="059D6B41"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(38.46%)</w:t>
            </w:r>
          </w:p>
        </w:tc>
        <w:tc>
          <w:tcPr>
            <w:tcW w:w="1985" w:type="dxa"/>
            <w:tcBorders>
              <w:top w:val="single" w:sz="4" w:space="0" w:color="auto"/>
              <w:left w:val="nil"/>
              <w:right w:val="nil"/>
            </w:tcBorders>
            <w:vAlign w:val="center"/>
          </w:tcPr>
          <w:p w14:paraId="0328424E"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18</w:t>
            </w:r>
          </w:p>
          <w:p w14:paraId="3A846BD3"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(34.62%)</w:t>
            </w:r>
          </w:p>
        </w:tc>
        <w:tc>
          <w:tcPr>
            <w:tcW w:w="2126" w:type="dxa"/>
            <w:tcBorders>
              <w:top w:val="single" w:sz="4" w:space="0" w:color="auto"/>
              <w:left w:val="nil"/>
              <w:right w:val="nil"/>
            </w:tcBorders>
            <w:vAlign w:val="center"/>
          </w:tcPr>
          <w:p w14:paraId="05294E0F"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5</w:t>
            </w:r>
          </w:p>
          <w:p w14:paraId="1CA435BF" w14:textId="77777777" w:rsidR="003F0CDB" w:rsidRPr="00EA0DC7" w:rsidRDefault="003F0CDB" w:rsidP="00957911">
            <w:pPr>
              <w:spacing w:after="0" w:line="240" w:lineRule="auto"/>
              <w:jc w:val="center"/>
              <w:rPr>
                <w:rFonts w:eastAsia="Times New Roman" w:cs="Arial"/>
                <w:szCs w:val="24"/>
              </w:rPr>
            </w:pPr>
            <w:r w:rsidRPr="00EA0DC7">
              <w:rPr>
                <w:rFonts w:eastAsia="Times New Roman" w:cs="Arial"/>
                <w:szCs w:val="24"/>
              </w:rPr>
              <w:t>(9.62%)</w:t>
            </w:r>
          </w:p>
        </w:tc>
      </w:tr>
      <w:tr w:rsidR="003F0CDB" w:rsidRPr="00EA0DC7" w14:paraId="3F63CD3B" w14:textId="77777777" w:rsidTr="00F4729C">
        <w:trPr>
          <w:trHeight w:val="283"/>
        </w:trPr>
        <w:tc>
          <w:tcPr>
            <w:tcW w:w="3261" w:type="dxa"/>
            <w:tcBorders>
              <w:left w:val="nil"/>
              <w:bottom w:val="nil"/>
              <w:right w:val="nil"/>
            </w:tcBorders>
            <w:shd w:val="clear" w:color="auto" w:fill="auto"/>
            <w:vAlign w:val="bottom"/>
            <w:hideMark/>
          </w:tcPr>
          <w:p w14:paraId="6011E3F2" w14:textId="77777777" w:rsidR="003F0CDB" w:rsidRPr="00EA0DC7" w:rsidRDefault="003F0CDB" w:rsidP="00817A09">
            <w:pPr>
              <w:spacing w:before="240" w:line="240" w:lineRule="auto"/>
              <w:rPr>
                <w:rFonts w:eastAsia="Times New Roman" w:cs="Arial"/>
                <w:szCs w:val="24"/>
              </w:rPr>
            </w:pPr>
            <w:r w:rsidRPr="00EA0DC7">
              <w:rPr>
                <w:rFonts w:eastAsia="Times New Roman" w:cs="Arial"/>
                <w:szCs w:val="24"/>
              </w:rPr>
              <w:t>Hogan (1964)</w:t>
            </w:r>
          </w:p>
        </w:tc>
        <w:tc>
          <w:tcPr>
            <w:tcW w:w="1984" w:type="dxa"/>
            <w:tcBorders>
              <w:left w:val="nil"/>
              <w:bottom w:val="nil"/>
              <w:right w:val="nil"/>
            </w:tcBorders>
            <w:vAlign w:val="center"/>
          </w:tcPr>
          <w:p w14:paraId="29629C53"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bottom w:val="nil"/>
              <w:right w:val="nil"/>
            </w:tcBorders>
            <w:vAlign w:val="center"/>
          </w:tcPr>
          <w:p w14:paraId="4713D4B9"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5ED49C5D" w14:textId="77777777" w:rsidR="003F0CDB" w:rsidRPr="00EA0DC7" w:rsidRDefault="003F0CDB" w:rsidP="00817A09">
            <w:pPr>
              <w:spacing w:before="240" w:line="240" w:lineRule="auto"/>
              <w:jc w:val="center"/>
              <w:rPr>
                <w:rFonts w:eastAsia="Times New Roman" w:cs="Arial"/>
                <w:szCs w:val="24"/>
              </w:rPr>
            </w:pPr>
          </w:p>
        </w:tc>
        <w:tc>
          <w:tcPr>
            <w:tcW w:w="1985" w:type="dxa"/>
            <w:tcBorders>
              <w:left w:val="nil"/>
              <w:bottom w:val="nil"/>
              <w:right w:val="nil"/>
            </w:tcBorders>
            <w:vAlign w:val="center"/>
          </w:tcPr>
          <w:p w14:paraId="1D7F8FDA" w14:textId="77777777" w:rsidR="003F0CDB" w:rsidRPr="00EA0DC7" w:rsidRDefault="003F0CDB" w:rsidP="00817A09">
            <w:pPr>
              <w:spacing w:before="240" w:line="240" w:lineRule="auto"/>
              <w:jc w:val="center"/>
              <w:rPr>
                <w:rFonts w:eastAsia="Times New Roman" w:cs="Arial"/>
                <w:szCs w:val="24"/>
              </w:rPr>
            </w:pPr>
          </w:p>
        </w:tc>
        <w:tc>
          <w:tcPr>
            <w:tcW w:w="2126" w:type="dxa"/>
            <w:tcBorders>
              <w:left w:val="nil"/>
              <w:bottom w:val="nil"/>
              <w:right w:val="nil"/>
            </w:tcBorders>
            <w:vAlign w:val="center"/>
          </w:tcPr>
          <w:p w14:paraId="41BE5F88" w14:textId="77777777" w:rsidR="003F0CDB" w:rsidRPr="00EA0DC7" w:rsidRDefault="003F0CDB" w:rsidP="00817A09">
            <w:pPr>
              <w:spacing w:before="240" w:line="240" w:lineRule="auto"/>
              <w:jc w:val="center"/>
              <w:rPr>
                <w:rFonts w:eastAsia="Times New Roman" w:cs="Arial"/>
                <w:szCs w:val="24"/>
              </w:rPr>
            </w:pPr>
          </w:p>
        </w:tc>
      </w:tr>
      <w:tr w:rsidR="003F0CDB" w:rsidRPr="00EA0DC7" w14:paraId="3637096F" w14:textId="77777777" w:rsidTr="00817A09">
        <w:trPr>
          <w:trHeight w:val="283"/>
        </w:trPr>
        <w:tc>
          <w:tcPr>
            <w:tcW w:w="3261" w:type="dxa"/>
            <w:tcBorders>
              <w:top w:val="nil"/>
              <w:left w:val="nil"/>
              <w:bottom w:val="nil"/>
              <w:right w:val="nil"/>
            </w:tcBorders>
            <w:shd w:val="clear" w:color="auto" w:fill="auto"/>
            <w:vAlign w:val="bottom"/>
            <w:hideMark/>
          </w:tcPr>
          <w:p w14:paraId="72C52EB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Ekstein &amp; Wallerstein (1972)</w:t>
            </w:r>
          </w:p>
        </w:tc>
        <w:tc>
          <w:tcPr>
            <w:tcW w:w="1984" w:type="dxa"/>
            <w:tcBorders>
              <w:top w:val="nil"/>
              <w:left w:val="nil"/>
              <w:bottom w:val="nil"/>
              <w:right w:val="nil"/>
            </w:tcBorders>
            <w:vAlign w:val="center"/>
          </w:tcPr>
          <w:p w14:paraId="119D297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nil"/>
              <w:right w:val="nil"/>
            </w:tcBorders>
            <w:vAlign w:val="center"/>
          </w:tcPr>
          <w:p w14:paraId="554CD375"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7F591ACC"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bottom w:val="nil"/>
              <w:right w:val="nil"/>
            </w:tcBorders>
            <w:vAlign w:val="center"/>
          </w:tcPr>
          <w:p w14:paraId="18660883"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bottom w:val="nil"/>
              <w:right w:val="nil"/>
            </w:tcBorders>
            <w:vAlign w:val="center"/>
          </w:tcPr>
          <w:p w14:paraId="1D613B92" w14:textId="77777777" w:rsidR="003F0CDB" w:rsidRPr="00EA0DC7" w:rsidRDefault="003F0CDB" w:rsidP="00957911">
            <w:pPr>
              <w:spacing w:line="240" w:lineRule="auto"/>
              <w:jc w:val="center"/>
              <w:rPr>
                <w:rFonts w:eastAsia="Times New Roman" w:cs="Arial"/>
                <w:szCs w:val="24"/>
              </w:rPr>
            </w:pPr>
          </w:p>
        </w:tc>
      </w:tr>
      <w:tr w:rsidR="003F0CDB" w:rsidRPr="00EA0DC7" w14:paraId="32EC63F1" w14:textId="77777777" w:rsidTr="00817A09">
        <w:trPr>
          <w:trHeight w:val="283"/>
        </w:trPr>
        <w:tc>
          <w:tcPr>
            <w:tcW w:w="3261" w:type="dxa"/>
            <w:tcBorders>
              <w:top w:val="nil"/>
              <w:left w:val="nil"/>
              <w:bottom w:val="nil"/>
              <w:right w:val="nil"/>
            </w:tcBorders>
            <w:shd w:val="clear" w:color="auto" w:fill="auto"/>
            <w:vAlign w:val="bottom"/>
            <w:hideMark/>
          </w:tcPr>
          <w:p w14:paraId="7871C66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Mueller &amp; Kell (1971)</w:t>
            </w:r>
          </w:p>
        </w:tc>
        <w:tc>
          <w:tcPr>
            <w:tcW w:w="1984" w:type="dxa"/>
            <w:tcBorders>
              <w:top w:val="nil"/>
              <w:left w:val="nil"/>
              <w:bottom w:val="nil"/>
              <w:right w:val="nil"/>
            </w:tcBorders>
            <w:vAlign w:val="center"/>
          </w:tcPr>
          <w:p w14:paraId="3FD570E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nil"/>
              <w:right w:val="nil"/>
            </w:tcBorders>
            <w:vAlign w:val="center"/>
          </w:tcPr>
          <w:p w14:paraId="7A582D3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23CABF9E"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bottom w:val="nil"/>
              <w:right w:val="nil"/>
            </w:tcBorders>
            <w:vAlign w:val="center"/>
          </w:tcPr>
          <w:p w14:paraId="3425CBF8"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bottom w:val="nil"/>
              <w:right w:val="nil"/>
            </w:tcBorders>
            <w:vAlign w:val="center"/>
          </w:tcPr>
          <w:p w14:paraId="290EAC15" w14:textId="77777777" w:rsidR="003F0CDB" w:rsidRPr="00EA0DC7" w:rsidRDefault="003F0CDB" w:rsidP="00957911">
            <w:pPr>
              <w:spacing w:line="240" w:lineRule="auto"/>
              <w:jc w:val="center"/>
              <w:rPr>
                <w:rFonts w:eastAsia="Times New Roman" w:cs="Arial"/>
                <w:szCs w:val="24"/>
              </w:rPr>
            </w:pPr>
          </w:p>
        </w:tc>
      </w:tr>
      <w:tr w:rsidR="003F0CDB" w:rsidRPr="00EA0DC7" w14:paraId="527CA649" w14:textId="77777777" w:rsidTr="00817A09">
        <w:trPr>
          <w:trHeight w:val="283"/>
        </w:trPr>
        <w:tc>
          <w:tcPr>
            <w:tcW w:w="3261" w:type="dxa"/>
            <w:tcBorders>
              <w:top w:val="nil"/>
              <w:left w:val="nil"/>
              <w:bottom w:val="nil"/>
              <w:right w:val="nil"/>
            </w:tcBorders>
            <w:shd w:val="clear" w:color="auto" w:fill="auto"/>
            <w:vAlign w:val="bottom"/>
            <w:hideMark/>
          </w:tcPr>
          <w:p w14:paraId="31C2E4E0"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Delaney (1972)</w:t>
            </w:r>
          </w:p>
        </w:tc>
        <w:tc>
          <w:tcPr>
            <w:tcW w:w="1984" w:type="dxa"/>
            <w:tcBorders>
              <w:top w:val="nil"/>
              <w:left w:val="nil"/>
              <w:bottom w:val="nil"/>
              <w:right w:val="nil"/>
            </w:tcBorders>
            <w:vAlign w:val="center"/>
          </w:tcPr>
          <w:p w14:paraId="1CD3346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nil"/>
              <w:right w:val="nil"/>
            </w:tcBorders>
            <w:vAlign w:val="center"/>
          </w:tcPr>
          <w:p w14:paraId="6D8F054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bottom w:val="nil"/>
              <w:right w:val="nil"/>
            </w:tcBorders>
            <w:vAlign w:val="center"/>
          </w:tcPr>
          <w:p w14:paraId="22CA39CE"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bottom w:val="nil"/>
              <w:right w:val="nil"/>
            </w:tcBorders>
            <w:vAlign w:val="center"/>
          </w:tcPr>
          <w:p w14:paraId="4318528D"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bottom w:val="nil"/>
              <w:right w:val="nil"/>
            </w:tcBorders>
            <w:vAlign w:val="center"/>
          </w:tcPr>
          <w:p w14:paraId="1723C657" w14:textId="77777777" w:rsidR="003F0CDB" w:rsidRPr="00EA0DC7" w:rsidRDefault="003F0CDB" w:rsidP="00957911">
            <w:pPr>
              <w:spacing w:line="240" w:lineRule="auto"/>
              <w:jc w:val="center"/>
              <w:rPr>
                <w:rFonts w:eastAsia="Times New Roman" w:cs="Arial"/>
                <w:szCs w:val="24"/>
              </w:rPr>
            </w:pPr>
          </w:p>
        </w:tc>
      </w:tr>
      <w:tr w:rsidR="003F0CDB" w:rsidRPr="00EA0DC7" w14:paraId="3A8A760D" w14:textId="77777777" w:rsidTr="00817A09">
        <w:trPr>
          <w:trHeight w:val="283"/>
        </w:trPr>
        <w:tc>
          <w:tcPr>
            <w:tcW w:w="3261" w:type="dxa"/>
            <w:tcBorders>
              <w:top w:val="nil"/>
              <w:left w:val="nil"/>
              <w:right w:val="nil"/>
            </w:tcBorders>
            <w:shd w:val="clear" w:color="auto" w:fill="auto"/>
            <w:vAlign w:val="bottom"/>
            <w:hideMark/>
          </w:tcPr>
          <w:p w14:paraId="13041E95"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Ard (1973)</w:t>
            </w:r>
          </w:p>
        </w:tc>
        <w:tc>
          <w:tcPr>
            <w:tcW w:w="1984" w:type="dxa"/>
            <w:tcBorders>
              <w:top w:val="nil"/>
              <w:left w:val="nil"/>
              <w:right w:val="nil"/>
            </w:tcBorders>
            <w:vAlign w:val="center"/>
          </w:tcPr>
          <w:p w14:paraId="2015E85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037FEE0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5DDB963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nil"/>
              <w:left w:val="nil"/>
              <w:right w:val="nil"/>
            </w:tcBorders>
            <w:vAlign w:val="center"/>
          </w:tcPr>
          <w:p w14:paraId="4C1F096F"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right w:val="nil"/>
            </w:tcBorders>
            <w:vAlign w:val="center"/>
          </w:tcPr>
          <w:p w14:paraId="5DB9C369" w14:textId="77777777" w:rsidR="003F0CDB" w:rsidRPr="00EA0DC7" w:rsidRDefault="003F0CDB" w:rsidP="00957911">
            <w:pPr>
              <w:spacing w:line="240" w:lineRule="auto"/>
              <w:jc w:val="center"/>
              <w:rPr>
                <w:rFonts w:eastAsia="Times New Roman" w:cs="Arial"/>
                <w:szCs w:val="24"/>
              </w:rPr>
            </w:pPr>
          </w:p>
        </w:tc>
      </w:tr>
      <w:tr w:rsidR="003F0CDB" w:rsidRPr="00EA0DC7" w14:paraId="409A2C62" w14:textId="77777777" w:rsidTr="00817A09">
        <w:trPr>
          <w:trHeight w:val="283"/>
        </w:trPr>
        <w:tc>
          <w:tcPr>
            <w:tcW w:w="3261" w:type="dxa"/>
            <w:tcBorders>
              <w:top w:val="nil"/>
              <w:left w:val="nil"/>
              <w:right w:val="nil"/>
            </w:tcBorders>
            <w:shd w:val="clear" w:color="auto" w:fill="auto"/>
            <w:vAlign w:val="bottom"/>
            <w:hideMark/>
          </w:tcPr>
          <w:p w14:paraId="6CDFA191"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Bernard (1979)</w:t>
            </w:r>
          </w:p>
        </w:tc>
        <w:tc>
          <w:tcPr>
            <w:tcW w:w="1984" w:type="dxa"/>
            <w:tcBorders>
              <w:top w:val="nil"/>
              <w:left w:val="nil"/>
              <w:right w:val="nil"/>
            </w:tcBorders>
            <w:vAlign w:val="center"/>
          </w:tcPr>
          <w:p w14:paraId="5A46378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52CC253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7CBC37D2"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5BB65DC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7E37E005" w14:textId="77777777" w:rsidR="003F0CDB" w:rsidRPr="00EA0DC7" w:rsidRDefault="003F0CDB" w:rsidP="00957911">
            <w:pPr>
              <w:spacing w:line="240" w:lineRule="auto"/>
              <w:jc w:val="center"/>
              <w:rPr>
                <w:rFonts w:eastAsia="Times New Roman" w:cs="Arial"/>
                <w:szCs w:val="24"/>
              </w:rPr>
            </w:pPr>
          </w:p>
        </w:tc>
      </w:tr>
      <w:tr w:rsidR="003F0CDB" w:rsidRPr="00EA0DC7" w14:paraId="74527BDD" w14:textId="77777777" w:rsidTr="00817A09">
        <w:trPr>
          <w:trHeight w:val="283"/>
        </w:trPr>
        <w:tc>
          <w:tcPr>
            <w:tcW w:w="3261" w:type="dxa"/>
            <w:tcBorders>
              <w:left w:val="nil"/>
              <w:bottom w:val="single" w:sz="4" w:space="0" w:color="auto"/>
              <w:right w:val="nil"/>
            </w:tcBorders>
            <w:shd w:val="clear" w:color="auto" w:fill="auto"/>
            <w:vAlign w:val="bottom"/>
            <w:hideMark/>
          </w:tcPr>
          <w:p w14:paraId="75A57C2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Littrell et al. (1979)</w:t>
            </w:r>
          </w:p>
        </w:tc>
        <w:tc>
          <w:tcPr>
            <w:tcW w:w="1984" w:type="dxa"/>
            <w:tcBorders>
              <w:left w:val="nil"/>
              <w:bottom w:val="single" w:sz="4" w:space="0" w:color="auto"/>
              <w:right w:val="nil"/>
            </w:tcBorders>
            <w:vAlign w:val="center"/>
          </w:tcPr>
          <w:p w14:paraId="6898A1C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bottom w:val="single" w:sz="4" w:space="0" w:color="auto"/>
              <w:right w:val="nil"/>
            </w:tcBorders>
            <w:vAlign w:val="center"/>
          </w:tcPr>
          <w:p w14:paraId="4282754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single" w:sz="4" w:space="0" w:color="auto"/>
              <w:right w:val="nil"/>
            </w:tcBorders>
            <w:vAlign w:val="center"/>
          </w:tcPr>
          <w:p w14:paraId="21DB0568" w14:textId="77777777" w:rsidR="003F0CDB" w:rsidRPr="00EA0DC7" w:rsidRDefault="003F0CDB" w:rsidP="00957911">
            <w:pPr>
              <w:spacing w:line="240" w:lineRule="auto"/>
              <w:jc w:val="center"/>
              <w:rPr>
                <w:rFonts w:eastAsia="Times New Roman" w:cs="Arial"/>
                <w:szCs w:val="24"/>
              </w:rPr>
            </w:pPr>
          </w:p>
        </w:tc>
        <w:tc>
          <w:tcPr>
            <w:tcW w:w="1985" w:type="dxa"/>
            <w:tcBorders>
              <w:left w:val="nil"/>
              <w:bottom w:val="single" w:sz="4" w:space="0" w:color="auto"/>
              <w:right w:val="nil"/>
            </w:tcBorders>
            <w:vAlign w:val="center"/>
          </w:tcPr>
          <w:p w14:paraId="6A6B38FA" w14:textId="77777777" w:rsidR="003F0CDB" w:rsidRPr="00EA0DC7" w:rsidRDefault="003F0CDB" w:rsidP="00957911">
            <w:pPr>
              <w:spacing w:line="240" w:lineRule="auto"/>
              <w:jc w:val="center"/>
              <w:rPr>
                <w:rFonts w:eastAsia="Times New Roman" w:cs="Arial"/>
                <w:szCs w:val="24"/>
              </w:rPr>
            </w:pPr>
          </w:p>
        </w:tc>
        <w:tc>
          <w:tcPr>
            <w:tcW w:w="2126" w:type="dxa"/>
            <w:tcBorders>
              <w:left w:val="nil"/>
              <w:bottom w:val="single" w:sz="4" w:space="0" w:color="auto"/>
              <w:right w:val="nil"/>
            </w:tcBorders>
            <w:vAlign w:val="center"/>
          </w:tcPr>
          <w:p w14:paraId="2E75B2A0" w14:textId="77777777" w:rsidR="003F0CDB" w:rsidRPr="00EA0DC7" w:rsidRDefault="003F0CDB" w:rsidP="00957911">
            <w:pPr>
              <w:spacing w:line="240" w:lineRule="auto"/>
              <w:jc w:val="center"/>
              <w:rPr>
                <w:rFonts w:eastAsia="Times New Roman" w:cs="Arial"/>
                <w:szCs w:val="24"/>
              </w:rPr>
            </w:pPr>
          </w:p>
        </w:tc>
      </w:tr>
    </w:tbl>
    <w:p w14:paraId="167ED024" w14:textId="77777777" w:rsidR="00817A09" w:rsidRPr="00EA0DC7" w:rsidRDefault="00817A09" w:rsidP="00817A09">
      <w:pPr>
        <w:spacing w:before="240" w:line="240" w:lineRule="auto"/>
        <w:jc w:val="center"/>
        <w:rPr>
          <w:rFonts w:eastAsia="Times New Roman" w:cs="Arial"/>
          <w:b/>
          <w:bCs/>
          <w:szCs w:val="24"/>
        </w:rPr>
        <w:sectPr w:rsidR="00817A09" w:rsidRPr="00EA0DC7" w:rsidSect="001A0398">
          <w:type w:val="nextColumn"/>
          <w:pgSz w:w="16838" w:h="11906" w:orient="landscape"/>
          <w:pgMar w:top="1440" w:right="1440" w:bottom="2268" w:left="1440" w:header="709" w:footer="709" w:gutter="0"/>
          <w:cols w:space="708"/>
          <w:docGrid w:linePitch="360"/>
        </w:sectPr>
      </w:pPr>
    </w:p>
    <w:tbl>
      <w:tblPr>
        <w:tblW w:w="13467" w:type="dxa"/>
        <w:tblLayout w:type="fixed"/>
        <w:tblLook w:val="04A0" w:firstRow="1" w:lastRow="0" w:firstColumn="1" w:lastColumn="0" w:noHBand="0" w:noVBand="1"/>
      </w:tblPr>
      <w:tblGrid>
        <w:gridCol w:w="3261"/>
        <w:gridCol w:w="1984"/>
        <w:gridCol w:w="2410"/>
        <w:gridCol w:w="1701"/>
        <w:gridCol w:w="1985"/>
        <w:gridCol w:w="2126"/>
      </w:tblGrid>
      <w:tr w:rsidR="00817A09" w:rsidRPr="00EA0DC7" w14:paraId="566AF5C2" w14:textId="77777777" w:rsidTr="00817A09">
        <w:trPr>
          <w:trHeight w:val="80"/>
        </w:trPr>
        <w:tc>
          <w:tcPr>
            <w:tcW w:w="3261" w:type="dxa"/>
            <w:tcBorders>
              <w:top w:val="single" w:sz="4" w:space="0" w:color="auto"/>
              <w:left w:val="nil"/>
              <w:bottom w:val="single" w:sz="4" w:space="0" w:color="auto"/>
              <w:right w:val="nil"/>
            </w:tcBorders>
            <w:shd w:val="clear" w:color="auto" w:fill="auto"/>
            <w:vAlign w:val="center"/>
          </w:tcPr>
          <w:p w14:paraId="793C6B21" w14:textId="2A86F557"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vAlign w:val="center"/>
          </w:tcPr>
          <w:p w14:paraId="1DE6CB46" w14:textId="2F0BBE06"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Transference and/ or parallel processes</w:t>
            </w:r>
          </w:p>
        </w:tc>
        <w:tc>
          <w:tcPr>
            <w:tcW w:w="2410" w:type="dxa"/>
            <w:tcBorders>
              <w:top w:val="single" w:sz="4" w:space="0" w:color="auto"/>
              <w:left w:val="nil"/>
              <w:bottom w:val="single" w:sz="4" w:space="0" w:color="auto"/>
              <w:right w:val="nil"/>
            </w:tcBorders>
            <w:vAlign w:val="center"/>
          </w:tcPr>
          <w:p w14:paraId="3A1100B1" w14:textId="7085A93E"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Acknowledgement of wider context of therapy process</w:t>
            </w:r>
          </w:p>
        </w:tc>
        <w:tc>
          <w:tcPr>
            <w:tcW w:w="1701" w:type="dxa"/>
            <w:tcBorders>
              <w:top w:val="single" w:sz="4" w:space="0" w:color="auto"/>
              <w:left w:val="nil"/>
              <w:bottom w:val="single" w:sz="4" w:space="0" w:color="auto"/>
              <w:right w:val="nil"/>
            </w:tcBorders>
            <w:vAlign w:val="center"/>
          </w:tcPr>
          <w:p w14:paraId="39544BFC" w14:textId="52BAB126"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Stage/ level/ step model</w:t>
            </w:r>
          </w:p>
        </w:tc>
        <w:tc>
          <w:tcPr>
            <w:tcW w:w="1985" w:type="dxa"/>
            <w:tcBorders>
              <w:top w:val="single" w:sz="4" w:space="0" w:color="auto"/>
              <w:left w:val="nil"/>
              <w:bottom w:val="single" w:sz="4" w:space="0" w:color="auto"/>
              <w:right w:val="nil"/>
            </w:tcBorders>
            <w:vAlign w:val="center"/>
          </w:tcPr>
          <w:p w14:paraId="71F3D989" w14:textId="5F2AE1EF"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mainly on trainee rather than therapist</w:t>
            </w:r>
          </w:p>
        </w:tc>
        <w:tc>
          <w:tcPr>
            <w:tcW w:w="2126" w:type="dxa"/>
            <w:tcBorders>
              <w:top w:val="single" w:sz="4" w:space="0" w:color="auto"/>
              <w:left w:val="nil"/>
              <w:bottom w:val="single" w:sz="4" w:space="0" w:color="auto"/>
              <w:right w:val="nil"/>
            </w:tcBorders>
            <w:vAlign w:val="center"/>
          </w:tcPr>
          <w:p w14:paraId="32ED588D" w14:textId="0B2A7395"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on solutions/ strengths over problems</w:t>
            </w:r>
          </w:p>
        </w:tc>
      </w:tr>
      <w:tr w:rsidR="003F0CDB" w:rsidRPr="00EA0DC7" w14:paraId="3F2957A2" w14:textId="77777777" w:rsidTr="00817A09">
        <w:trPr>
          <w:trHeight w:val="80"/>
        </w:trPr>
        <w:tc>
          <w:tcPr>
            <w:tcW w:w="3261" w:type="dxa"/>
            <w:tcBorders>
              <w:top w:val="single" w:sz="4" w:space="0" w:color="auto"/>
              <w:left w:val="nil"/>
              <w:right w:val="nil"/>
            </w:tcBorders>
            <w:shd w:val="clear" w:color="auto" w:fill="auto"/>
            <w:vAlign w:val="bottom"/>
            <w:hideMark/>
          </w:tcPr>
          <w:p w14:paraId="1B66C207" w14:textId="77777777" w:rsidR="003F0CDB" w:rsidRPr="00EA0DC7" w:rsidRDefault="003F0CDB" w:rsidP="00817A09">
            <w:pPr>
              <w:spacing w:before="240" w:line="240" w:lineRule="auto"/>
              <w:rPr>
                <w:rFonts w:eastAsia="Times New Roman" w:cs="Arial"/>
                <w:szCs w:val="24"/>
              </w:rPr>
            </w:pPr>
            <w:r w:rsidRPr="00EA0DC7">
              <w:rPr>
                <w:rFonts w:eastAsia="Times New Roman" w:cs="Arial"/>
                <w:szCs w:val="24"/>
              </w:rPr>
              <w:t>Langs (1980)</w:t>
            </w:r>
          </w:p>
        </w:tc>
        <w:tc>
          <w:tcPr>
            <w:tcW w:w="1984" w:type="dxa"/>
            <w:tcBorders>
              <w:top w:val="single" w:sz="4" w:space="0" w:color="auto"/>
              <w:left w:val="nil"/>
              <w:right w:val="nil"/>
            </w:tcBorders>
            <w:vAlign w:val="center"/>
          </w:tcPr>
          <w:p w14:paraId="502E3A05"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single" w:sz="4" w:space="0" w:color="auto"/>
              <w:left w:val="nil"/>
              <w:right w:val="nil"/>
            </w:tcBorders>
            <w:vAlign w:val="center"/>
          </w:tcPr>
          <w:p w14:paraId="1874A37E"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single" w:sz="4" w:space="0" w:color="auto"/>
              <w:left w:val="nil"/>
              <w:right w:val="nil"/>
            </w:tcBorders>
            <w:vAlign w:val="center"/>
          </w:tcPr>
          <w:p w14:paraId="4DB0CBCD"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single" w:sz="4" w:space="0" w:color="auto"/>
              <w:left w:val="nil"/>
              <w:right w:val="nil"/>
            </w:tcBorders>
            <w:vAlign w:val="center"/>
          </w:tcPr>
          <w:p w14:paraId="128745B3" w14:textId="77777777" w:rsidR="003F0CDB" w:rsidRPr="00EA0DC7" w:rsidRDefault="003F0CDB" w:rsidP="00817A09">
            <w:pPr>
              <w:spacing w:before="240" w:line="240" w:lineRule="auto"/>
              <w:jc w:val="center"/>
              <w:rPr>
                <w:rFonts w:eastAsia="Times New Roman" w:cs="Arial"/>
                <w:szCs w:val="24"/>
              </w:rPr>
            </w:pPr>
          </w:p>
        </w:tc>
        <w:tc>
          <w:tcPr>
            <w:tcW w:w="2126" w:type="dxa"/>
            <w:tcBorders>
              <w:top w:val="single" w:sz="4" w:space="0" w:color="auto"/>
              <w:left w:val="nil"/>
              <w:right w:val="nil"/>
            </w:tcBorders>
            <w:vAlign w:val="center"/>
          </w:tcPr>
          <w:p w14:paraId="6A89AFC7" w14:textId="77777777" w:rsidR="003F0CDB" w:rsidRPr="00EA0DC7" w:rsidRDefault="003F0CDB" w:rsidP="00817A09">
            <w:pPr>
              <w:spacing w:before="240" w:line="240" w:lineRule="auto"/>
              <w:jc w:val="center"/>
              <w:rPr>
                <w:rFonts w:eastAsia="Times New Roman" w:cs="Arial"/>
                <w:szCs w:val="24"/>
              </w:rPr>
            </w:pPr>
          </w:p>
        </w:tc>
      </w:tr>
      <w:tr w:rsidR="003F0CDB" w:rsidRPr="00EA0DC7" w14:paraId="460DA934" w14:textId="77777777" w:rsidTr="00817A09">
        <w:trPr>
          <w:trHeight w:val="287"/>
        </w:trPr>
        <w:tc>
          <w:tcPr>
            <w:tcW w:w="3261" w:type="dxa"/>
            <w:tcBorders>
              <w:top w:val="nil"/>
              <w:left w:val="nil"/>
              <w:right w:val="nil"/>
            </w:tcBorders>
            <w:shd w:val="clear" w:color="auto" w:fill="auto"/>
            <w:hideMark/>
          </w:tcPr>
          <w:p w14:paraId="3013C2BC"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Rice (1980)</w:t>
            </w:r>
          </w:p>
        </w:tc>
        <w:tc>
          <w:tcPr>
            <w:tcW w:w="1984" w:type="dxa"/>
            <w:tcBorders>
              <w:top w:val="nil"/>
              <w:left w:val="nil"/>
              <w:right w:val="nil"/>
            </w:tcBorders>
            <w:vAlign w:val="center"/>
          </w:tcPr>
          <w:p w14:paraId="01227AD2"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right w:val="nil"/>
            </w:tcBorders>
            <w:vAlign w:val="center"/>
          </w:tcPr>
          <w:p w14:paraId="22CE799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661AA11E"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26A3E164"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right w:val="nil"/>
            </w:tcBorders>
            <w:vAlign w:val="center"/>
          </w:tcPr>
          <w:p w14:paraId="780A8142" w14:textId="77777777" w:rsidR="003F0CDB" w:rsidRPr="00EA0DC7" w:rsidRDefault="003F0CDB" w:rsidP="00957911">
            <w:pPr>
              <w:spacing w:line="240" w:lineRule="auto"/>
              <w:jc w:val="center"/>
              <w:rPr>
                <w:rFonts w:eastAsia="Times New Roman" w:cs="Arial"/>
                <w:szCs w:val="24"/>
              </w:rPr>
            </w:pPr>
          </w:p>
        </w:tc>
      </w:tr>
      <w:tr w:rsidR="003F0CDB" w:rsidRPr="00EA0DC7" w14:paraId="742AD0F0" w14:textId="77777777" w:rsidTr="00817A09">
        <w:trPr>
          <w:trHeight w:val="80"/>
        </w:trPr>
        <w:tc>
          <w:tcPr>
            <w:tcW w:w="3261" w:type="dxa"/>
            <w:tcBorders>
              <w:left w:val="nil"/>
              <w:right w:val="nil"/>
            </w:tcBorders>
            <w:shd w:val="clear" w:color="auto" w:fill="auto"/>
            <w:vAlign w:val="bottom"/>
            <w:hideMark/>
          </w:tcPr>
          <w:p w14:paraId="1520FCD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Linehan (1980)</w:t>
            </w:r>
          </w:p>
        </w:tc>
        <w:tc>
          <w:tcPr>
            <w:tcW w:w="1984" w:type="dxa"/>
            <w:tcBorders>
              <w:left w:val="nil"/>
              <w:right w:val="nil"/>
            </w:tcBorders>
            <w:vAlign w:val="center"/>
          </w:tcPr>
          <w:p w14:paraId="2D90B2D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232A1A8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2147A16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5406C9E6"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237C5738" w14:textId="77777777" w:rsidR="003F0CDB" w:rsidRPr="00EA0DC7" w:rsidRDefault="003F0CDB" w:rsidP="00957911">
            <w:pPr>
              <w:spacing w:line="240" w:lineRule="auto"/>
              <w:jc w:val="center"/>
              <w:rPr>
                <w:rFonts w:eastAsia="Times New Roman" w:cs="Arial"/>
                <w:szCs w:val="24"/>
              </w:rPr>
            </w:pPr>
          </w:p>
        </w:tc>
      </w:tr>
      <w:tr w:rsidR="003F0CDB" w:rsidRPr="00EA0DC7" w14:paraId="4CC9512B" w14:textId="77777777" w:rsidTr="00817A09">
        <w:trPr>
          <w:trHeight w:val="283"/>
        </w:trPr>
        <w:tc>
          <w:tcPr>
            <w:tcW w:w="3261" w:type="dxa"/>
            <w:tcBorders>
              <w:left w:val="nil"/>
              <w:right w:val="nil"/>
            </w:tcBorders>
            <w:shd w:val="clear" w:color="auto" w:fill="auto"/>
            <w:hideMark/>
          </w:tcPr>
          <w:p w14:paraId="6061116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Beier &amp; Young (1980)</w:t>
            </w:r>
          </w:p>
        </w:tc>
        <w:tc>
          <w:tcPr>
            <w:tcW w:w="1984" w:type="dxa"/>
            <w:tcBorders>
              <w:left w:val="nil"/>
              <w:right w:val="nil"/>
            </w:tcBorders>
            <w:vAlign w:val="center"/>
          </w:tcPr>
          <w:p w14:paraId="06E6B5C1" w14:textId="77777777" w:rsidR="003F0CDB" w:rsidRPr="00EA0DC7" w:rsidRDefault="003F0CDB" w:rsidP="00957911">
            <w:pPr>
              <w:spacing w:line="240" w:lineRule="auto"/>
              <w:jc w:val="center"/>
              <w:rPr>
                <w:rFonts w:eastAsia="Times New Roman" w:cs="Arial"/>
                <w:szCs w:val="24"/>
              </w:rPr>
            </w:pPr>
          </w:p>
        </w:tc>
        <w:tc>
          <w:tcPr>
            <w:tcW w:w="2410" w:type="dxa"/>
            <w:tcBorders>
              <w:left w:val="nil"/>
              <w:right w:val="nil"/>
            </w:tcBorders>
            <w:vAlign w:val="center"/>
          </w:tcPr>
          <w:p w14:paraId="5BD76C34"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725EDE7B"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3C89FB7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1481A5FB" w14:textId="77777777" w:rsidR="003F0CDB" w:rsidRPr="00EA0DC7" w:rsidRDefault="003F0CDB" w:rsidP="00957911">
            <w:pPr>
              <w:spacing w:line="240" w:lineRule="auto"/>
              <w:jc w:val="center"/>
              <w:rPr>
                <w:rFonts w:eastAsia="Times New Roman" w:cs="Arial"/>
                <w:szCs w:val="24"/>
              </w:rPr>
            </w:pPr>
          </w:p>
        </w:tc>
      </w:tr>
      <w:tr w:rsidR="003F0CDB" w:rsidRPr="00EA0DC7" w14:paraId="58E28A5A" w14:textId="77777777" w:rsidTr="00817A09">
        <w:trPr>
          <w:trHeight w:val="416"/>
        </w:trPr>
        <w:tc>
          <w:tcPr>
            <w:tcW w:w="3261" w:type="dxa"/>
            <w:tcBorders>
              <w:left w:val="nil"/>
              <w:right w:val="nil"/>
            </w:tcBorders>
            <w:shd w:val="clear" w:color="auto" w:fill="auto"/>
            <w:vAlign w:val="bottom"/>
            <w:hideMark/>
          </w:tcPr>
          <w:p w14:paraId="623BC74B"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Stoltenberg (1981)</w:t>
            </w:r>
          </w:p>
        </w:tc>
        <w:tc>
          <w:tcPr>
            <w:tcW w:w="1984" w:type="dxa"/>
            <w:tcBorders>
              <w:left w:val="nil"/>
              <w:right w:val="nil"/>
            </w:tcBorders>
            <w:vAlign w:val="center"/>
          </w:tcPr>
          <w:p w14:paraId="2A597EEF" w14:textId="77777777" w:rsidR="003F0CDB" w:rsidRPr="00EA0DC7" w:rsidRDefault="003F0CDB" w:rsidP="00957911">
            <w:pPr>
              <w:spacing w:line="240" w:lineRule="auto"/>
              <w:jc w:val="center"/>
              <w:rPr>
                <w:rFonts w:eastAsia="Times New Roman" w:cs="Arial"/>
                <w:szCs w:val="24"/>
              </w:rPr>
            </w:pPr>
          </w:p>
        </w:tc>
        <w:tc>
          <w:tcPr>
            <w:tcW w:w="2410" w:type="dxa"/>
            <w:tcBorders>
              <w:left w:val="nil"/>
              <w:right w:val="nil"/>
            </w:tcBorders>
            <w:vAlign w:val="center"/>
          </w:tcPr>
          <w:p w14:paraId="466765E0"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07BC0E0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5473F418" w14:textId="77777777" w:rsidR="003F0CDB" w:rsidRPr="00EA0DC7" w:rsidRDefault="003F0CDB" w:rsidP="00957911">
            <w:pPr>
              <w:spacing w:line="240" w:lineRule="auto"/>
              <w:jc w:val="center"/>
              <w:rPr>
                <w:rFonts w:eastAsia="Times New Roman" w:cs="Arial"/>
                <w:szCs w:val="24"/>
              </w:rPr>
            </w:pPr>
          </w:p>
        </w:tc>
        <w:tc>
          <w:tcPr>
            <w:tcW w:w="2126" w:type="dxa"/>
            <w:tcBorders>
              <w:left w:val="nil"/>
              <w:right w:val="nil"/>
            </w:tcBorders>
            <w:vAlign w:val="center"/>
          </w:tcPr>
          <w:p w14:paraId="7F6821B8" w14:textId="77777777" w:rsidR="003F0CDB" w:rsidRPr="00EA0DC7" w:rsidRDefault="003F0CDB" w:rsidP="00957911">
            <w:pPr>
              <w:spacing w:line="240" w:lineRule="auto"/>
              <w:jc w:val="center"/>
              <w:rPr>
                <w:rFonts w:eastAsia="Times New Roman" w:cs="Arial"/>
                <w:szCs w:val="24"/>
              </w:rPr>
            </w:pPr>
          </w:p>
        </w:tc>
      </w:tr>
      <w:tr w:rsidR="003F0CDB" w:rsidRPr="00EA0DC7" w14:paraId="33671C64" w14:textId="77777777" w:rsidTr="00817A09">
        <w:trPr>
          <w:trHeight w:val="70"/>
        </w:trPr>
        <w:tc>
          <w:tcPr>
            <w:tcW w:w="3261" w:type="dxa"/>
            <w:tcBorders>
              <w:left w:val="nil"/>
              <w:right w:val="nil"/>
            </w:tcBorders>
            <w:shd w:val="clear" w:color="auto" w:fill="auto"/>
            <w:vAlign w:val="bottom"/>
            <w:hideMark/>
          </w:tcPr>
          <w:p w14:paraId="05E277F0"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Loganbill et al. (1982)</w:t>
            </w:r>
          </w:p>
        </w:tc>
        <w:tc>
          <w:tcPr>
            <w:tcW w:w="1984" w:type="dxa"/>
            <w:tcBorders>
              <w:left w:val="nil"/>
              <w:right w:val="nil"/>
            </w:tcBorders>
            <w:vAlign w:val="center"/>
          </w:tcPr>
          <w:p w14:paraId="5C1FF279" w14:textId="77777777" w:rsidR="003F0CDB" w:rsidRPr="00EA0DC7" w:rsidRDefault="003F0CDB" w:rsidP="00957911">
            <w:pPr>
              <w:spacing w:line="240" w:lineRule="auto"/>
              <w:jc w:val="center"/>
              <w:rPr>
                <w:rFonts w:eastAsia="Times New Roman" w:cs="Arial"/>
                <w:szCs w:val="24"/>
              </w:rPr>
            </w:pPr>
          </w:p>
        </w:tc>
        <w:tc>
          <w:tcPr>
            <w:tcW w:w="2410" w:type="dxa"/>
            <w:tcBorders>
              <w:left w:val="nil"/>
              <w:right w:val="nil"/>
            </w:tcBorders>
            <w:vAlign w:val="center"/>
          </w:tcPr>
          <w:p w14:paraId="50A60650"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0C4D1CA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05511A9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13761097" w14:textId="77777777" w:rsidR="003F0CDB" w:rsidRPr="00EA0DC7" w:rsidRDefault="003F0CDB" w:rsidP="00957911">
            <w:pPr>
              <w:spacing w:line="240" w:lineRule="auto"/>
              <w:jc w:val="center"/>
              <w:rPr>
                <w:rFonts w:eastAsia="Times New Roman" w:cs="Arial"/>
                <w:szCs w:val="24"/>
              </w:rPr>
            </w:pPr>
          </w:p>
        </w:tc>
      </w:tr>
      <w:tr w:rsidR="003F0CDB" w:rsidRPr="00EA0DC7" w14:paraId="0D7DD3FB" w14:textId="77777777" w:rsidTr="00817A09">
        <w:trPr>
          <w:trHeight w:val="283"/>
        </w:trPr>
        <w:tc>
          <w:tcPr>
            <w:tcW w:w="3261" w:type="dxa"/>
            <w:tcBorders>
              <w:left w:val="nil"/>
              <w:right w:val="nil"/>
            </w:tcBorders>
            <w:shd w:val="clear" w:color="auto" w:fill="auto"/>
            <w:vAlign w:val="bottom"/>
            <w:hideMark/>
          </w:tcPr>
          <w:p w14:paraId="15B8F043"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Yogev (1982)</w:t>
            </w:r>
          </w:p>
        </w:tc>
        <w:tc>
          <w:tcPr>
            <w:tcW w:w="1984" w:type="dxa"/>
            <w:tcBorders>
              <w:left w:val="nil"/>
              <w:right w:val="nil"/>
            </w:tcBorders>
            <w:vAlign w:val="center"/>
          </w:tcPr>
          <w:p w14:paraId="72E5FC3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7C0923C4"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05ADFE2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7EFB0F6D" w14:textId="77777777" w:rsidR="003F0CDB" w:rsidRPr="00EA0DC7" w:rsidRDefault="003F0CDB" w:rsidP="00957911">
            <w:pPr>
              <w:spacing w:line="240" w:lineRule="auto"/>
              <w:jc w:val="center"/>
              <w:rPr>
                <w:rFonts w:eastAsia="Times New Roman" w:cs="Arial"/>
                <w:szCs w:val="24"/>
              </w:rPr>
            </w:pPr>
          </w:p>
        </w:tc>
        <w:tc>
          <w:tcPr>
            <w:tcW w:w="2126" w:type="dxa"/>
            <w:tcBorders>
              <w:left w:val="nil"/>
              <w:right w:val="nil"/>
            </w:tcBorders>
            <w:vAlign w:val="center"/>
          </w:tcPr>
          <w:p w14:paraId="008BC7D5" w14:textId="77777777" w:rsidR="003F0CDB" w:rsidRPr="00EA0DC7" w:rsidRDefault="003F0CDB" w:rsidP="00957911">
            <w:pPr>
              <w:spacing w:line="240" w:lineRule="auto"/>
              <w:jc w:val="center"/>
              <w:rPr>
                <w:rFonts w:eastAsia="Times New Roman" w:cs="Arial"/>
                <w:szCs w:val="24"/>
              </w:rPr>
            </w:pPr>
          </w:p>
        </w:tc>
      </w:tr>
      <w:tr w:rsidR="003F0CDB" w:rsidRPr="00EA0DC7" w14:paraId="5AB8A9DC" w14:textId="77777777" w:rsidTr="00817A09">
        <w:trPr>
          <w:trHeight w:val="283"/>
        </w:trPr>
        <w:tc>
          <w:tcPr>
            <w:tcW w:w="3261" w:type="dxa"/>
            <w:shd w:val="clear" w:color="auto" w:fill="auto"/>
            <w:vAlign w:val="bottom"/>
            <w:hideMark/>
          </w:tcPr>
          <w:p w14:paraId="2F39EDFF"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Blocher (1983)</w:t>
            </w:r>
          </w:p>
        </w:tc>
        <w:tc>
          <w:tcPr>
            <w:tcW w:w="1984" w:type="dxa"/>
            <w:tcBorders>
              <w:left w:val="nil"/>
              <w:bottom w:val="nil"/>
              <w:right w:val="nil"/>
            </w:tcBorders>
            <w:vAlign w:val="center"/>
          </w:tcPr>
          <w:p w14:paraId="5C6C1C40" w14:textId="77777777" w:rsidR="003F0CDB" w:rsidRPr="00EA0DC7" w:rsidRDefault="003F0CDB" w:rsidP="00957911">
            <w:pPr>
              <w:spacing w:line="240" w:lineRule="auto"/>
              <w:jc w:val="center"/>
              <w:rPr>
                <w:rFonts w:eastAsia="Times New Roman" w:cs="Arial"/>
                <w:szCs w:val="24"/>
              </w:rPr>
            </w:pPr>
          </w:p>
        </w:tc>
        <w:tc>
          <w:tcPr>
            <w:tcW w:w="2410" w:type="dxa"/>
            <w:tcBorders>
              <w:left w:val="nil"/>
              <w:bottom w:val="nil"/>
              <w:right w:val="nil"/>
            </w:tcBorders>
            <w:vAlign w:val="center"/>
          </w:tcPr>
          <w:p w14:paraId="3A84A5D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0DDA2DED" w14:textId="77777777" w:rsidR="003F0CDB" w:rsidRPr="00EA0DC7" w:rsidRDefault="003F0CDB" w:rsidP="00957911">
            <w:pPr>
              <w:spacing w:line="240" w:lineRule="auto"/>
              <w:jc w:val="center"/>
              <w:rPr>
                <w:rFonts w:eastAsia="Times New Roman" w:cs="Arial"/>
                <w:szCs w:val="24"/>
              </w:rPr>
            </w:pPr>
          </w:p>
        </w:tc>
        <w:tc>
          <w:tcPr>
            <w:tcW w:w="1985" w:type="dxa"/>
            <w:tcBorders>
              <w:left w:val="nil"/>
              <w:bottom w:val="nil"/>
              <w:right w:val="nil"/>
            </w:tcBorders>
            <w:vAlign w:val="center"/>
          </w:tcPr>
          <w:p w14:paraId="06209F43" w14:textId="77777777" w:rsidR="003F0CDB" w:rsidRPr="00EA0DC7" w:rsidRDefault="003F0CDB" w:rsidP="00957911">
            <w:pPr>
              <w:spacing w:line="240" w:lineRule="auto"/>
              <w:jc w:val="center"/>
              <w:rPr>
                <w:rFonts w:eastAsia="Times New Roman" w:cs="Arial"/>
                <w:szCs w:val="24"/>
              </w:rPr>
            </w:pPr>
          </w:p>
        </w:tc>
        <w:tc>
          <w:tcPr>
            <w:tcW w:w="2126" w:type="dxa"/>
            <w:tcBorders>
              <w:left w:val="nil"/>
              <w:bottom w:val="nil"/>
              <w:right w:val="nil"/>
            </w:tcBorders>
            <w:vAlign w:val="center"/>
          </w:tcPr>
          <w:p w14:paraId="2C8A8FBA" w14:textId="77777777" w:rsidR="003F0CDB" w:rsidRPr="00EA0DC7" w:rsidRDefault="003F0CDB" w:rsidP="00957911">
            <w:pPr>
              <w:spacing w:line="240" w:lineRule="auto"/>
              <w:jc w:val="center"/>
              <w:rPr>
                <w:rFonts w:eastAsia="Times New Roman" w:cs="Arial"/>
                <w:szCs w:val="24"/>
              </w:rPr>
            </w:pPr>
          </w:p>
        </w:tc>
      </w:tr>
      <w:tr w:rsidR="003F0CDB" w:rsidRPr="00EA0DC7" w14:paraId="4DE95318" w14:textId="77777777" w:rsidTr="00817A09">
        <w:trPr>
          <w:trHeight w:val="283"/>
        </w:trPr>
        <w:tc>
          <w:tcPr>
            <w:tcW w:w="3261" w:type="dxa"/>
            <w:shd w:val="clear" w:color="auto" w:fill="auto"/>
          </w:tcPr>
          <w:p w14:paraId="79594E36"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Bordin (1983)</w:t>
            </w:r>
          </w:p>
        </w:tc>
        <w:tc>
          <w:tcPr>
            <w:tcW w:w="1984" w:type="dxa"/>
            <w:tcBorders>
              <w:top w:val="nil"/>
              <w:left w:val="nil"/>
              <w:right w:val="nil"/>
            </w:tcBorders>
            <w:vAlign w:val="center"/>
          </w:tcPr>
          <w:p w14:paraId="721A6008"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right w:val="nil"/>
            </w:tcBorders>
            <w:vAlign w:val="center"/>
          </w:tcPr>
          <w:p w14:paraId="78E2FAD4"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36BD94D2"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2203153B"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right w:val="nil"/>
            </w:tcBorders>
            <w:vAlign w:val="center"/>
          </w:tcPr>
          <w:p w14:paraId="6B524336" w14:textId="77777777" w:rsidR="003F0CDB" w:rsidRPr="00EA0DC7" w:rsidRDefault="003F0CDB" w:rsidP="00957911">
            <w:pPr>
              <w:spacing w:line="240" w:lineRule="auto"/>
              <w:jc w:val="center"/>
              <w:rPr>
                <w:rFonts w:eastAsia="Times New Roman" w:cs="Arial"/>
                <w:szCs w:val="24"/>
              </w:rPr>
            </w:pPr>
          </w:p>
        </w:tc>
      </w:tr>
      <w:tr w:rsidR="003F0CDB" w:rsidRPr="00EA0DC7" w14:paraId="50B5E53D" w14:textId="77777777" w:rsidTr="00817A09">
        <w:trPr>
          <w:trHeight w:val="283"/>
        </w:trPr>
        <w:tc>
          <w:tcPr>
            <w:tcW w:w="3261" w:type="dxa"/>
            <w:tcBorders>
              <w:left w:val="nil"/>
              <w:right w:val="nil"/>
            </w:tcBorders>
            <w:shd w:val="clear" w:color="auto" w:fill="auto"/>
            <w:vAlign w:val="bottom"/>
            <w:hideMark/>
          </w:tcPr>
          <w:p w14:paraId="0B25AFE4"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Hosford &amp; Barmann (1983)</w:t>
            </w:r>
          </w:p>
        </w:tc>
        <w:tc>
          <w:tcPr>
            <w:tcW w:w="1984" w:type="dxa"/>
            <w:tcBorders>
              <w:top w:val="nil"/>
              <w:left w:val="nil"/>
              <w:right w:val="nil"/>
            </w:tcBorders>
            <w:vAlign w:val="center"/>
          </w:tcPr>
          <w:p w14:paraId="3FD96E15"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right w:val="nil"/>
            </w:tcBorders>
            <w:vAlign w:val="center"/>
          </w:tcPr>
          <w:p w14:paraId="1360F492"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right w:val="nil"/>
            </w:tcBorders>
            <w:vAlign w:val="center"/>
          </w:tcPr>
          <w:p w14:paraId="09934FD2"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7369E967"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right w:val="nil"/>
            </w:tcBorders>
            <w:vAlign w:val="center"/>
          </w:tcPr>
          <w:p w14:paraId="412C0483" w14:textId="77777777" w:rsidR="003F0CDB" w:rsidRPr="00EA0DC7" w:rsidRDefault="003F0CDB" w:rsidP="00957911">
            <w:pPr>
              <w:spacing w:line="240" w:lineRule="auto"/>
              <w:jc w:val="center"/>
              <w:rPr>
                <w:rFonts w:eastAsia="Times New Roman" w:cs="Arial"/>
                <w:szCs w:val="24"/>
              </w:rPr>
            </w:pPr>
          </w:p>
        </w:tc>
      </w:tr>
      <w:tr w:rsidR="003F0CDB" w:rsidRPr="00EA0DC7" w14:paraId="190CBD42" w14:textId="77777777" w:rsidTr="00817A09">
        <w:trPr>
          <w:trHeight w:val="283"/>
        </w:trPr>
        <w:tc>
          <w:tcPr>
            <w:tcW w:w="3261" w:type="dxa"/>
            <w:tcBorders>
              <w:left w:val="nil"/>
              <w:bottom w:val="nil"/>
              <w:right w:val="nil"/>
            </w:tcBorders>
            <w:shd w:val="clear" w:color="auto" w:fill="auto"/>
            <w:vAlign w:val="bottom"/>
            <w:hideMark/>
          </w:tcPr>
          <w:p w14:paraId="6D283238"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Patterson (1983)</w:t>
            </w:r>
          </w:p>
        </w:tc>
        <w:tc>
          <w:tcPr>
            <w:tcW w:w="1984" w:type="dxa"/>
            <w:tcBorders>
              <w:left w:val="nil"/>
              <w:bottom w:val="nil"/>
              <w:right w:val="nil"/>
            </w:tcBorders>
            <w:vAlign w:val="center"/>
          </w:tcPr>
          <w:p w14:paraId="3A1B7F1D" w14:textId="77777777" w:rsidR="003F0CDB" w:rsidRPr="00EA0DC7" w:rsidRDefault="003F0CDB" w:rsidP="00957911">
            <w:pPr>
              <w:spacing w:line="240" w:lineRule="auto"/>
              <w:jc w:val="center"/>
              <w:rPr>
                <w:rFonts w:eastAsia="Times New Roman" w:cs="Arial"/>
                <w:szCs w:val="24"/>
              </w:rPr>
            </w:pPr>
          </w:p>
        </w:tc>
        <w:tc>
          <w:tcPr>
            <w:tcW w:w="2410" w:type="dxa"/>
            <w:tcBorders>
              <w:left w:val="nil"/>
              <w:bottom w:val="nil"/>
              <w:right w:val="nil"/>
            </w:tcBorders>
            <w:vAlign w:val="center"/>
          </w:tcPr>
          <w:p w14:paraId="4BE83D3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27827F3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bottom w:val="nil"/>
              <w:right w:val="nil"/>
            </w:tcBorders>
            <w:vAlign w:val="center"/>
          </w:tcPr>
          <w:p w14:paraId="54564474" w14:textId="77777777" w:rsidR="003F0CDB" w:rsidRPr="00EA0DC7" w:rsidRDefault="003F0CDB" w:rsidP="00957911">
            <w:pPr>
              <w:spacing w:line="240" w:lineRule="auto"/>
              <w:jc w:val="center"/>
              <w:rPr>
                <w:rFonts w:eastAsia="Times New Roman" w:cs="Arial"/>
                <w:szCs w:val="24"/>
              </w:rPr>
            </w:pPr>
          </w:p>
        </w:tc>
        <w:tc>
          <w:tcPr>
            <w:tcW w:w="2126" w:type="dxa"/>
            <w:tcBorders>
              <w:left w:val="nil"/>
              <w:bottom w:val="nil"/>
              <w:right w:val="nil"/>
            </w:tcBorders>
            <w:vAlign w:val="center"/>
          </w:tcPr>
          <w:p w14:paraId="0C8D0530" w14:textId="77777777" w:rsidR="003F0CDB" w:rsidRPr="00EA0DC7" w:rsidRDefault="003F0CDB" w:rsidP="00957911">
            <w:pPr>
              <w:spacing w:line="240" w:lineRule="auto"/>
              <w:jc w:val="center"/>
              <w:rPr>
                <w:rFonts w:eastAsia="Times New Roman" w:cs="Arial"/>
                <w:szCs w:val="24"/>
              </w:rPr>
            </w:pPr>
          </w:p>
        </w:tc>
      </w:tr>
      <w:tr w:rsidR="003F0CDB" w:rsidRPr="00EA0DC7" w14:paraId="6D64EBF4" w14:textId="77777777" w:rsidTr="00817A09">
        <w:trPr>
          <w:trHeight w:val="260"/>
        </w:trPr>
        <w:tc>
          <w:tcPr>
            <w:tcW w:w="3261" w:type="dxa"/>
            <w:tcBorders>
              <w:top w:val="nil"/>
              <w:left w:val="nil"/>
              <w:right w:val="nil"/>
            </w:tcBorders>
            <w:shd w:val="clear" w:color="auto" w:fill="auto"/>
            <w:vAlign w:val="bottom"/>
            <w:hideMark/>
          </w:tcPr>
          <w:p w14:paraId="18C55702"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Wessler &amp; Ellis (1983)</w:t>
            </w:r>
          </w:p>
        </w:tc>
        <w:tc>
          <w:tcPr>
            <w:tcW w:w="1984" w:type="dxa"/>
            <w:tcBorders>
              <w:top w:val="nil"/>
              <w:left w:val="nil"/>
              <w:right w:val="nil"/>
            </w:tcBorders>
            <w:vAlign w:val="center"/>
          </w:tcPr>
          <w:p w14:paraId="65A7ACE2"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right w:val="nil"/>
            </w:tcBorders>
            <w:vAlign w:val="center"/>
          </w:tcPr>
          <w:p w14:paraId="6CA04D0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5CB86AE6"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29E9D38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0A655B1C" w14:textId="77777777" w:rsidR="003F0CDB" w:rsidRPr="00EA0DC7" w:rsidRDefault="003F0CDB" w:rsidP="00957911">
            <w:pPr>
              <w:spacing w:line="240" w:lineRule="auto"/>
              <w:jc w:val="center"/>
              <w:rPr>
                <w:rFonts w:eastAsia="Times New Roman" w:cs="Arial"/>
                <w:szCs w:val="24"/>
              </w:rPr>
            </w:pPr>
          </w:p>
        </w:tc>
      </w:tr>
      <w:tr w:rsidR="003F0CDB" w:rsidRPr="00EA0DC7" w14:paraId="7169A3D4" w14:textId="77777777" w:rsidTr="00817A09">
        <w:trPr>
          <w:trHeight w:val="283"/>
        </w:trPr>
        <w:tc>
          <w:tcPr>
            <w:tcW w:w="3261" w:type="dxa"/>
            <w:tcBorders>
              <w:top w:val="nil"/>
              <w:left w:val="nil"/>
              <w:bottom w:val="single" w:sz="4" w:space="0" w:color="auto"/>
              <w:right w:val="nil"/>
            </w:tcBorders>
            <w:shd w:val="clear" w:color="auto" w:fill="auto"/>
            <w:vAlign w:val="bottom"/>
            <w:hideMark/>
          </w:tcPr>
          <w:p w14:paraId="53BCE4FA" w14:textId="77777777" w:rsidR="003F0CDB" w:rsidRPr="00EA0DC7" w:rsidRDefault="003F0CDB" w:rsidP="00957911">
            <w:pPr>
              <w:spacing w:line="240" w:lineRule="auto"/>
              <w:rPr>
                <w:rFonts w:eastAsia="Times New Roman" w:cs="Arial"/>
                <w:szCs w:val="24"/>
              </w:rPr>
            </w:pPr>
            <w:r w:rsidRPr="00EA0DC7">
              <w:rPr>
                <w:rFonts w:eastAsia="Times New Roman" w:cs="Arial"/>
                <w:szCs w:val="24"/>
              </w:rPr>
              <w:t>Connell (1984)</w:t>
            </w:r>
          </w:p>
        </w:tc>
        <w:tc>
          <w:tcPr>
            <w:tcW w:w="1984" w:type="dxa"/>
            <w:tcBorders>
              <w:top w:val="nil"/>
              <w:left w:val="nil"/>
              <w:bottom w:val="single" w:sz="4" w:space="0" w:color="auto"/>
              <w:right w:val="nil"/>
            </w:tcBorders>
            <w:vAlign w:val="center"/>
          </w:tcPr>
          <w:p w14:paraId="10A9360C"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single" w:sz="4" w:space="0" w:color="auto"/>
              <w:right w:val="nil"/>
            </w:tcBorders>
            <w:vAlign w:val="center"/>
          </w:tcPr>
          <w:p w14:paraId="468B1B10"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vAlign w:val="center"/>
          </w:tcPr>
          <w:p w14:paraId="619A1133"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bottom w:val="single" w:sz="4" w:space="0" w:color="auto"/>
              <w:right w:val="nil"/>
            </w:tcBorders>
            <w:vAlign w:val="center"/>
          </w:tcPr>
          <w:p w14:paraId="6E92A9F1"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bottom w:val="single" w:sz="4" w:space="0" w:color="auto"/>
              <w:right w:val="nil"/>
            </w:tcBorders>
            <w:vAlign w:val="center"/>
          </w:tcPr>
          <w:p w14:paraId="0B8E6948" w14:textId="77777777" w:rsidR="003F0CDB" w:rsidRPr="00EA0DC7" w:rsidRDefault="003F0CDB" w:rsidP="00957911">
            <w:pPr>
              <w:spacing w:line="240" w:lineRule="auto"/>
              <w:jc w:val="center"/>
              <w:rPr>
                <w:rFonts w:eastAsia="Times New Roman" w:cs="Arial"/>
                <w:szCs w:val="24"/>
              </w:rPr>
            </w:pPr>
          </w:p>
        </w:tc>
      </w:tr>
    </w:tbl>
    <w:p w14:paraId="44C097A3" w14:textId="77777777" w:rsidR="00817A09" w:rsidRPr="00EA0DC7" w:rsidRDefault="00817A09" w:rsidP="00817A09">
      <w:pPr>
        <w:spacing w:before="240" w:line="240" w:lineRule="auto"/>
        <w:jc w:val="center"/>
        <w:rPr>
          <w:rFonts w:eastAsia="Times New Roman" w:cs="Arial"/>
          <w:b/>
          <w:bCs/>
          <w:szCs w:val="24"/>
        </w:rPr>
        <w:sectPr w:rsidR="00817A09" w:rsidRPr="00EA0DC7" w:rsidSect="001A0398">
          <w:type w:val="nextColumn"/>
          <w:pgSz w:w="16838" w:h="11906" w:orient="landscape"/>
          <w:pgMar w:top="2268" w:right="1440" w:bottom="1440" w:left="1440" w:header="709" w:footer="709" w:gutter="0"/>
          <w:cols w:space="708"/>
          <w:docGrid w:linePitch="360"/>
        </w:sectPr>
      </w:pPr>
    </w:p>
    <w:tbl>
      <w:tblPr>
        <w:tblW w:w="13467" w:type="dxa"/>
        <w:tblLayout w:type="fixed"/>
        <w:tblLook w:val="04A0" w:firstRow="1" w:lastRow="0" w:firstColumn="1" w:lastColumn="0" w:noHBand="0" w:noVBand="1"/>
      </w:tblPr>
      <w:tblGrid>
        <w:gridCol w:w="3261"/>
        <w:gridCol w:w="1984"/>
        <w:gridCol w:w="2410"/>
        <w:gridCol w:w="1701"/>
        <w:gridCol w:w="1985"/>
        <w:gridCol w:w="2126"/>
      </w:tblGrid>
      <w:tr w:rsidR="00817A09" w:rsidRPr="00EA0DC7" w14:paraId="097E6473" w14:textId="77777777" w:rsidTr="00817A09">
        <w:trPr>
          <w:trHeight w:val="283"/>
        </w:trPr>
        <w:tc>
          <w:tcPr>
            <w:tcW w:w="3261" w:type="dxa"/>
            <w:tcBorders>
              <w:top w:val="single" w:sz="4" w:space="0" w:color="auto"/>
              <w:left w:val="nil"/>
              <w:bottom w:val="single" w:sz="4" w:space="0" w:color="auto"/>
              <w:right w:val="nil"/>
            </w:tcBorders>
            <w:shd w:val="clear" w:color="auto" w:fill="auto"/>
            <w:vAlign w:val="center"/>
          </w:tcPr>
          <w:p w14:paraId="39BA0466" w14:textId="3927BE69"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vAlign w:val="center"/>
          </w:tcPr>
          <w:p w14:paraId="30479758" w14:textId="0DC40C74"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Transference and/ or parallel processes</w:t>
            </w:r>
          </w:p>
        </w:tc>
        <w:tc>
          <w:tcPr>
            <w:tcW w:w="2410" w:type="dxa"/>
            <w:tcBorders>
              <w:top w:val="single" w:sz="4" w:space="0" w:color="auto"/>
              <w:left w:val="nil"/>
              <w:bottom w:val="single" w:sz="4" w:space="0" w:color="auto"/>
              <w:right w:val="nil"/>
            </w:tcBorders>
            <w:vAlign w:val="center"/>
          </w:tcPr>
          <w:p w14:paraId="4585E016" w14:textId="351E6A0D"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Acknowledgement of wider context of therapy process</w:t>
            </w:r>
          </w:p>
        </w:tc>
        <w:tc>
          <w:tcPr>
            <w:tcW w:w="1701" w:type="dxa"/>
            <w:tcBorders>
              <w:top w:val="single" w:sz="4" w:space="0" w:color="auto"/>
              <w:left w:val="nil"/>
              <w:bottom w:val="single" w:sz="4" w:space="0" w:color="auto"/>
              <w:right w:val="nil"/>
            </w:tcBorders>
            <w:vAlign w:val="center"/>
          </w:tcPr>
          <w:p w14:paraId="3BF29305" w14:textId="6AD73921"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Stage/ level/ step model</w:t>
            </w:r>
          </w:p>
        </w:tc>
        <w:tc>
          <w:tcPr>
            <w:tcW w:w="1985" w:type="dxa"/>
            <w:tcBorders>
              <w:top w:val="single" w:sz="4" w:space="0" w:color="auto"/>
              <w:left w:val="nil"/>
              <w:bottom w:val="single" w:sz="4" w:space="0" w:color="auto"/>
              <w:right w:val="nil"/>
            </w:tcBorders>
            <w:vAlign w:val="center"/>
          </w:tcPr>
          <w:p w14:paraId="63FEF74A" w14:textId="5DB7A0F8"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mainly on trainee rather than therapist</w:t>
            </w:r>
          </w:p>
        </w:tc>
        <w:tc>
          <w:tcPr>
            <w:tcW w:w="2126" w:type="dxa"/>
            <w:tcBorders>
              <w:top w:val="single" w:sz="4" w:space="0" w:color="auto"/>
              <w:left w:val="nil"/>
              <w:bottom w:val="single" w:sz="4" w:space="0" w:color="auto"/>
              <w:right w:val="nil"/>
            </w:tcBorders>
            <w:vAlign w:val="center"/>
          </w:tcPr>
          <w:p w14:paraId="4761AEDE" w14:textId="68A73F34"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on solutions/ strengths over problems</w:t>
            </w:r>
          </w:p>
        </w:tc>
      </w:tr>
      <w:tr w:rsidR="003F0CDB" w:rsidRPr="00EA0DC7" w14:paraId="28BF826E" w14:textId="77777777" w:rsidTr="00817A09">
        <w:trPr>
          <w:trHeight w:val="283"/>
        </w:trPr>
        <w:tc>
          <w:tcPr>
            <w:tcW w:w="3261" w:type="dxa"/>
            <w:tcBorders>
              <w:top w:val="single" w:sz="4" w:space="0" w:color="auto"/>
              <w:left w:val="nil"/>
              <w:right w:val="nil"/>
            </w:tcBorders>
            <w:shd w:val="clear" w:color="auto" w:fill="auto"/>
            <w:vAlign w:val="bottom"/>
            <w:hideMark/>
          </w:tcPr>
          <w:p w14:paraId="7CBEF073" w14:textId="77777777" w:rsidR="003F0CDB" w:rsidRPr="00EA0DC7" w:rsidRDefault="003F0CDB" w:rsidP="00817A09">
            <w:pPr>
              <w:spacing w:before="240" w:line="240" w:lineRule="auto"/>
              <w:jc w:val="left"/>
              <w:rPr>
                <w:rFonts w:eastAsia="Times New Roman" w:cs="Arial"/>
                <w:szCs w:val="24"/>
              </w:rPr>
            </w:pPr>
            <w:r w:rsidRPr="00EA0DC7">
              <w:rPr>
                <w:rFonts w:eastAsia="Times New Roman" w:cs="Arial"/>
                <w:szCs w:val="24"/>
              </w:rPr>
              <w:t>Grater (1985)</w:t>
            </w:r>
          </w:p>
        </w:tc>
        <w:tc>
          <w:tcPr>
            <w:tcW w:w="1984" w:type="dxa"/>
            <w:tcBorders>
              <w:top w:val="single" w:sz="4" w:space="0" w:color="auto"/>
              <w:left w:val="nil"/>
              <w:right w:val="nil"/>
            </w:tcBorders>
            <w:vAlign w:val="center"/>
          </w:tcPr>
          <w:p w14:paraId="441B7678"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single" w:sz="4" w:space="0" w:color="auto"/>
              <w:left w:val="nil"/>
              <w:right w:val="nil"/>
            </w:tcBorders>
            <w:vAlign w:val="center"/>
          </w:tcPr>
          <w:p w14:paraId="6C9CBBD3" w14:textId="77777777" w:rsidR="003F0CDB" w:rsidRPr="00EA0DC7" w:rsidRDefault="003F0CDB" w:rsidP="00817A09">
            <w:pPr>
              <w:spacing w:before="240" w:line="240" w:lineRule="auto"/>
              <w:jc w:val="center"/>
              <w:rPr>
                <w:rFonts w:eastAsia="Times New Roman" w:cs="Arial"/>
                <w:szCs w:val="24"/>
              </w:rPr>
            </w:pPr>
          </w:p>
        </w:tc>
        <w:tc>
          <w:tcPr>
            <w:tcW w:w="1701" w:type="dxa"/>
            <w:tcBorders>
              <w:top w:val="single" w:sz="4" w:space="0" w:color="auto"/>
              <w:left w:val="nil"/>
              <w:right w:val="nil"/>
            </w:tcBorders>
            <w:vAlign w:val="center"/>
          </w:tcPr>
          <w:p w14:paraId="53DE6C83" w14:textId="77777777" w:rsidR="003F0CDB" w:rsidRPr="00EA0DC7" w:rsidRDefault="003F0CDB"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single" w:sz="4" w:space="0" w:color="auto"/>
              <w:left w:val="nil"/>
              <w:right w:val="nil"/>
            </w:tcBorders>
            <w:vAlign w:val="center"/>
          </w:tcPr>
          <w:p w14:paraId="16F5B5EF" w14:textId="77777777" w:rsidR="003F0CDB" w:rsidRPr="00EA0DC7" w:rsidRDefault="003F0CDB" w:rsidP="00817A09">
            <w:pPr>
              <w:spacing w:before="240" w:line="240" w:lineRule="auto"/>
              <w:jc w:val="center"/>
              <w:rPr>
                <w:rFonts w:eastAsia="Times New Roman" w:cs="Arial"/>
                <w:szCs w:val="24"/>
              </w:rPr>
            </w:pPr>
          </w:p>
        </w:tc>
        <w:tc>
          <w:tcPr>
            <w:tcW w:w="2126" w:type="dxa"/>
            <w:tcBorders>
              <w:top w:val="single" w:sz="4" w:space="0" w:color="auto"/>
              <w:left w:val="nil"/>
              <w:right w:val="nil"/>
            </w:tcBorders>
            <w:vAlign w:val="center"/>
          </w:tcPr>
          <w:p w14:paraId="6B514B38" w14:textId="77777777" w:rsidR="003F0CDB" w:rsidRPr="00EA0DC7" w:rsidRDefault="003F0CDB" w:rsidP="00817A09">
            <w:pPr>
              <w:spacing w:before="240" w:line="240" w:lineRule="auto"/>
              <w:jc w:val="center"/>
              <w:rPr>
                <w:rFonts w:eastAsia="Times New Roman" w:cs="Arial"/>
                <w:szCs w:val="24"/>
              </w:rPr>
            </w:pPr>
          </w:p>
        </w:tc>
      </w:tr>
      <w:tr w:rsidR="003F0CDB" w:rsidRPr="00EA0DC7" w14:paraId="45B1CFD0" w14:textId="77777777" w:rsidTr="00817A09">
        <w:trPr>
          <w:trHeight w:val="283"/>
        </w:trPr>
        <w:tc>
          <w:tcPr>
            <w:tcW w:w="3261" w:type="dxa"/>
            <w:tcBorders>
              <w:left w:val="nil"/>
              <w:bottom w:val="nil"/>
              <w:right w:val="nil"/>
            </w:tcBorders>
            <w:shd w:val="clear" w:color="auto" w:fill="auto"/>
            <w:vAlign w:val="bottom"/>
            <w:hideMark/>
          </w:tcPr>
          <w:p w14:paraId="55FB7CC4"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Friedmand &amp; Kaslow (1986)</w:t>
            </w:r>
          </w:p>
        </w:tc>
        <w:tc>
          <w:tcPr>
            <w:tcW w:w="1984" w:type="dxa"/>
            <w:tcBorders>
              <w:left w:val="nil"/>
              <w:bottom w:val="nil"/>
              <w:right w:val="nil"/>
            </w:tcBorders>
            <w:vAlign w:val="center"/>
          </w:tcPr>
          <w:p w14:paraId="2BEE5DF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bottom w:val="nil"/>
              <w:right w:val="nil"/>
            </w:tcBorders>
            <w:vAlign w:val="center"/>
          </w:tcPr>
          <w:p w14:paraId="7298BD9A"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68AE9F19" w14:textId="77777777" w:rsidR="003F0CDB" w:rsidRPr="00EA0DC7" w:rsidRDefault="003F0CDB" w:rsidP="00957911">
            <w:pPr>
              <w:spacing w:line="240" w:lineRule="auto"/>
              <w:jc w:val="center"/>
              <w:rPr>
                <w:rFonts w:eastAsia="Times New Roman" w:cs="Arial"/>
                <w:szCs w:val="24"/>
              </w:rPr>
            </w:pPr>
          </w:p>
        </w:tc>
        <w:tc>
          <w:tcPr>
            <w:tcW w:w="1985" w:type="dxa"/>
            <w:tcBorders>
              <w:left w:val="nil"/>
              <w:bottom w:val="nil"/>
              <w:right w:val="nil"/>
            </w:tcBorders>
            <w:vAlign w:val="center"/>
          </w:tcPr>
          <w:p w14:paraId="0E1A807D" w14:textId="77777777" w:rsidR="003F0CDB" w:rsidRPr="00EA0DC7" w:rsidRDefault="003F0CDB" w:rsidP="00957911">
            <w:pPr>
              <w:spacing w:line="240" w:lineRule="auto"/>
              <w:jc w:val="center"/>
              <w:rPr>
                <w:rFonts w:eastAsia="Times New Roman" w:cs="Arial"/>
                <w:szCs w:val="24"/>
              </w:rPr>
            </w:pPr>
          </w:p>
        </w:tc>
        <w:tc>
          <w:tcPr>
            <w:tcW w:w="2126" w:type="dxa"/>
            <w:tcBorders>
              <w:left w:val="nil"/>
              <w:bottom w:val="nil"/>
              <w:right w:val="nil"/>
            </w:tcBorders>
            <w:vAlign w:val="center"/>
          </w:tcPr>
          <w:p w14:paraId="29BFFF4C" w14:textId="77777777" w:rsidR="003F0CDB" w:rsidRPr="00EA0DC7" w:rsidRDefault="003F0CDB" w:rsidP="00957911">
            <w:pPr>
              <w:spacing w:line="240" w:lineRule="auto"/>
              <w:jc w:val="center"/>
              <w:rPr>
                <w:rFonts w:eastAsia="Times New Roman" w:cs="Arial"/>
                <w:szCs w:val="24"/>
              </w:rPr>
            </w:pPr>
          </w:p>
        </w:tc>
      </w:tr>
      <w:tr w:rsidR="003F0CDB" w:rsidRPr="00EA0DC7" w14:paraId="094BBF65" w14:textId="77777777" w:rsidTr="00817A09">
        <w:trPr>
          <w:trHeight w:val="283"/>
        </w:trPr>
        <w:tc>
          <w:tcPr>
            <w:tcW w:w="3261" w:type="dxa"/>
            <w:tcBorders>
              <w:top w:val="nil"/>
              <w:left w:val="nil"/>
              <w:right w:val="nil"/>
            </w:tcBorders>
            <w:shd w:val="clear" w:color="auto" w:fill="auto"/>
            <w:vAlign w:val="bottom"/>
            <w:hideMark/>
          </w:tcPr>
          <w:p w14:paraId="517E4A29"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Hess (1986)</w:t>
            </w:r>
          </w:p>
        </w:tc>
        <w:tc>
          <w:tcPr>
            <w:tcW w:w="1984" w:type="dxa"/>
            <w:tcBorders>
              <w:top w:val="nil"/>
              <w:left w:val="nil"/>
              <w:right w:val="nil"/>
            </w:tcBorders>
            <w:vAlign w:val="center"/>
          </w:tcPr>
          <w:p w14:paraId="74EFDA70"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right w:val="nil"/>
            </w:tcBorders>
            <w:vAlign w:val="center"/>
          </w:tcPr>
          <w:p w14:paraId="309BE8D5"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68400DD1"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7C5EEDFA" w14:textId="77777777" w:rsidR="003F0CDB" w:rsidRPr="00EA0DC7" w:rsidRDefault="003F0CDB" w:rsidP="00957911">
            <w:pPr>
              <w:spacing w:line="240" w:lineRule="auto"/>
              <w:jc w:val="center"/>
              <w:rPr>
                <w:rFonts w:eastAsia="Times New Roman" w:cs="Arial"/>
                <w:szCs w:val="24"/>
              </w:rPr>
            </w:pPr>
          </w:p>
        </w:tc>
        <w:tc>
          <w:tcPr>
            <w:tcW w:w="2126" w:type="dxa"/>
            <w:tcBorders>
              <w:top w:val="nil"/>
              <w:left w:val="nil"/>
              <w:right w:val="nil"/>
            </w:tcBorders>
            <w:vAlign w:val="center"/>
          </w:tcPr>
          <w:p w14:paraId="60DC94F7" w14:textId="77777777" w:rsidR="003F0CDB" w:rsidRPr="00EA0DC7" w:rsidRDefault="003F0CDB" w:rsidP="00957911">
            <w:pPr>
              <w:spacing w:line="240" w:lineRule="auto"/>
              <w:jc w:val="center"/>
              <w:rPr>
                <w:rFonts w:eastAsia="Times New Roman" w:cs="Arial"/>
                <w:szCs w:val="24"/>
              </w:rPr>
            </w:pPr>
          </w:p>
        </w:tc>
      </w:tr>
      <w:tr w:rsidR="003F0CDB" w:rsidRPr="00EA0DC7" w14:paraId="515F53DA" w14:textId="77777777" w:rsidTr="00817A09">
        <w:trPr>
          <w:trHeight w:val="283"/>
        </w:trPr>
        <w:tc>
          <w:tcPr>
            <w:tcW w:w="3261" w:type="dxa"/>
            <w:tcBorders>
              <w:top w:val="nil"/>
              <w:left w:val="nil"/>
              <w:right w:val="nil"/>
            </w:tcBorders>
            <w:shd w:val="clear" w:color="auto" w:fill="auto"/>
            <w:vAlign w:val="bottom"/>
            <w:hideMark/>
          </w:tcPr>
          <w:p w14:paraId="39FA3C3D"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Stoltenberg &amp; Delworth (1987)</w:t>
            </w:r>
          </w:p>
        </w:tc>
        <w:tc>
          <w:tcPr>
            <w:tcW w:w="1984" w:type="dxa"/>
            <w:tcBorders>
              <w:top w:val="nil"/>
              <w:left w:val="nil"/>
              <w:right w:val="nil"/>
            </w:tcBorders>
            <w:vAlign w:val="center"/>
          </w:tcPr>
          <w:p w14:paraId="4FE5D2F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3EDC242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1E63C9C1"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right w:val="nil"/>
            </w:tcBorders>
            <w:vAlign w:val="center"/>
          </w:tcPr>
          <w:p w14:paraId="753FC5E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2A992CFB" w14:textId="77777777" w:rsidR="003F0CDB" w:rsidRPr="00EA0DC7" w:rsidRDefault="003F0CDB" w:rsidP="00957911">
            <w:pPr>
              <w:spacing w:line="240" w:lineRule="auto"/>
              <w:jc w:val="center"/>
              <w:rPr>
                <w:rFonts w:eastAsia="Times New Roman" w:cs="Arial"/>
                <w:szCs w:val="24"/>
              </w:rPr>
            </w:pPr>
          </w:p>
        </w:tc>
      </w:tr>
      <w:tr w:rsidR="003F0CDB" w:rsidRPr="00EA0DC7" w14:paraId="7ACA76E2" w14:textId="77777777" w:rsidTr="00817A09">
        <w:trPr>
          <w:trHeight w:val="283"/>
        </w:trPr>
        <w:tc>
          <w:tcPr>
            <w:tcW w:w="3261" w:type="dxa"/>
            <w:tcBorders>
              <w:left w:val="nil"/>
              <w:right w:val="nil"/>
            </w:tcBorders>
            <w:shd w:val="clear" w:color="auto" w:fill="auto"/>
            <w:vAlign w:val="bottom"/>
            <w:hideMark/>
          </w:tcPr>
          <w:p w14:paraId="5120B4A6"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Ault-Riche (1988)</w:t>
            </w:r>
          </w:p>
        </w:tc>
        <w:tc>
          <w:tcPr>
            <w:tcW w:w="1984" w:type="dxa"/>
            <w:tcBorders>
              <w:left w:val="nil"/>
              <w:right w:val="nil"/>
            </w:tcBorders>
            <w:vAlign w:val="center"/>
          </w:tcPr>
          <w:p w14:paraId="6EBF3811" w14:textId="77777777" w:rsidR="003F0CDB" w:rsidRPr="00EA0DC7" w:rsidRDefault="003F0CDB" w:rsidP="00957911">
            <w:pPr>
              <w:spacing w:line="240" w:lineRule="auto"/>
              <w:jc w:val="center"/>
              <w:rPr>
                <w:rFonts w:eastAsia="Times New Roman" w:cs="Arial"/>
                <w:szCs w:val="24"/>
              </w:rPr>
            </w:pPr>
          </w:p>
        </w:tc>
        <w:tc>
          <w:tcPr>
            <w:tcW w:w="2410" w:type="dxa"/>
            <w:tcBorders>
              <w:left w:val="nil"/>
              <w:right w:val="nil"/>
            </w:tcBorders>
            <w:vAlign w:val="center"/>
          </w:tcPr>
          <w:p w14:paraId="38D6D65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24EAA719" w14:textId="77777777" w:rsidR="003F0CDB" w:rsidRPr="00EA0DC7" w:rsidRDefault="003F0CDB" w:rsidP="00957911">
            <w:pPr>
              <w:spacing w:line="240" w:lineRule="auto"/>
              <w:jc w:val="center"/>
              <w:rPr>
                <w:rFonts w:eastAsia="Times New Roman" w:cs="Arial"/>
                <w:szCs w:val="24"/>
              </w:rPr>
            </w:pPr>
          </w:p>
        </w:tc>
        <w:tc>
          <w:tcPr>
            <w:tcW w:w="1985" w:type="dxa"/>
            <w:tcBorders>
              <w:left w:val="nil"/>
              <w:right w:val="nil"/>
            </w:tcBorders>
            <w:vAlign w:val="center"/>
          </w:tcPr>
          <w:p w14:paraId="5919207B" w14:textId="77777777" w:rsidR="003F0CDB" w:rsidRPr="00EA0DC7" w:rsidRDefault="003F0CDB" w:rsidP="00957911">
            <w:pPr>
              <w:spacing w:line="240" w:lineRule="auto"/>
              <w:jc w:val="center"/>
              <w:rPr>
                <w:rFonts w:eastAsia="Times New Roman" w:cs="Arial"/>
                <w:szCs w:val="24"/>
              </w:rPr>
            </w:pPr>
          </w:p>
        </w:tc>
        <w:tc>
          <w:tcPr>
            <w:tcW w:w="2126" w:type="dxa"/>
            <w:tcBorders>
              <w:left w:val="nil"/>
              <w:right w:val="nil"/>
            </w:tcBorders>
            <w:vAlign w:val="center"/>
          </w:tcPr>
          <w:p w14:paraId="33FFE394" w14:textId="77777777" w:rsidR="003F0CDB" w:rsidRPr="00EA0DC7" w:rsidRDefault="003F0CDB" w:rsidP="00957911">
            <w:pPr>
              <w:spacing w:line="240" w:lineRule="auto"/>
              <w:jc w:val="center"/>
              <w:rPr>
                <w:rFonts w:eastAsia="Times New Roman" w:cs="Arial"/>
                <w:szCs w:val="24"/>
              </w:rPr>
            </w:pPr>
          </w:p>
        </w:tc>
      </w:tr>
      <w:tr w:rsidR="003F0CDB" w:rsidRPr="00EA0DC7" w14:paraId="54F33EB2" w14:textId="77777777" w:rsidTr="00817A09">
        <w:trPr>
          <w:trHeight w:val="283"/>
        </w:trPr>
        <w:tc>
          <w:tcPr>
            <w:tcW w:w="3261" w:type="dxa"/>
            <w:tcBorders>
              <w:left w:val="nil"/>
              <w:right w:val="nil"/>
            </w:tcBorders>
            <w:shd w:val="clear" w:color="auto" w:fill="auto"/>
            <w:vAlign w:val="bottom"/>
            <w:hideMark/>
          </w:tcPr>
          <w:p w14:paraId="78CE7708"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Watkins (1990)</w:t>
            </w:r>
          </w:p>
        </w:tc>
        <w:tc>
          <w:tcPr>
            <w:tcW w:w="1984" w:type="dxa"/>
            <w:tcBorders>
              <w:left w:val="nil"/>
              <w:right w:val="nil"/>
            </w:tcBorders>
            <w:vAlign w:val="center"/>
          </w:tcPr>
          <w:p w14:paraId="23B9560F"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18274383"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3555A5B3"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31C284D7"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0E6F0A85" w14:textId="77777777" w:rsidR="003F0CDB" w:rsidRPr="00EA0DC7" w:rsidRDefault="003F0CDB" w:rsidP="00957911">
            <w:pPr>
              <w:spacing w:line="240" w:lineRule="auto"/>
              <w:jc w:val="center"/>
              <w:rPr>
                <w:rFonts w:eastAsia="Times New Roman" w:cs="Arial"/>
                <w:szCs w:val="24"/>
              </w:rPr>
            </w:pPr>
          </w:p>
        </w:tc>
      </w:tr>
      <w:tr w:rsidR="003F0CDB" w:rsidRPr="00EA0DC7" w14:paraId="5C2C3307" w14:textId="77777777" w:rsidTr="00817A09">
        <w:trPr>
          <w:trHeight w:val="80"/>
        </w:trPr>
        <w:tc>
          <w:tcPr>
            <w:tcW w:w="3261" w:type="dxa"/>
            <w:tcBorders>
              <w:left w:val="nil"/>
              <w:right w:val="nil"/>
            </w:tcBorders>
            <w:shd w:val="clear" w:color="auto" w:fill="auto"/>
            <w:vAlign w:val="bottom"/>
            <w:hideMark/>
          </w:tcPr>
          <w:p w14:paraId="12B91D37"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Wetchler (1990)</w:t>
            </w:r>
          </w:p>
        </w:tc>
        <w:tc>
          <w:tcPr>
            <w:tcW w:w="1984" w:type="dxa"/>
            <w:tcBorders>
              <w:left w:val="nil"/>
              <w:right w:val="nil"/>
            </w:tcBorders>
            <w:vAlign w:val="center"/>
          </w:tcPr>
          <w:p w14:paraId="62A285B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0FEFD8C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7F5C1F55" w14:textId="77777777" w:rsidR="003F0CDB" w:rsidRPr="00EA0DC7" w:rsidRDefault="003F0CDB" w:rsidP="00957911">
            <w:pPr>
              <w:spacing w:line="240" w:lineRule="auto"/>
              <w:jc w:val="center"/>
              <w:rPr>
                <w:rFonts w:eastAsia="Times New Roman" w:cs="Arial"/>
                <w:szCs w:val="24"/>
              </w:rPr>
            </w:pPr>
          </w:p>
        </w:tc>
        <w:tc>
          <w:tcPr>
            <w:tcW w:w="1985" w:type="dxa"/>
            <w:tcBorders>
              <w:left w:val="nil"/>
              <w:right w:val="nil"/>
            </w:tcBorders>
            <w:vAlign w:val="center"/>
          </w:tcPr>
          <w:p w14:paraId="0C2B064E"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699D8CB7" w14:textId="77777777" w:rsidR="003F0CDB" w:rsidRPr="00EA0DC7" w:rsidRDefault="003F0CDB" w:rsidP="00957911">
            <w:pPr>
              <w:spacing w:line="240" w:lineRule="auto"/>
              <w:jc w:val="center"/>
              <w:rPr>
                <w:rFonts w:eastAsia="Times New Roman" w:cs="Arial"/>
                <w:szCs w:val="24"/>
              </w:rPr>
            </w:pPr>
          </w:p>
        </w:tc>
      </w:tr>
      <w:tr w:rsidR="003F0CDB" w:rsidRPr="00EA0DC7" w14:paraId="35CDEDFC" w14:textId="77777777" w:rsidTr="00817A09">
        <w:trPr>
          <w:trHeight w:val="283"/>
        </w:trPr>
        <w:tc>
          <w:tcPr>
            <w:tcW w:w="3261" w:type="dxa"/>
            <w:tcBorders>
              <w:left w:val="nil"/>
              <w:right w:val="nil"/>
            </w:tcBorders>
            <w:shd w:val="clear" w:color="auto" w:fill="auto"/>
            <w:vAlign w:val="bottom"/>
            <w:hideMark/>
          </w:tcPr>
          <w:p w14:paraId="26AE78A0"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Mead (1990)</w:t>
            </w:r>
          </w:p>
        </w:tc>
        <w:tc>
          <w:tcPr>
            <w:tcW w:w="1984" w:type="dxa"/>
            <w:tcBorders>
              <w:left w:val="nil"/>
              <w:right w:val="nil"/>
            </w:tcBorders>
            <w:vAlign w:val="center"/>
          </w:tcPr>
          <w:p w14:paraId="0E5646E1"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1EE9D46C"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0B86ECEF" w14:textId="77777777" w:rsidR="003F0CDB" w:rsidRPr="00EA0DC7" w:rsidRDefault="003F0CDB" w:rsidP="00957911">
            <w:pPr>
              <w:spacing w:line="240" w:lineRule="auto"/>
              <w:jc w:val="center"/>
              <w:rPr>
                <w:rFonts w:eastAsia="Times New Roman" w:cs="Arial"/>
                <w:szCs w:val="24"/>
              </w:rPr>
            </w:pPr>
          </w:p>
        </w:tc>
        <w:tc>
          <w:tcPr>
            <w:tcW w:w="1985" w:type="dxa"/>
            <w:tcBorders>
              <w:left w:val="nil"/>
              <w:right w:val="nil"/>
            </w:tcBorders>
            <w:vAlign w:val="center"/>
          </w:tcPr>
          <w:p w14:paraId="523C3B0E" w14:textId="77777777" w:rsidR="003F0CDB" w:rsidRPr="00EA0DC7" w:rsidRDefault="003F0CDB" w:rsidP="00957911">
            <w:pPr>
              <w:spacing w:line="240" w:lineRule="auto"/>
              <w:jc w:val="center"/>
              <w:rPr>
                <w:rFonts w:eastAsia="Times New Roman" w:cs="Arial"/>
                <w:szCs w:val="24"/>
              </w:rPr>
            </w:pPr>
          </w:p>
        </w:tc>
        <w:tc>
          <w:tcPr>
            <w:tcW w:w="2126" w:type="dxa"/>
            <w:tcBorders>
              <w:left w:val="nil"/>
              <w:right w:val="nil"/>
            </w:tcBorders>
            <w:vAlign w:val="center"/>
          </w:tcPr>
          <w:p w14:paraId="6BB264B2" w14:textId="77777777" w:rsidR="003F0CDB" w:rsidRPr="00EA0DC7" w:rsidRDefault="003F0CDB" w:rsidP="00957911">
            <w:pPr>
              <w:spacing w:line="240" w:lineRule="auto"/>
              <w:jc w:val="center"/>
              <w:rPr>
                <w:rFonts w:eastAsia="Times New Roman" w:cs="Arial"/>
                <w:szCs w:val="24"/>
              </w:rPr>
            </w:pPr>
          </w:p>
        </w:tc>
      </w:tr>
      <w:tr w:rsidR="003F0CDB" w:rsidRPr="00EA0DC7" w14:paraId="6AC14926" w14:textId="77777777" w:rsidTr="00817A09">
        <w:trPr>
          <w:trHeight w:val="283"/>
        </w:trPr>
        <w:tc>
          <w:tcPr>
            <w:tcW w:w="3261" w:type="dxa"/>
            <w:tcBorders>
              <w:left w:val="nil"/>
              <w:right w:val="nil"/>
            </w:tcBorders>
            <w:shd w:val="clear" w:color="auto" w:fill="auto"/>
            <w:vAlign w:val="bottom"/>
            <w:hideMark/>
          </w:tcPr>
          <w:p w14:paraId="382FB6FC"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Hawkins &amp; Shohet (1993)</w:t>
            </w:r>
          </w:p>
        </w:tc>
        <w:tc>
          <w:tcPr>
            <w:tcW w:w="1984" w:type="dxa"/>
            <w:tcBorders>
              <w:left w:val="nil"/>
              <w:right w:val="nil"/>
            </w:tcBorders>
            <w:vAlign w:val="center"/>
          </w:tcPr>
          <w:p w14:paraId="198BC49B" w14:textId="77777777" w:rsidR="003F0CDB" w:rsidRPr="00EA0DC7" w:rsidRDefault="003F0CDB" w:rsidP="00957911">
            <w:pPr>
              <w:spacing w:line="240" w:lineRule="auto"/>
              <w:jc w:val="center"/>
              <w:rPr>
                <w:rFonts w:eastAsia="Times New Roman" w:cs="Arial"/>
                <w:szCs w:val="24"/>
              </w:rPr>
            </w:pPr>
          </w:p>
        </w:tc>
        <w:tc>
          <w:tcPr>
            <w:tcW w:w="2410" w:type="dxa"/>
            <w:tcBorders>
              <w:left w:val="nil"/>
              <w:right w:val="nil"/>
            </w:tcBorders>
            <w:vAlign w:val="center"/>
          </w:tcPr>
          <w:p w14:paraId="220226BB" w14:textId="77777777" w:rsidR="003F0CDB" w:rsidRPr="00EA0DC7" w:rsidRDefault="003F0CDB" w:rsidP="00957911">
            <w:pPr>
              <w:spacing w:line="240" w:lineRule="auto"/>
              <w:jc w:val="center"/>
              <w:rPr>
                <w:rFonts w:eastAsia="Times New Roman" w:cs="Arial"/>
                <w:szCs w:val="24"/>
              </w:rPr>
            </w:pPr>
          </w:p>
        </w:tc>
        <w:tc>
          <w:tcPr>
            <w:tcW w:w="1701" w:type="dxa"/>
            <w:tcBorders>
              <w:left w:val="nil"/>
              <w:right w:val="nil"/>
            </w:tcBorders>
            <w:vAlign w:val="center"/>
          </w:tcPr>
          <w:p w14:paraId="4794A52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2C90C57A" w14:textId="77777777" w:rsidR="003F0CDB" w:rsidRPr="00EA0DC7" w:rsidRDefault="003F0CDB" w:rsidP="00957911">
            <w:pPr>
              <w:spacing w:line="240" w:lineRule="auto"/>
              <w:jc w:val="center"/>
              <w:rPr>
                <w:rFonts w:eastAsia="Times New Roman" w:cs="Arial"/>
                <w:szCs w:val="24"/>
              </w:rPr>
            </w:pPr>
          </w:p>
        </w:tc>
        <w:tc>
          <w:tcPr>
            <w:tcW w:w="2126" w:type="dxa"/>
            <w:tcBorders>
              <w:left w:val="nil"/>
              <w:right w:val="nil"/>
            </w:tcBorders>
            <w:vAlign w:val="center"/>
          </w:tcPr>
          <w:p w14:paraId="48F499E9" w14:textId="77777777" w:rsidR="003F0CDB" w:rsidRPr="00EA0DC7" w:rsidRDefault="003F0CDB" w:rsidP="00957911">
            <w:pPr>
              <w:spacing w:line="240" w:lineRule="auto"/>
              <w:jc w:val="center"/>
              <w:rPr>
                <w:rFonts w:eastAsia="Times New Roman" w:cs="Arial"/>
                <w:szCs w:val="24"/>
              </w:rPr>
            </w:pPr>
          </w:p>
        </w:tc>
      </w:tr>
      <w:tr w:rsidR="003F0CDB" w:rsidRPr="00EA0DC7" w14:paraId="75108757" w14:textId="77777777" w:rsidTr="00817A09">
        <w:trPr>
          <w:trHeight w:val="235"/>
        </w:trPr>
        <w:tc>
          <w:tcPr>
            <w:tcW w:w="3261" w:type="dxa"/>
            <w:tcBorders>
              <w:left w:val="nil"/>
              <w:bottom w:val="nil"/>
              <w:right w:val="nil"/>
            </w:tcBorders>
            <w:shd w:val="clear" w:color="auto" w:fill="auto"/>
            <w:vAlign w:val="bottom"/>
            <w:hideMark/>
          </w:tcPr>
          <w:p w14:paraId="142017EA"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Rodenhauser (1994)</w:t>
            </w:r>
          </w:p>
        </w:tc>
        <w:tc>
          <w:tcPr>
            <w:tcW w:w="1984" w:type="dxa"/>
            <w:tcBorders>
              <w:left w:val="nil"/>
              <w:bottom w:val="nil"/>
              <w:right w:val="nil"/>
            </w:tcBorders>
            <w:vAlign w:val="center"/>
          </w:tcPr>
          <w:p w14:paraId="2E422F1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bottom w:val="nil"/>
              <w:right w:val="nil"/>
            </w:tcBorders>
            <w:vAlign w:val="center"/>
          </w:tcPr>
          <w:p w14:paraId="3C148ED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bottom w:val="nil"/>
              <w:right w:val="nil"/>
            </w:tcBorders>
            <w:vAlign w:val="center"/>
          </w:tcPr>
          <w:p w14:paraId="7BB7DA7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bottom w:val="nil"/>
              <w:right w:val="nil"/>
            </w:tcBorders>
            <w:vAlign w:val="center"/>
          </w:tcPr>
          <w:p w14:paraId="5745E332" w14:textId="77777777" w:rsidR="003F0CDB" w:rsidRPr="00EA0DC7" w:rsidRDefault="003F0CDB" w:rsidP="00957911">
            <w:pPr>
              <w:spacing w:line="240" w:lineRule="auto"/>
              <w:jc w:val="center"/>
              <w:rPr>
                <w:rFonts w:eastAsia="Times New Roman" w:cs="Arial"/>
                <w:szCs w:val="24"/>
              </w:rPr>
            </w:pPr>
          </w:p>
        </w:tc>
        <w:tc>
          <w:tcPr>
            <w:tcW w:w="2126" w:type="dxa"/>
            <w:tcBorders>
              <w:left w:val="nil"/>
              <w:bottom w:val="nil"/>
              <w:right w:val="nil"/>
            </w:tcBorders>
            <w:vAlign w:val="center"/>
          </w:tcPr>
          <w:p w14:paraId="2F29E3AF" w14:textId="77777777" w:rsidR="003F0CDB" w:rsidRPr="00EA0DC7" w:rsidRDefault="003F0CDB" w:rsidP="00957911">
            <w:pPr>
              <w:spacing w:line="240" w:lineRule="auto"/>
              <w:jc w:val="center"/>
              <w:rPr>
                <w:rFonts w:eastAsia="Times New Roman" w:cs="Arial"/>
                <w:szCs w:val="24"/>
              </w:rPr>
            </w:pPr>
          </w:p>
        </w:tc>
      </w:tr>
      <w:tr w:rsidR="003F0CDB" w:rsidRPr="00EA0DC7" w14:paraId="00E5CF2A" w14:textId="77777777" w:rsidTr="00817A09">
        <w:trPr>
          <w:trHeight w:val="283"/>
        </w:trPr>
        <w:tc>
          <w:tcPr>
            <w:tcW w:w="3261" w:type="dxa"/>
            <w:tcBorders>
              <w:top w:val="nil"/>
              <w:left w:val="nil"/>
              <w:bottom w:val="nil"/>
              <w:right w:val="nil"/>
            </w:tcBorders>
            <w:shd w:val="clear" w:color="auto" w:fill="auto"/>
            <w:vAlign w:val="bottom"/>
            <w:hideMark/>
          </w:tcPr>
          <w:p w14:paraId="1624FB7C"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Thomas (1994)</w:t>
            </w:r>
          </w:p>
        </w:tc>
        <w:tc>
          <w:tcPr>
            <w:tcW w:w="1984" w:type="dxa"/>
            <w:tcBorders>
              <w:top w:val="nil"/>
              <w:left w:val="nil"/>
              <w:bottom w:val="nil"/>
              <w:right w:val="nil"/>
            </w:tcBorders>
            <w:vAlign w:val="center"/>
          </w:tcPr>
          <w:p w14:paraId="23D086A9"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bottom w:val="nil"/>
              <w:right w:val="nil"/>
            </w:tcBorders>
            <w:vAlign w:val="center"/>
          </w:tcPr>
          <w:p w14:paraId="11CAC73B"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nil"/>
              <w:right w:val="nil"/>
            </w:tcBorders>
            <w:vAlign w:val="center"/>
          </w:tcPr>
          <w:p w14:paraId="2B49E100" w14:textId="77777777" w:rsidR="003F0CDB" w:rsidRPr="00EA0DC7" w:rsidRDefault="003F0CDB" w:rsidP="00957911">
            <w:pPr>
              <w:spacing w:line="240" w:lineRule="auto"/>
              <w:jc w:val="center"/>
              <w:rPr>
                <w:rFonts w:eastAsia="Times New Roman" w:cs="Arial"/>
                <w:szCs w:val="24"/>
              </w:rPr>
            </w:pPr>
          </w:p>
        </w:tc>
        <w:tc>
          <w:tcPr>
            <w:tcW w:w="1985" w:type="dxa"/>
            <w:tcBorders>
              <w:top w:val="nil"/>
              <w:left w:val="nil"/>
              <w:bottom w:val="nil"/>
              <w:right w:val="nil"/>
            </w:tcBorders>
            <w:vAlign w:val="center"/>
          </w:tcPr>
          <w:p w14:paraId="4C498A2D"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bottom w:val="nil"/>
              <w:right w:val="nil"/>
            </w:tcBorders>
            <w:vAlign w:val="center"/>
          </w:tcPr>
          <w:p w14:paraId="3C46BDA2"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r>
      <w:tr w:rsidR="003F0CDB" w:rsidRPr="00EA0DC7" w14:paraId="314D9582" w14:textId="77777777" w:rsidTr="00817A09">
        <w:trPr>
          <w:trHeight w:val="283"/>
        </w:trPr>
        <w:tc>
          <w:tcPr>
            <w:tcW w:w="3261" w:type="dxa"/>
            <w:tcBorders>
              <w:top w:val="nil"/>
              <w:left w:val="nil"/>
              <w:bottom w:val="single" w:sz="4" w:space="0" w:color="auto"/>
              <w:right w:val="nil"/>
            </w:tcBorders>
            <w:shd w:val="clear" w:color="auto" w:fill="auto"/>
            <w:vAlign w:val="bottom"/>
            <w:hideMark/>
          </w:tcPr>
          <w:p w14:paraId="0B493389" w14:textId="77777777" w:rsidR="003F0CDB" w:rsidRPr="00EA0DC7" w:rsidRDefault="003F0CDB" w:rsidP="00817A09">
            <w:pPr>
              <w:spacing w:line="240" w:lineRule="auto"/>
              <w:jc w:val="left"/>
              <w:rPr>
                <w:rFonts w:eastAsia="Times New Roman" w:cs="Arial"/>
                <w:szCs w:val="24"/>
              </w:rPr>
            </w:pPr>
            <w:r w:rsidRPr="00EA0DC7">
              <w:rPr>
                <w:rFonts w:eastAsia="Times New Roman" w:cs="Arial"/>
                <w:szCs w:val="24"/>
              </w:rPr>
              <w:t>Rigazio-DiGilio &amp; Anderson (1994)</w:t>
            </w:r>
          </w:p>
        </w:tc>
        <w:tc>
          <w:tcPr>
            <w:tcW w:w="1984" w:type="dxa"/>
            <w:tcBorders>
              <w:top w:val="nil"/>
              <w:left w:val="nil"/>
              <w:bottom w:val="single" w:sz="4" w:space="0" w:color="auto"/>
              <w:right w:val="nil"/>
            </w:tcBorders>
            <w:vAlign w:val="center"/>
          </w:tcPr>
          <w:p w14:paraId="124AC7DF" w14:textId="77777777" w:rsidR="003F0CDB" w:rsidRPr="00EA0DC7" w:rsidRDefault="003F0CDB" w:rsidP="00957911">
            <w:pPr>
              <w:spacing w:line="240" w:lineRule="auto"/>
              <w:jc w:val="center"/>
              <w:rPr>
                <w:rFonts w:eastAsia="Times New Roman" w:cs="Arial"/>
                <w:szCs w:val="24"/>
              </w:rPr>
            </w:pPr>
          </w:p>
        </w:tc>
        <w:tc>
          <w:tcPr>
            <w:tcW w:w="2410" w:type="dxa"/>
            <w:tcBorders>
              <w:top w:val="nil"/>
              <w:left w:val="nil"/>
              <w:bottom w:val="single" w:sz="4" w:space="0" w:color="auto"/>
              <w:right w:val="nil"/>
            </w:tcBorders>
            <w:vAlign w:val="center"/>
          </w:tcPr>
          <w:p w14:paraId="59E25E5C" w14:textId="77777777" w:rsidR="003F0CDB" w:rsidRPr="00EA0DC7" w:rsidRDefault="003F0CDB" w:rsidP="00957911">
            <w:pPr>
              <w:spacing w:line="240" w:lineRule="auto"/>
              <w:jc w:val="center"/>
              <w:rPr>
                <w:rFonts w:eastAsia="Times New Roman" w:cs="Arial"/>
                <w:szCs w:val="24"/>
              </w:rPr>
            </w:pPr>
          </w:p>
        </w:tc>
        <w:tc>
          <w:tcPr>
            <w:tcW w:w="1701" w:type="dxa"/>
            <w:tcBorders>
              <w:top w:val="nil"/>
              <w:left w:val="nil"/>
              <w:bottom w:val="single" w:sz="4" w:space="0" w:color="auto"/>
              <w:right w:val="nil"/>
            </w:tcBorders>
            <w:vAlign w:val="center"/>
          </w:tcPr>
          <w:p w14:paraId="5C4AD549"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nil"/>
              <w:left w:val="nil"/>
              <w:bottom w:val="single" w:sz="4" w:space="0" w:color="auto"/>
              <w:right w:val="nil"/>
            </w:tcBorders>
            <w:vAlign w:val="center"/>
          </w:tcPr>
          <w:p w14:paraId="3DE53C38" w14:textId="77777777" w:rsidR="003F0CDB" w:rsidRPr="00EA0DC7" w:rsidRDefault="003F0CDB" w:rsidP="00957911">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bottom w:val="single" w:sz="4" w:space="0" w:color="auto"/>
              <w:right w:val="nil"/>
            </w:tcBorders>
            <w:vAlign w:val="center"/>
          </w:tcPr>
          <w:p w14:paraId="1E43FCFF" w14:textId="77777777" w:rsidR="003F0CDB" w:rsidRPr="00EA0DC7" w:rsidRDefault="003F0CDB" w:rsidP="00957911">
            <w:pPr>
              <w:spacing w:line="240" w:lineRule="auto"/>
              <w:jc w:val="center"/>
              <w:rPr>
                <w:rFonts w:eastAsia="Times New Roman" w:cs="Arial"/>
                <w:szCs w:val="24"/>
              </w:rPr>
            </w:pPr>
          </w:p>
        </w:tc>
      </w:tr>
    </w:tbl>
    <w:p w14:paraId="2ABC8826" w14:textId="77777777" w:rsidR="00817A09" w:rsidRPr="00EA0DC7" w:rsidRDefault="00817A09" w:rsidP="00817A09">
      <w:pPr>
        <w:spacing w:before="240" w:line="240" w:lineRule="auto"/>
        <w:jc w:val="center"/>
        <w:rPr>
          <w:rFonts w:eastAsia="Times New Roman" w:cs="Arial"/>
          <w:b/>
          <w:bCs/>
          <w:szCs w:val="24"/>
        </w:rPr>
        <w:sectPr w:rsidR="00817A09" w:rsidRPr="00EA0DC7" w:rsidSect="001A0398">
          <w:pgSz w:w="16838" w:h="11906" w:orient="landscape"/>
          <w:pgMar w:top="1440" w:right="1440" w:bottom="2268" w:left="1440" w:header="709" w:footer="709" w:gutter="0"/>
          <w:cols w:space="708"/>
          <w:docGrid w:linePitch="360"/>
        </w:sectPr>
      </w:pPr>
    </w:p>
    <w:tbl>
      <w:tblPr>
        <w:tblW w:w="13467" w:type="dxa"/>
        <w:tblLayout w:type="fixed"/>
        <w:tblLook w:val="04A0" w:firstRow="1" w:lastRow="0" w:firstColumn="1" w:lastColumn="0" w:noHBand="0" w:noVBand="1"/>
      </w:tblPr>
      <w:tblGrid>
        <w:gridCol w:w="3261"/>
        <w:gridCol w:w="1984"/>
        <w:gridCol w:w="2410"/>
        <w:gridCol w:w="1701"/>
        <w:gridCol w:w="1985"/>
        <w:gridCol w:w="2126"/>
      </w:tblGrid>
      <w:tr w:rsidR="00817A09" w:rsidRPr="00EA0DC7" w14:paraId="3E9AA6E9" w14:textId="77777777" w:rsidTr="00817A09">
        <w:trPr>
          <w:trHeight w:val="283"/>
        </w:trPr>
        <w:tc>
          <w:tcPr>
            <w:tcW w:w="3261" w:type="dxa"/>
            <w:tcBorders>
              <w:top w:val="single" w:sz="4" w:space="0" w:color="auto"/>
              <w:left w:val="nil"/>
              <w:bottom w:val="single" w:sz="4" w:space="0" w:color="auto"/>
              <w:right w:val="nil"/>
            </w:tcBorders>
            <w:shd w:val="clear" w:color="auto" w:fill="auto"/>
            <w:vAlign w:val="center"/>
          </w:tcPr>
          <w:p w14:paraId="3D25613A" w14:textId="3840D873"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vAlign w:val="center"/>
          </w:tcPr>
          <w:p w14:paraId="5E0FBFBE" w14:textId="4A69A311"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Transference and/ or parallel processes</w:t>
            </w:r>
          </w:p>
        </w:tc>
        <w:tc>
          <w:tcPr>
            <w:tcW w:w="2410" w:type="dxa"/>
            <w:tcBorders>
              <w:top w:val="single" w:sz="4" w:space="0" w:color="auto"/>
              <w:left w:val="nil"/>
              <w:bottom w:val="single" w:sz="4" w:space="0" w:color="auto"/>
              <w:right w:val="nil"/>
            </w:tcBorders>
            <w:vAlign w:val="center"/>
          </w:tcPr>
          <w:p w14:paraId="1D3BB56A" w14:textId="51A1B105"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Acknowledgement of wider context of therapy process</w:t>
            </w:r>
          </w:p>
        </w:tc>
        <w:tc>
          <w:tcPr>
            <w:tcW w:w="1701" w:type="dxa"/>
            <w:tcBorders>
              <w:top w:val="single" w:sz="4" w:space="0" w:color="auto"/>
              <w:left w:val="nil"/>
              <w:bottom w:val="single" w:sz="4" w:space="0" w:color="auto"/>
              <w:right w:val="nil"/>
            </w:tcBorders>
            <w:vAlign w:val="center"/>
          </w:tcPr>
          <w:p w14:paraId="16AB71BC" w14:textId="4310F198"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Stage/ level/ step model</w:t>
            </w:r>
          </w:p>
        </w:tc>
        <w:tc>
          <w:tcPr>
            <w:tcW w:w="1985" w:type="dxa"/>
            <w:tcBorders>
              <w:top w:val="single" w:sz="4" w:space="0" w:color="auto"/>
              <w:left w:val="nil"/>
              <w:bottom w:val="single" w:sz="4" w:space="0" w:color="auto"/>
              <w:right w:val="nil"/>
            </w:tcBorders>
            <w:vAlign w:val="center"/>
          </w:tcPr>
          <w:p w14:paraId="4A37050D" w14:textId="7C1139D1"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mainly on trainee rather than therapist</w:t>
            </w:r>
          </w:p>
        </w:tc>
        <w:tc>
          <w:tcPr>
            <w:tcW w:w="2126" w:type="dxa"/>
            <w:tcBorders>
              <w:top w:val="single" w:sz="4" w:space="0" w:color="auto"/>
              <w:left w:val="nil"/>
              <w:bottom w:val="single" w:sz="4" w:space="0" w:color="auto"/>
              <w:right w:val="nil"/>
            </w:tcBorders>
            <w:vAlign w:val="center"/>
          </w:tcPr>
          <w:p w14:paraId="3BC98FB3" w14:textId="3BE412D1"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on solutions/ strengths over problems</w:t>
            </w:r>
          </w:p>
        </w:tc>
      </w:tr>
      <w:tr w:rsidR="00817A09" w:rsidRPr="00EA0DC7" w14:paraId="37758B38" w14:textId="77777777" w:rsidTr="00817A09">
        <w:trPr>
          <w:trHeight w:val="283"/>
        </w:trPr>
        <w:tc>
          <w:tcPr>
            <w:tcW w:w="3261" w:type="dxa"/>
            <w:tcBorders>
              <w:top w:val="single" w:sz="4" w:space="0" w:color="auto"/>
              <w:left w:val="nil"/>
              <w:right w:val="nil"/>
            </w:tcBorders>
            <w:shd w:val="clear" w:color="auto" w:fill="auto"/>
            <w:vAlign w:val="bottom"/>
            <w:hideMark/>
          </w:tcPr>
          <w:p w14:paraId="086D7206" w14:textId="77777777" w:rsidR="00817A09" w:rsidRPr="00EA0DC7" w:rsidRDefault="00817A09" w:rsidP="00817A09">
            <w:pPr>
              <w:spacing w:before="240" w:line="240" w:lineRule="auto"/>
              <w:rPr>
                <w:rFonts w:eastAsia="Times New Roman" w:cs="Arial"/>
                <w:szCs w:val="24"/>
              </w:rPr>
            </w:pPr>
            <w:r w:rsidRPr="00EA0DC7">
              <w:rPr>
                <w:rFonts w:eastAsia="Times New Roman" w:cs="Arial"/>
                <w:szCs w:val="24"/>
              </w:rPr>
              <w:t>Holloway (1995)</w:t>
            </w:r>
          </w:p>
        </w:tc>
        <w:tc>
          <w:tcPr>
            <w:tcW w:w="1984" w:type="dxa"/>
            <w:tcBorders>
              <w:top w:val="single" w:sz="4" w:space="0" w:color="auto"/>
              <w:left w:val="nil"/>
              <w:right w:val="nil"/>
            </w:tcBorders>
            <w:vAlign w:val="center"/>
          </w:tcPr>
          <w:p w14:paraId="69BC02D4" w14:textId="77777777" w:rsidR="00817A09" w:rsidRPr="00EA0DC7" w:rsidRDefault="00817A09" w:rsidP="00817A09">
            <w:pPr>
              <w:spacing w:before="240" w:line="240" w:lineRule="auto"/>
              <w:jc w:val="center"/>
              <w:rPr>
                <w:rFonts w:eastAsia="Times New Roman" w:cs="Arial"/>
                <w:szCs w:val="24"/>
              </w:rPr>
            </w:pPr>
          </w:p>
        </w:tc>
        <w:tc>
          <w:tcPr>
            <w:tcW w:w="2410" w:type="dxa"/>
            <w:tcBorders>
              <w:top w:val="single" w:sz="4" w:space="0" w:color="auto"/>
              <w:left w:val="nil"/>
              <w:right w:val="nil"/>
            </w:tcBorders>
            <w:vAlign w:val="center"/>
          </w:tcPr>
          <w:p w14:paraId="6CC57720" w14:textId="77777777" w:rsidR="00817A09" w:rsidRPr="00EA0DC7" w:rsidRDefault="00817A09" w:rsidP="00817A09">
            <w:pPr>
              <w:spacing w:before="240" w:line="240" w:lineRule="auto"/>
              <w:jc w:val="center"/>
              <w:rPr>
                <w:rFonts w:eastAsia="Times New Roman" w:cs="Arial"/>
                <w:szCs w:val="24"/>
              </w:rPr>
            </w:pPr>
          </w:p>
        </w:tc>
        <w:tc>
          <w:tcPr>
            <w:tcW w:w="1701" w:type="dxa"/>
            <w:tcBorders>
              <w:top w:val="single" w:sz="4" w:space="0" w:color="auto"/>
              <w:left w:val="nil"/>
              <w:right w:val="nil"/>
            </w:tcBorders>
            <w:vAlign w:val="center"/>
          </w:tcPr>
          <w:p w14:paraId="6E77E6FB" w14:textId="77777777" w:rsidR="00817A09" w:rsidRPr="00EA0DC7" w:rsidRDefault="00817A09"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single" w:sz="4" w:space="0" w:color="auto"/>
              <w:left w:val="nil"/>
              <w:right w:val="nil"/>
            </w:tcBorders>
            <w:vAlign w:val="center"/>
          </w:tcPr>
          <w:p w14:paraId="08E51BCE" w14:textId="77777777" w:rsidR="00817A09" w:rsidRPr="00EA0DC7" w:rsidRDefault="00817A09"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single" w:sz="4" w:space="0" w:color="auto"/>
              <w:left w:val="nil"/>
              <w:right w:val="nil"/>
            </w:tcBorders>
            <w:vAlign w:val="center"/>
          </w:tcPr>
          <w:p w14:paraId="5868619C" w14:textId="77777777" w:rsidR="00817A09" w:rsidRPr="00EA0DC7" w:rsidRDefault="00817A09" w:rsidP="00817A09">
            <w:pPr>
              <w:spacing w:before="240" w:line="240" w:lineRule="auto"/>
              <w:jc w:val="center"/>
              <w:rPr>
                <w:rFonts w:eastAsia="Times New Roman" w:cs="Arial"/>
                <w:szCs w:val="24"/>
              </w:rPr>
            </w:pPr>
          </w:p>
        </w:tc>
      </w:tr>
      <w:tr w:rsidR="00817A09" w:rsidRPr="00EA0DC7" w14:paraId="0011EECE" w14:textId="77777777" w:rsidTr="00817A09">
        <w:trPr>
          <w:trHeight w:val="401"/>
        </w:trPr>
        <w:tc>
          <w:tcPr>
            <w:tcW w:w="3261" w:type="dxa"/>
            <w:tcBorders>
              <w:top w:val="nil"/>
              <w:left w:val="nil"/>
              <w:right w:val="nil"/>
            </w:tcBorders>
            <w:shd w:val="clear" w:color="auto" w:fill="auto"/>
            <w:vAlign w:val="bottom"/>
            <w:hideMark/>
          </w:tcPr>
          <w:p w14:paraId="336AAC40"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Hipp &amp; Munson (1995)</w:t>
            </w:r>
          </w:p>
        </w:tc>
        <w:tc>
          <w:tcPr>
            <w:tcW w:w="1984" w:type="dxa"/>
            <w:tcBorders>
              <w:top w:val="nil"/>
              <w:left w:val="nil"/>
              <w:right w:val="nil"/>
            </w:tcBorders>
            <w:vAlign w:val="center"/>
          </w:tcPr>
          <w:p w14:paraId="1E5EE2FA" w14:textId="77777777" w:rsidR="00817A09" w:rsidRPr="00EA0DC7" w:rsidRDefault="00817A09" w:rsidP="00817A09">
            <w:pPr>
              <w:spacing w:line="240" w:lineRule="auto"/>
              <w:jc w:val="center"/>
              <w:rPr>
                <w:rFonts w:eastAsia="Times New Roman" w:cs="Arial"/>
                <w:szCs w:val="24"/>
              </w:rPr>
            </w:pPr>
          </w:p>
        </w:tc>
        <w:tc>
          <w:tcPr>
            <w:tcW w:w="2410" w:type="dxa"/>
            <w:tcBorders>
              <w:top w:val="nil"/>
              <w:left w:val="nil"/>
              <w:right w:val="nil"/>
            </w:tcBorders>
            <w:vAlign w:val="center"/>
          </w:tcPr>
          <w:p w14:paraId="39364E7D"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right w:val="nil"/>
            </w:tcBorders>
            <w:vAlign w:val="center"/>
          </w:tcPr>
          <w:p w14:paraId="736DD7B1"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nil"/>
              <w:left w:val="nil"/>
              <w:right w:val="nil"/>
            </w:tcBorders>
            <w:vAlign w:val="center"/>
          </w:tcPr>
          <w:p w14:paraId="57F889AD"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74C68CBC" w14:textId="77777777" w:rsidR="00817A09" w:rsidRPr="00EA0DC7" w:rsidRDefault="00817A09" w:rsidP="00817A09">
            <w:pPr>
              <w:spacing w:line="240" w:lineRule="auto"/>
              <w:jc w:val="center"/>
              <w:rPr>
                <w:rFonts w:eastAsia="Times New Roman" w:cs="Arial"/>
                <w:szCs w:val="24"/>
              </w:rPr>
            </w:pPr>
          </w:p>
        </w:tc>
      </w:tr>
      <w:tr w:rsidR="00817A09" w:rsidRPr="00EA0DC7" w14:paraId="5062CC70" w14:textId="77777777" w:rsidTr="00817A09">
        <w:trPr>
          <w:trHeight w:val="283"/>
        </w:trPr>
        <w:tc>
          <w:tcPr>
            <w:tcW w:w="3261" w:type="dxa"/>
            <w:tcBorders>
              <w:left w:val="nil"/>
              <w:right w:val="nil"/>
            </w:tcBorders>
            <w:shd w:val="clear" w:color="auto" w:fill="auto"/>
            <w:vAlign w:val="bottom"/>
            <w:hideMark/>
          </w:tcPr>
          <w:p w14:paraId="4B02F488"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Carroll (1996)</w:t>
            </w:r>
          </w:p>
        </w:tc>
        <w:tc>
          <w:tcPr>
            <w:tcW w:w="1984" w:type="dxa"/>
            <w:tcBorders>
              <w:left w:val="nil"/>
              <w:right w:val="nil"/>
            </w:tcBorders>
            <w:vAlign w:val="center"/>
          </w:tcPr>
          <w:p w14:paraId="4B6BD8E1"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036BFE31" w14:textId="77777777" w:rsidR="00817A09" w:rsidRPr="00EA0DC7" w:rsidRDefault="00817A09" w:rsidP="00817A09">
            <w:pPr>
              <w:spacing w:line="240" w:lineRule="auto"/>
              <w:jc w:val="center"/>
              <w:rPr>
                <w:rFonts w:eastAsia="Times New Roman" w:cs="Arial"/>
                <w:szCs w:val="24"/>
              </w:rPr>
            </w:pPr>
          </w:p>
        </w:tc>
        <w:tc>
          <w:tcPr>
            <w:tcW w:w="1701" w:type="dxa"/>
            <w:tcBorders>
              <w:left w:val="nil"/>
              <w:right w:val="nil"/>
            </w:tcBorders>
            <w:vAlign w:val="center"/>
          </w:tcPr>
          <w:p w14:paraId="61035818"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585776B2" w14:textId="77777777" w:rsidR="00817A09" w:rsidRPr="00EA0DC7" w:rsidRDefault="00817A09" w:rsidP="00817A09">
            <w:pPr>
              <w:spacing w:line="240" w:lineRule="auto"/>
              <w:jc w:val="center"/>
              <w:rPr>
                <w:rFonts w:eastAsia="Times New Roman" w:cs="Arial"/>
                <w:szCs w:val="24"/>
              </w:rPr>
            </w:pPr>
          </w:p>
        </w:tc>
        <w:tc>
          <w:tcPr>
            <w:tcW w:w="2126" w:type="dxa"/>
            <w:tcBorders>
              <w:left w:val="nil"/>
              <w:right w:val="nil"/>
            </w:tcBorders>
            <w:vAlign w:val="center"/>
          </w:tcPr>
          <w:p w14:paraId="2E716CAC" w14:textId="77777777" w:rsidR="00817A09" w:rsidRPr="00EA0DC7" w:rsidRDefault="00817A09" w:rsidP="00817A09">
            <w:pPr>
              <w:spacing w:line="240" w:lineRule="auto"/>
              <w:jc w:val="center"/>
              <w:rPr>
                <w:rFonts w:eastAsia="Times New Roman" w:cs="Arial"/>
                <w:szCs w:val="24"/>
              </w:rPr>
            </w:pPr>
          </w:p>
        </w:tc>
      </w:tr>
      <w:tr w:rsidR="00817A09" w:rsidRPr="00EA0DC7" w14:paraId="462F80E3" w14:textId="77777777" w:rsidTr="00817A09">
        <w:trPr>
          <w:trHeight w:val="283"/>
        </w:trPr>
        <w:tc>
          <w:tcPr>
            <w:tcW w:w="3261" w:type="dxa"/>
            <w:tcBorders>
              <w:top w:val="nil"/>
              <w:left w:val="nil"/>
              <w:right w:val="nil"/>
            </w:tcBorders>
            <w:shd w:val="clear" w:color="auto" w:fill="auto"/>
            <w:vAlign w:val="bottom"/>
            <w:hideMark/>
          </w:tcPr>
          <w:p w14:paraId="7949C93D"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Carroll (1996)</w:t>
            </w:r>
          </w:p>
        </w:tc>
        <w:tc>
          <w:tcPr>
            <w:tcW w:w="1984" w:type="dxa"/>
            <w:tcBorders>
              <w:top w:val="nil"/>
              <w:left w:val="nil"/>
              <w:right w:val="nil"/>
            </w:tcBorders>
            <w:vAlign w:val="center"/>
          </w:tcPr>
          <w:p w14:paraId="1EBA2039" w14:textId="77777777" w:rsidR="00817A09" w:rsidRPr="00EA0DC7" w:rsidRDefault="00817A09" w:rsidP="00817A09">
            <w:pPr>
              <w:spacing w:line="240" w:lineRule="auto"/>
              <w:jc w:val="center"/>
              <w:rPr>
                <w:rFonts w:eastAsia="Times New Roman" w:cs="Arial"/>
                <w:szCs w:val="24"/>
              </w:rPr>
            </w:pPr>
          </w:p>
        </w:tc>
        <w:tc>
          <w:tcPr>
            <w:tcW w:w="2410" w:type="dxa"/>
            <w:tcBorders>
              <w:top w:val="nil"/>
              <w:left w:val="nil"/>
              <w:right w:val="nil"/>
            </w:tcBorders>
            <w:vAlign w:val="center"/>
          </w:tcPr>
          <w:p w14:paraId="6572F64F"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right w:val="nil"/>
            </w:tcBorders>
            <w:vAlign w:val="center"/>
          </w:tcPr>
          <w:p w14:paraId="0660191B"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right w:val="nil"/>
            </w:tcBorders>
            <w:vAlign w:val="center"/>
          </w:tcPr>
          <w:p w14:paraId="2FAFE392" w14:textId="77777777" w:rsidR="00817A09" w:rsidRPr="00EA0DC7" w:rsidRDefault="00817A09" w:rsidP="00817A09">
            <w:pPr>
              <w:spacing w:line="240" w:lineRule="auto"/>
              <w:jc w:val="center"/>
              <w:rPr>
                <w:rFonts w:eastAsia="Times New Roman" w:cs="Arial"/>
                <w:szCs w:val="24"/>
              </w:rPr>
            </w:pPr>
          </w:p>
        </w:tc>
        <w:tc>
          <w:tcPr>
            <w:tcW w:w="2126" w:type="dxa"/>
            <w:tcBorders>
              <w:top w:val="nil"/>
              <w:left w:val="nil"/>
              <w:right w:val="nil"/>
            </w:tcBorders>
            <w:vAlign w:val="center"/>
          </w:tcPr>
          <w:p w14:paraId="09BA2BD0"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r>
      <w:tr w:rsidR="00817A09" w:rsidRPr="00EA0DC7" w14:paraId="070E454F" w14:textId="77777777" w:rsidTr="00817A09">
        <w:trPr>
          <w:trHeight w:val="283"/>
        </w:trPr>
        <w:tc>
          <w:tcPr>
            <w:tcW w:w="3261" w:type="dxa"/>
            <w:tcBorders>
              <w:left w:val="nil"/>
              <w:bottom w:val="nil"/>
              <w:right w:val="nil"/>
            </w:tcBorders>
            <w:shd w:val="clear" w:color="auto" w:fill="auto"/>
            <w:vAlign w:val="bottom"/>
            <w:hideMark/>
          </w:tcPr>
          <w:p w14:paraId="27705264"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Haber (1996)</w:t>
            </w:r>
          </w:p>
        </w:tc>
        <w:tc>
          <w:tcPr>
            <w:tcW w:w="1984" w:type="dxa"/>
            <w:tcBorders>
              <w:left w:val="nil"/>
              <w:bottom w:val="nil"/>
              <w:right w:val="nil"/>
            </w:tcBorders>
            <w:vAlign w:val="center"/>
          </w:tcPr>
          <w:p w14:paraId="1B159C93" w14:textId="77777777" w:rsidR="00817A09" w:rsidRPr="00EA0DC7" w:rsidRDefault="00817A09" w:rsidP="00817A09">
            <w:pPr>
              <w:spacing w:line="240" w:lineRule="auto"/>
              <w:jc w:val="center"/>
              <w:rPr>
                <w:rFonts w:eastAsia="Times New Roman" w:cs="Arial"/>
                <w:szCs w:val="24"/>
              </w:rPr>
            </w:pPr>
          </w:p>
        </w:tc>
        <w:tc>
          <w:tcPr>
            <w:tcW w:w="2410" w:type="dxa"/>
            <w:tcBorders>
              <w:left w:val="nil"/>
              <w:bottom w:val="nil"/>
              <w:right w:val="nil"/>
            </w:tcBorders>
            <w:vAlign w:val="center"/>
          </w:tcPr>
          <w:p w14:paraId="27246981" w14:textId="77777777" w:rsidR="00817A09" w:rsidRPr="00EA0DC7" w:rsidRDefault="00817A09" w:rsidP="00817A09">
            <w:pPr>
              <w:spacing w:line="240" w:lineRule="auto"/>
              <w:jc w:val="center"/>
              <w:rPr>
                <w:rFonts w:eastAsia="Times New Roman" w:cs="Arial"/>
                <w:szCs w:val="24"/>
              </w:rPr>
            </w:pPr>
          </w:p>
        </w:tc>
        <w:tc>
          <w:tcPr>
            <w:tcW w:w="1701" w:type="dxa"/>
            <w:tcBorders>
              <w:left w:val="nil"/>
              <w:bottom w:val="nil"/>
              <w:right w:val="nil"/>
            </w:tcBorders>
            <w:vAlign w:val="center"/>
          </w:tcPr>
          <w:p w14:paraId="3AF032E2" w14:textId="77777777" w:rsidR="00817A09" w:rsidRPr="00EA0DC7" w:rsidRDefault="00817A09" w:rsidP="00817A09">
            <w:pPr>
              <w:spacing w:line="240" w:lineRule="auto"/>
              <w:jc w:val="center"/>
              <w:rPr>
                <w:rFonts w:eastAsia="Times New Roman" w:cs="Arial"/>
                <w:szCs w:val="24"/>
              </w:rPr>
            </w:pPr>
          </w:p>
        </w:tc>
        <w:tc>
          <w:tcPr>
            <w:tcW w:w="1985" w:type="dxa"/>
            <w:tcBorders>
              <w:left w:val="nil"/>
              <w:bottom w:val="nil"/>
              <w:right w:val="nil"/>
            </w:tcBorders>
            <w:vAlign w:val="center"/>
          </w:tcPr>
          <w:p w14:paraId="2BDCEAB5"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bottom w:val="nil"/>
              <w:right w:val="nil"/>
            </w:tcBorders>
            <w:vAlign w:val="center"/>
          </w:tcPr>
          <w:p w14:paraId="5524FD17" w14:textId="77777777" w:rsidR="00817A09" w:rsidRPr="00EA0DC7" w:rsidRDefault="00817A09" w:rsidP="00817A09">
            <w:pPr>
              <w:spacing w:line="240" w:lineRule="auto"/>
              <w:jc w:val="center"/>
              <w:rPr>
                <w:rFonts w:eastAsia="Times New Roman" w:cs="Arial"/>
                <w:szCs w:val="24"/>
              </w:rPr>
            </w:pPr>
          </w:p>
        </w:tc>
      </w:tr>
      <w:tr w:rsidR="00817A09" w:rsidRPr="00EA0DC7" w14:paraId="75AF32F9" w14:textId="77777777" w:rsidTr="00817A09">
        <w:trPr>
          <w:trHeight w:val="135"/>
        </w:trPr>
        <w:tc>
          <w:tcPr>
            <w:tcW w:w="3261" w:type="dxa"/>
            <w:tcBorders>
              <w:top w:val="nil"/>
              <w:left w:val="nil"/>
              <w:bottom w:val="nil"/>
              <w:right w:val="nil"/>
            </w:tcBorders>
            <w:shd w:val="clear" w:color="auto" w:fill="auto"/>
            <w:vAlign w:val="bottom"/>
            <w:hideMark/>
          </w:tcPr>
          <w:p w14:paraId="49859508"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Liese &amp; Beck (1997)</w:t>
            </w:r>
          </w:p>
        </w:tc>
        <w:tc>
          <w:tcPr>
            <w:tcW w:w="1984" w:type="dxa"/>
            <w:tcBorders>
              <w:top w:val="nil"/>
              <w:left w:val="nil"/>
              <w:bottom w:val="nil"/>
              <w:right w:val="nil"/>
            </w:tcBorders>
            <w:vAlign w:val="center"/>
          </w:tcPr>
          <w:p w14:paraId="24B329A0"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nil"/>
              <w:right w:val="nil"/>
            </w:tcBorders>
            <w:vAlign w:val="center"/>
          </w:tcPr>
          <w:p w14:paraId="0850B12D"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bottom w:val="nil"/>
              <w:right w:val="nil"/>
            </w:tcBorders>
            <w:vAlign w:val="center"/>
          </w:tcPr>
          <w:p w14:paraId="1AA9BADB"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bottom w:val="nil"/>
              <w:right w:val="nil"/>
            </w:tcBorders>
            <w:vAlign w:val="center"/>
          </w:tcPr>
          <w:p w14:paraId="7C721D2D" w14:textId="77777777" w:rsidR="00817A09" w:rsidRPr="00EA0DC7" w:rsidRDefault="00817A09" w:rsidP="00817A09">
            <w:pPr>
              <w:spacing w:line="240" w:lineRule="auto"/>
              <w:jc w:val="center"/>
              <w:rPr>
                <w:rFonts w:eastAsia="Times New Roman" w:cs="Arial"/>
                <w:szCs w:val="24"/>
              </w:rPr>
            </w:pPr>
          </w:p>
        </w:tc>
        <w:tc>
          <w:tcPr>
            <w:tcW w:w="2126" w:type="dxa"/>
            <w:tcBorders>
              <w:top w:val="nil"/>
              <w:left w:val="nil"/>
              <w:bottom w:val="nil"/>
              <w:right w:val="nil"/>
            </w:tcBorders>
            <w:vAlign w:val="center"/>
          </w:tcPr>
          <w:p w14:paraId="40D63B56"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r>
      <w:tr w:rsidR="00817A09" w:rsidRPr="00EA0DC7" w14:paraId="76B9DB08" w14:textId="77777777" w:rsidTr="00817A09">
        <w:trPr>
          <w:trHeight w:val="283"/>
        </w:trPr>
        <w:tc>
          <w:tcPr>
            <w:tcW w:w="3261" w:type="dxa"/>
            <w:tcBorders>
              <w:top w:val="nil"/>
              <w:left w:val="nil"/>
              <w:right w:val="nil"/>
            </w:tcBorders>
            <w:shd w:val="clear" w:color="auto" w:fill="auto"/>
            <w:vAlign w:val="bottom"/>
            <w:hideMark/>
          </w:tcPr>
          <w:p w14:paraId="5D436767"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Ward &amp; House (1998)</w:t>
            </w:r>
          </w:p>
        </w:tc>
        <w:tc>
          <w:tcPr>
            <w:tcW w:w="1984" w:type="dxa"/>
            <w:tcBorders>
              <w:top w:val="nil"/>
              <w:left w:val="nil"/>
              <w:right w:val="nil"/>
            </w:tcBorders>
            <w:vAlign w:val="center"/>
          </w:tcPr>
          <w:p w14:paraId="7DE2B873"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7DCB1267"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728DF8B8"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right w:val="nil"/>
            </w:tcBorders>
            <w:vAlign w:val="center"/>
          </w:tcPr>
          <w:p w14:paraId="4B8B9C0F" w14:textId="77777777" w:rsidR="00817A09" w:rsidRPr="00EA0DC7" w:rsidRDefault="00817A09" w:rsidP="00817A09">
            <w:pPr>
              <w:spacing w:line="240" w:lineRule="auto"/>
              <w:jc w:val="center"/>
              <w:rPr>
                <w:rFonts w:eastAsia="Times New Roman" w:cs="Arial"/>
                <w:szCs w:val="24"/>
              </w:rPr>
            </w:pPr>
          </w:p>
        </w:tc>
        <w:tc>
          <w:tcPr>
            <w:tcW w:w="2126" w:type="dxa"/>
            <w:tcBorders>
              <w:top w:val="nil"/>
              <w:left w:val="nil"/>
              <w:right w:val="nil"/>
            </w:tcBorders>
            <w:vAlign w:val="center"/>
          </w:tcPr>
          <w:p w14:paraId="45EED6F9" w14:textId="77777777" w:rsidR="00817A09" w:rsidRPr="00EA0DC7" w:rsidRDefault="00817A09" w:rsidP="00817A09">
            <w:pPr>
              <w:spacing w:line="240" w:lineRule="auto"/>
              <w:jc w:val="center"/>
              <w:rPr>
                <w:rFonts w:eastAsia="Times New Roman" w:cs="Arial"/>
                <w:szCs w:val="24"/>
              </w:rPr>
            </w:pPr>
          </w:p>
        </w:tc>
      </w:tr>
      <w:tr w:rsidR="00817A09" w:rsidRPr="00EA0DC7" w14:paraId="2A6F7A29" w14:textId="77777777" w:rsidTr="00817A09">
        <w:trPr>
          <w:trHeight w:val="283"/>
        </w:trPr>
        <w:tc>
          <w:tcPr>
            <w:tcW w:w="3261" w:type="dxa"/>
            <w:tcBorders>
              <w:top w:val="nil"/>
              <w:left w:val="nil"/>
              <w:right w:val="nil"/>
            </w:tcBorders>
            <w:shd w:val="clear" w:color="auto" w:fill="auto"/>
            <w:vAlign w:val="bottom"/>
            <w:hideMark/>
          </w:tcPr>
          <w:p w14:paraId="5314B42C"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Bob (1999)</w:t>
            </w:r>
          </w:p>
        </w:tc>
        <w:tc>
          <w:tcPr>
            <w:tcW w:w="1984" w:type="dxa"/>
            <w:tcBorders>
              <w:top w:val="nil"/>
              <w:left w:val="nil"/>
              <w:right w:val="nil"/>
            </w:tcBorders>
            <w:vAlign w:val="center"/>
          </w:tcPr>
          <w:p w14:paraId="5C50D5F9"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242D9111"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top w:val="nil"/>
              <w:left w:val="nil"/>
              <w:right w:val="nil"/>
            </w:tcBorders>
            <w:vAlign w:val="center"/>
          </w:tcPr>
          <w:p w14:paraId="03230A54"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right w:val="nil"/>
            </w:tcBorders>
            <w:vAlign w:val="center"/>
          </w:tcPr>
          <w:p w14:paraId="724FE120" w14:textId="77777777" w:rsidR="00817A09" w:rsidRPr="00EA0DC7" w:rsidRDefault="00817A09" w:rsidP="00817A09">
            <w:pPr>
              <w:spacing w:line="240" w:lineRule="auto"/>
              <w:jc w:val="center"/>
              <w:rPr>
                <w:rFonts w:eastAsia="Times New Roman" w:cs="Arial"/>
                <w:szCs w:val="24"/>
              </w:rPr>
            </w:pPr>
          </w:p>
        </w:tc>
        <w:tc>
          <w:tcPr>
            <w:tcW w:w="2126" w:type="dxa"/>
            <w:tcBorders>
              <w:top w:val="nil"/>
              <w:left w:val="nil"/>
              <w:right w:val="nil"/>
            </w:tcBorders>
            <w:vAlign w:val="center"/>
          </w:tcPr>
          <w:p w14:paraId="7D7C73B2" w14:textId="77777777" w:rsidR="00817A09" w:rsidRPr="00EA0DC7" w:rsidRDefault="00817A09" w:rsidP="00817A09">
            <w:pPr>
              <w:spacing w:line="240" w:lineRule="auto"/>
              <w:jc w:val="center"/>
              <w:rPr>
                <w:rFonts w:eastAsia="Times New Roman" w:cs="Arial"/>
                <w:szCs w:val="24"/>
              </w:rPr>
            </w:pPr>
          </w:p>
        </w:tc>
      </w:tr>
      <w:tr w:rsidR="00817A09" w:rsidRPr="00EA0DC7" w14:paraId="6572AE9A" w14:textId="77777777" w:rsidTr="00817A09">
        <w:trPr>
          <w:trHeight w:val="452"/>
        </w:trPr>
        <w:tc>
          <w:tcPr>
            <w:tcW w:w="3261" w:type="dxa"/>
            <w:tcBorders>
              <w:left w:val="nil"/>
              <w:right w:val="nil"/>
            </w:tcBorders>
            <w:shd w:val="clear" w:color="auto" w:fill="auto"/>
            <w:vAlign w:val="bottom"/>
            <w:hideMark/>
          </w:tcPr>
          <w:p w14:paraId="1B9F06FC"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Nelson &amp; Johnson (1999)</w:t>
            </w:r>
          </w:p>
        </w:tc>
        <w:tc>
          <w:tcPr>
            <w:tcW w:w="1984" w:type="dxa"/>
            <w:tcBorders>
              <w:left w:val="nil"/>
              <w:right w:val="nil"/>
            </w:tcBorders>
            <w:vAlign w:val="center"/>
          </w:tcPr>
          <w:p w14:paraId="3EDBB5CF" w14:textId="77777777" w:rsidR="00817A09" w:rsidRPr="00EA0DC7" w:rsidRDefault="00817A09" w:rsidP="00817A09">
            <w:pPr>
              <w:spacing w:line="240" w:lineRule="auto"/>
              <w:jc w:val="center"/>
              <w:rPr>
                <w:rFonts w:eastAsia="Times New Roman" w:cs="Arial"/>
                <w:szCs w:val="24"/>
              </w:rPr>
            </w:pPr>
          </w:p>
        </w:tc>
        <w:tc>
          <w:tcPr>
            <w:tcW w:w="2410" w:type="dxa"/>
            <w:tcBorders>
              <w:left w:val="nil"/>
              <w:right w:val="nil"/>
            </w:tcBorders>
            <w:vAlign w:val="center"/>
          </w:tcPr>
          <w:p w14:paraId="0DDA8BE3"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701" w:type="dxa"/>
            <w:tcBorders>
              <w:left w:val="nil"/>
              <w:right w:val="nil"/>
            </w:tcBorders>
            <w:vAlign w:val="center"/>
          </w:tcPr>
          <w:p w14:paraId="14353419"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581C5223" w14:textId="77777777" w:rsidR="00817A09" w:rsidRPr="00EA0DC7" w:rsidRDefault="00817A09" w:rsidP="00817A09">
            <w:pPr>
              <w:spacing w:line="240" w:lineRule="auto"/>
              <w:jc w:val="center"/>
              <w:rPr>
                <w:rFonts w:eastAsia="Times New Roman" w:cs="Arial"/>
                <w:szCs w:val="24"/>
              </w:rPr>
            </w:pPr>
          </w:p>
        </w:tc>
        <w:tc>
          <w:tcPr>
            <w:tcW w:w="2126" w:type="dxa"/>
            <w:tcBorders>
              <w:left w:val="nil"/>
              <w:right w:val="nil"/>
            </w:tcBorders>
            <w:vAlign w:val="center"/>
          </w:tcPr>
          <w:p w14:paraId="5187E540" w14:textId="77777777" w:rsidR="00817A09" w:rsidRPr="00EA0DC7" w:rsidRDefault="00817A09" w:rsidP="00817A09">
            <w:pPr>
              <w:spacing w:line="240" w:lineRule="auto"/>
              <w:jc w:val="center"/>
              <w:rPr>
                <w:rFonts w:eastAsia="Times New Roman" w:cs="Arial"/>
                <w:szCs w:val="24"/>
              </w:rPr>
            </w:pPr>
          </w:p>
        </w:tc>
      </w:tr>
      <w:tr w:rsidR="00817A09" w:rsidRPr="00EA0DC7" w14:paraId="4162B0A7" w14:textId="77777777" w:rsidTr="00817A09">
        <w:trPr>
          <w:trHeight w:val="283"/>
        </w:trPr>
        <w:tc>
          <w:tcPr>
            <w:tcW w:w="3261" w:type="dxa"/>
            <w:tcBorders>
              <w:left w:val="nil"/>
              <w:right w:val="nil"/>
            </w:tcBorders>
            <w:shd w:val="clear" w:color="auto" w:fill="auto"/>
            <w:vAlign w:val="bottom"/>
            <w:hideMark/>
          </w:tcPr>
          <w:p w14:paraId="7BA1286D"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Edwards &amp; Chen (1999)</w:t>
            </w:r>
          </w:p>
        </w:tc>
        <w:tc>
          <w:tcPr>
            <w:tcW w:w="1984" w:type="dxa"/>
            <w:tcBorders>
              <w:left w:val="nil"/>
              <w:right w:val="nil"/>
            </w:tcBorders>
            <w:vAlign w:val="center"/>
          </w:tcPr>
          <w:p w14:paraId="7098DFAC"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33C9AFEA" w14:textId="77777777" w:rsidR="00817A09" w:rsidRPr="00EA0DC7" w:rsidRDefault="00817A09" w:rsidP="00817A09">
            <w:pPr>
              <w:spacing w:line="240" w:lineRule="auto"/>
              <w:jc w:val="center"/>
              <w:rPr>
                <w:rFonts w:eastAsia="Times New Roman" w:cs="Arial"/>
                <w:szCs w:val="24"/>
              </w:rPr>
            </w:pPr>
          </w:p>
        </w:tc>
        <w:tc>
          <w:tcPr>
            <w:tcW w:w="1701" w:type="dxa"/>
            <w:tcBorders>
              <w:left w:val="nil"/>
              <w:right w:val="nil"/>
            </w:tcBorders>
            <w:vAlign w:val="center"/>
          </w:tcPr>
          <w:p w14:paraId="5B6E632C" w14:textId="77777777" w:rsidR="00817A09" w:rsidRPr="00EA0DC7" w:rsidRDefault="00817A09" w:rsidP="00817A09">
            <w:pPr>
              <w:spacing w:line="240" w:lineRule="auto"/>
              <w:jc w:val="center"/>
              <w:rPr>
                <w:rFonts w:eastAsia="Times New Roman" w:cs="Arial"/>
                <w:szCs w:val="24"/>
              </w:rPr>
            </w:pPr>
          </w:p>
        </w:tc>
        <w:tc>
          <w:tcPr>
            <w:tcW w:w="1985" w:type="dxa"/>
            <w:tcBorders>
              <w:left w:val="nil"/>
              <w:right w:val="nil"/>
            </w:tcBorders>
            <w:vAlign w:val="center"/>
          </w:tcPr>
          <w:p w14:paraId="34DF6D8B"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left w:val="nil"/>
              <w:right w:val="nil"/>
            </w:tcBorders>
            <w:vAlign w:val="center"/>
          </w:tcPr>
          <w:p w14:paraId="7A7A502C" w14:textId="77777777" w:rsidR="00817A09" w:rsidRPr="00EA0DC7" w:rsidRDefault="00817A09" w:rsidP="00817A09">
            <w:pPr>
              <w:spacing w:line="240" w:lineRule="auto"/>
              <w:jc w:val="center"/>
              <w:rPr>
                <w:rFonts w:eastAsia="Times New Roman" w:cs="Arial"/>
                <w:szCs w:val="24"/>
              </w:rPr>
            </w:pPr>
          </w:p>
        </w:tc>
      </w:tr>
      <w:tr w:rsidR="00817A09" w:rsidRPr="00EA0DC7" w14:paraId="075E4BE8" w14:textId="77777777" w:rsidTr="00817A09">
        <w:trPr>
          <w:trHeight w:val="283"/>
        </w:trPr>
        <w:tc>
          <w:tcPr>
            <w:tcW w:w="3261" w:type="dxa"/>
            <w:tcBorders>
              <w:left w:val="nil"/>
              <w:right w:val="nil"/>
            </w:tcBorders>
            <w:shd w:val="clear" w:color="auto" w:fill="auto"/>
            <w:vAlign w:val="bottom"/>
            <w:hideMark/>
          </w:tcPr>
          <w:p w14:paraId="021FDC80"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Granello (2000)</w:t>
            </w:r>
          </w:p>
        </w:tc>
        <w:tc>
          <w:tcPr>
            <w:tcW w:w="1984" w:type="dxa"/>
            <w:tcBorders>
              <w:left w:val="nil"/>
              <w:right w:val="nil"/>
            </w:tcBorders>
            <w:vAlign w:val="center"/>
          </w:tcPr>
          <w:p w14:paraId="1B5AC835"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04BF6B75" w14:textId="77777777" w:rsidR="00817A09" w:rsidRPr="00EA0DC7" w:rsidRDefault="00817A09" w:rsidP="00817A09">
            <w:pPr>
              <w:spacing w:line="240" w:lineRule="auto"/>
              <w:jc w:val="center"/>
              <w:rPr>
                <w:rFonts w:eastAsia="Times New Roman" w:cs="Arial"/>
                <w:szCs w:val="24"/>
              </w:rPr>
            </w:pPr>
          </w:p>
        </w:tc>
        <w:tc>
          <w:tcPr>
            <w:tcW w:w="1701" w:type="dxa"/>
            <w:tcBorders>
              <w:left w:val="nil"/>
              <w:right w:val="nil"/>
            </w:tcBorders>
            <w:vAlign w:val="center"/>
          </w:tcPr>
          <w:p w14:paraId="3E8A1596" w14:textId="77777777" w:rsidR="00817A09" w:rsidRPr="00EA0DC7" w:rsidRDefault="00817A09" w:rsidP="00817A09">
            <w:pPr>
              <w:spacing w:line="240" w:lineRule="auto"/>
              <w:jc w:val="center"/>
              <w:rPr>
                <w:rFonts w:eastAsia="Times New Roman" w:cs="Arial"/>
                <w:szCs w:val="24"/>
              </w:rPr>
            </w:pPr>
          </w:p>
        </w:tc>
        <w:tc>
          <w:tcPr>
            <w:tcW w:w="1985" w:type="dxa"/>
            <w:tcBorders>
              <w:left w:val="nil"/>
              <w:right w:val="nil"/>
            </w:tcBorders>
            <w:vAlign w:val="center"/>
          </w:tcPr>
          <w:p w14:paraId="526AEA2B" w14:textId="77777777" w:rsidR="00817A09" w:rsidRPr="00EA0DC7" w:rsidRDefault="00817A09" w:rsidP="00817A09">
            <w:pPr>
              <w:spacing w:line="240" w:lineRule="auto"/>
              <w:jc w:val="center"/>
              <w:rPr>
                <w:rFonts w:eastAsia="Times New Roman" w:cs="Arial"/>
                <w:szCs w:val="24"/>
              </w:rPr>
            </w:pPr>
          </w:p>
        </w:tc>
        <w:tc>
          <w:tcPr>
            <w:tcW w:w="2126" w:type="dxa"/>
            <w:tcBorders>
              <w:left w:val="nil"/>
              <w:right w:val="nil"/>
            </w:tcBorders>
            <w:vAlign w:val="center"/>
          </w:tcPr>
          <w:p w14:paraId="6AA642D1" w14:textId="77777777" w:rsidR="00817A09" w:rsidRPr="00EA0DC7" w:rsidRDefault="00817A09" w:rsidP="00817A09">
            <w:pPr>
              <w:spacing w:line="240" w:lineRule="auto"/>
              <w:jc w:val="center"/>
              <w:rPr>
                <w:rFonts w:eastAsia="Times New Roman" w:cs="Arial"/>
                <w:szCs w:val="24"/>
              </w:rPr>
            </w:pPr>
          </w:p>
        </w:tc>
      </w:tr>
      <w:tr w:rsidR="00817A09" w:rsidRPr="00EA0DC7" w14:paraId="067B9459" w14:textId="77777777" w:rsidTr="00817A09">
        <w:trPr>
          <w:trHeight w:val="283"/>
        </w:trPr>
        <w:tc>
          <w:tcPr>
            <w:tcW w:w="3261" w:type="dxa"/>
            <w:tcBorders>
              <w:left w:val="nil"/>
              <w:right w:val="nil"/>
            </w:tcBorders>
            <w:shd w:val="clear" w:color="auto" w:fill="auto"/>
            <w:vAlign w:val="bottom"/>
            <w:hideMark/>
          </w:tcPr>
          <w:p w14:paraId="4792C00C"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Gilbert &amp; Evans (2000)</w:t>
            </w:r>
          </w:p>
        </w:tc>
        <w:tc>
          <w:tcPr>
            <w:tcW w:w="1984" w:type="dxa"/>
            <w:tcBorders>
              <w:left w:val="nil"/>
              <w:right w:val="nil"/>
            </w:tcBorders>
            <w:vAlign w:val="center"/>
          </w:tcPr>
          <w:p w14:paraId="63DE721C"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left w:val="nil"/>
              <w:right w:val="nil"/>
            </w:tcBorders>
            <w:vAlign w:val="center"/>
          </w:tcPr>
          <w:p w14:paraId="67CC8FA2" w14:textId="77777777" w:rsidR="00817A09" w:rsidRPr="00EA0DC7" w:rsidRDefault="00817A09" w:rsidP="00817A09">
            <w:pPr>
              <w:spacing w:line="240" w:lineRule="auto"/>
              <w:jc w:val="center"/>
              <w:rPr>
                <w:rFonts w:eastAsia="Times New Roman" w:cs="Arial"/>
                <w:szCs w:val="24"/>
              </w:rPr>
            </w:pPr>
          </w:p>
        </w:tc>
        <w:tc>
          <w:tcPr>
            <w:tcW w:w="1701" w:type="dxa"/>
            <w:tcBorders>
              <w:left w:val="nil"/>
              <w:right w:val="nil"/>
            </w:tcBorders>
            <w:vAlign w:val="center"/>
          </w:tcPr>
          <w:p w14:paraId="2DAF3689" w14:textId="77777777" w:rsidR="00817A09" w:rsidRPr="00EA0DC7" w:rsidRDefault="00817A09" w:rsidP="00817A09">
            <w:pPr>
              <w:spacing w:line="240" w:lineRule="auto"/>
              <w:jc w:val="center"/>
              <w:rPr>
                <w:rFonts w:eastAsia="Times New Roman" w:cs="Arial"/>
                <w:szCs w:val="24"/>
              </w:rPr>
            </w:pPr>
          </w:p>
        </w:tc>
        <w:tc>
          <w:tcPr>
            <w:tcW w:w="1985" w:type="dxa"/>
            <w:tcBorders>
              <w:left w:val="nil"/>
              <w:right w:val="nil"/>
            </w:tcBorders>
            <w:vAlign w:val="center"/>
          </w:tcPr>
          <w:p w14:paraId="35CBE2D6" w14:textId="77777777" w:rsidR="00817A09" w:rsidRPr="00EA0DC7" w:rsidRDefault="00817A09" w:rsidP="00817A09">
            <w:pPr>
              <w:spacing w:line="240" w:lineRule="auto"/>
              <w:jc w:val="center"/>
              <w:rPr>
                <w:rFonts w:eastAsia="Times New Roman" w:cs="Arial"/>
                <w:szCs w:val="24"/>
              </w:rPr>
            </w:pPr>
          </w:p>
        </w:tc>
        <w:tc>
          <w:tcPr>
            <w:tcW w:w="2126" w:type="dxa"/>
            <w:tcBorders>
              <w:left w:val="nil"/>
              <w:right w:val="nil"/>
            </w:tcBorders>
            <w:vAlign w:val="center"/>
          </w:tcPr>
          <w:p w14:paraId="69CA0701" w14:textId="77777777" w:rsidR="00817A09" w:rsidRPr="00EA0DC7" w:rsidRDefault="00817A09" w:rsidP="00817A09">
            <w:pPr>
              <w:spacing w:line="240" w:lineRule="auto"/>
              <w:jc w:val="center"/>
              <w:rPr>
                <w:rFonts w:eastAsia="Times New Roman" w:cs="Arial"/>
                <w:szCs w:val="24"/>
              </w:rPr>
            </w:pPr>
          </w:p>
        </w:tc>
      </w:tr>
      <w:tr w:rsidR="00817A09" w:rsidRPr="00EA0DC7" w14:paraId="35800D4B" w14:textId="77777777" w:rsidTr="00817A09">
        <w:trPr>
          <w:trHeight w:val="283"/>
        </w:trPr>
        <w:tc>
          <w:tcPr>
            <w:tcW w:w="3261" w:type="dxa"/>
            <w:tcBorders>
              <w:left w:val="nil"/>
              <w:bottom w:val="single" w:sz="4" w:space="0" w:color="auto"/>
              <w:right w:val="nil"/>
            </w:tcBorders>
            <w:shd w:val="clear" w:color="auto" w:fill="auto"/>
            <w:vAlign w:val="bottom"/>
            <w:hideMark/>
          </w:tcPr>
          <w:p w14:paraId="4DF6CBC9"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 xml:space="preserve">Scaife (2001) </w:t>
            </w:r>
          </w:p>
        </w:tc>
        <w:tc>
          <w:tcPr>
            <w:tcW w:w="1984" w:type="dxa"/>
            <w:tcBorders>
              <w:left w:val="nil"/>
              <w:bottom w:val="single" w:sz="4" w:space="0" w:color="auto"/>
              <w:right w:val="nil"/>
            </w:tcBorders>
            <w:vAlign w:val="center"/>
          </w:tcPr>
          <w:p w14:paraId="0FF4B35E" w14:textId="77777777" w:rsidR="00817A09" w:rsidRPr="00EA0DC7" w:rsidRDefault="00817A09" w:rsidP="00817A09">
            <w:pPr>
              <w:spacing w:line="240" w:lineRule="auto"/>
              <w:jc w:val="center"/>
              <w:rPr>
                <w:rFonts w:eastAsia="Times New Roman" w:cs="Arial"/>
                <w:szCs w:val="24"/>
              </w:rPr>
            </w:pPr>
          </w:p>
        </w:tc>
        <w:tc>
          <w:tcPr>
            <w:tcW w:w="2410" w:type="dxa"/>
            <w:tcBorders>
              <w:left w:val="nil"/>
              <w:bottom w:val="single" w:sz="4" w:space="0" w:color="auto"/>
              <w:right w:val="nil"/>
            </w:tcBorders>
            <w:vAlign w:val="center"/>
          </w:tcPr>
          <w:p w14:paraId="3991CC5B" w14:textId="77777777" w:rsidR="00817A09" w:rsidRPr="00EA0DC7" w:rsidRDefault="00817A09" w:rsidP="00817A09">
            <w:pPr>
              <w:spacing w:line="240" w:lineRule="auto"/>
              <w:jc w:val="center"/>
              <w:rPr>
                <w:rFonts w:eastAsia="Times New Roman" w:cs="Arial"/>
                <w:szCs w:val="24"/>
              </w:rPr>
            </w:pPr>
          </w:p>
        </w:tc>
        <w:tc>
          <w:tcPr>
            <w:tcW w:w="1701" w:type="dxa"/>
            <w:tcBorders>
              <w:left w:val="nil"/>
              <w:bottom w:val="single" w:sz="4" w:space="0" w:color="auto"/>
              <w:right w:val="nil"/>
            </w:tcBorders>
            <w:vAlign w:val="center"/>
          </w:tcPr>
          <w:p w14:paraId="2959832C" w14:textId="77777777" w:rsidR="00817A09" w:rsidRPr="00EA0DC7" w:rsidRDefault="00817A09" w:rsidP="00817A09">
            <w:pPr>
              <w:spacing w:line="240" w:lineRule="auto"/>
              <w:jc w:val="center"/>
              <w:rPr>
                <w:rFonts w:eastAsia="Times New Roman" w:cs="Arial"/>
                <w:szCs w:val="24"/>
              </w:rPr>
            </w:pPr>
          </w:p>
        </w:tc>
        <w:tc>
          <w:tcPr>
            <w:tcW w:w="1985" w:type="dxa"/>
            <w:tcBorders>
              <w:left w:val="nil"/>
              <w:bottom w:val="single" w:sz="4" w:space="0" w:color="auto"/>
              <w:right w:val="nil"/>
            </w:tcBorders>
            <w:vAlign w:val="center"/>
          </w:tcPr>
          <w:p w14:paraId="6A09E6BB" w14:textId="77777777" w:rsidR="00817A09" w:rsidRPr="00EA0DC7" w:rsidRDefault="00817A09" w:rsidP="00817A09">
            <w:pPr>
              <w:spacing w:line="240" w:lineRule="auto"/>
              <w:jc w:val="center"/>
              <w:rPr>
                <w:rFonts w:eastAsia="Times New Roman" w:cs="Arial"/>
                <w:szCs w:val="24"/>
              </w:rPr>
            </w:pPr>
          </w:p>
        </w:tc>
        <w:tc>
          <w:tcPr>
            <w:tcW w:w="2126" w:type="dxa"/>
            <w:tcBorders>
              <w:left w:val="nil"/>
              <w:bottom w:val="single" w:sz="4" w:space="0" w:color="auto"/>
              <w:right w:val="nil"/>
            </w:tcBorders>
            <w:vAlign w:val="center"/>
          </w:tcPr>
          <w:p w14:paraId="18E5732C" w14:textId="77777777" w:rsidR="00817A09" w:rsidRPr="00EA0DC7" w:rsidRDefault="00817A09" w:rsidP="00817A09">
            <w:pPr>
              <w:spacing w:line="240" w:lineRule="auto"/>
              <w:jc w:val="center"/>
              <w:rPr>
                <w:rFonts w:eastAsia="Times New Roman" w:cs="Arial"/>
                <w:szCs w:val="24"/>
              </w:rPr>
            </w:pPr>
          </w:p>
        </w:tc>
      </w:tr>
    </w:tbl>
    <w:p w14:paraId="6B7B6E81" w14:textId="77777777" w:rsidR="00817A09" w:rsidRPr="00EA0DC7" w:rsidRDefault="00817A09" w:rsidP="00817A09">
      <w:pPr>
        <w:spacing w:before="240" w:line="240" w:lineRule="auto"/>
        <w:jc w:val="center"/>
        <w:rPr>
          <w:rFonts w:eastAsia="Times New Roman" w:cs="Arial"/>
          <w:b/>
          <w:bCs/>
          <w:szCs w:val="24"/>
        </w:rPr>
        <w:sectPr w:rsidR="00817A09" w:rsidRPr="00EA0DC7" w:rsidSect="001A0398">
          <w:pgSz w:w="16838" w:h="11906" w:orient="landscape"/>
          <w:pgMar w:top="2268" w:right="1440" w:bottom="1440" w:left="1440" w:header="709" w:footer="709" w:gutter="0"/>
          <w:cols w:space="708"/>
          <w:docGrid w:linePitch="360"/>
        </w:sectPr>
      </w:pPr>
    </w:p>
    <w:tbl>
      <w:tblPr>
        <w:tblW w:w="13467" w:type="dxa"/>
        <w:tblLayout w:type="fixed"/>
        <w:tblLook w:val="04A0" w:firstRow="1" w:lastRow="0" w:firstColumn="1" w:lastColumn="0" w:noHBand="0" w:noVBand="1"/>
      </w:tblPr>
      <w:tblGrid>
        <w:gridCol w:w="3261"/>
        <w:gridCol w:w="1984"/>
        <w:gridCol w:w="2410"/>
        <w:gridCol w:w="1701"/>
        <w:gridCol w:w="1985"/>
        <w:gridCol w:w="2126"/>
      </w:tblGrid>
      <w:tr w:rsidR="00817A09" w:rsidRPr="00EA0DC7" w14:paraId="25C67F71" w14:textId="77777777" w:rsidTr="00817A09">
        <w:trPr>
          <w:trHeight w:val="80"/>
        </w:trPr>
        <w:tc>
          <w:tcPr>
            <w:tcW w:w="3261" w:type="dxa"/>
            <w:tcBorders>
              <w:top w:val="single" w:sz="4" w:space="0" w:color="auto"/>
              <w:left w:val="nil"/>
              <w:bottom w:val="single" w:sz="4" w:space="0" w:color="auto"/>
              <w:right w:val="nil"/>
            </w:tcBorders>
            <w:shd w:val="clear" w:color="auto" w:fill="auto"/>
            <w:vAlign w:val="center"/>
          </w:tcPr>
          <w:p w14:paraId="1E4E978E" w14:textId="3B8EAC79"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lastRenderedPageBreak/>
              <w:t>Model/ approach</w:t>
            </w:r>
          </w:p>
        </w:tc>
        <w:tc>
          <w:tcPr>
            <w:tcW w:w="1984" w:type="dxa"/>
            <w:tcBorders>
              <w:top w:val="single" w:sz="4" w:space="0" w:color="auto"/>
              <w:left w:val="nil"/>
              <w:bottom w:val="single" w:sz="4" w:space="0" w:color="auto"/>
              <w:right w:val="nil"/>
            </w:tcBorders>
            <w:vAlign w:val="center"/>
          </w:tcPr>
          <w:p w14:paraId="4818E7E5" w14:textId="4934E61A"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Transference and/ or parallel processes</w:t>
            </w:r>
          </w:p>
        </w:tc>
        <w:tc>
          <w:tcPr>
            <w:tcW w:w="2410" w:type="dxa"/>
            <w:tcBorders>
              <w:top w:val="single" w:sz="4" w:space="0" w:color="auto"/>
              <w:left w:val="nil"/>
              <w:bottom w:val="single" w:sz="4" w:space="0" w:color="auto"/>
              <w:right w:val="nil"/>
            </w:tcBorders>
            <w:vAlign w:val="center"/>
          </w:tcPr>
          <w:p w14:paraId="7E8516B4" w14:textId="0D6C4F16"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Acknowledgement of wider context of therapy process</w:t>
            </w:r>
          </w:p>
        </w:tc>
        <w:tc>
          <w:tcPr>
            <w:tcW w:w="1701" w:type="dxa"/>
            <w:tcBorders>
              <w:top w:val="single" w:sz="4" w:space="0" w:color="auto"/>
              <w:left w:val="nil"/>
              <w:bottom w:val="single" w:sz="4" w:space="0" w:color="auto"/>
              <w:right w:val="nil"/>
            </w:tcBorders>
            <w:vAlign w:val="center"/>
          </w:tcPr>
          <w:p w14:paraId="52C4E16A" w14:textId="0F22B817"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Stage/ level/ step model</w:t>
            </w:r>
          </w:p>
        </w:tc>
        <w:tc>
          <w:tcPr>
            <w:tcW w:w="1985" w:type="dxa"/>
            <w:tcBorders>
              <w:top w:val="single" w:sz="4" w:space="0" w:color="auto"/>
              <w:left w:val="nil"/>
              <w:bottom w:val="single" w:sz="4" w:space="0" w:color="auto"/>
              <w:right w:val="nil"/>
            </w:tcBorders>
            <w:vAlign w:val="center"/>
          </w:tcPr>
          <w:p w14:paraId="66087A3E" w14:textId="41FD0D91"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mainly on trainee rather than therapist</w:t>
            </w:r>
          </w:p>
        </w:tc>
        <w:tc>
          <w:tcPr>
            <w:tcW w:w="2126" w:type="dxa"/>
            <w:tcBorders>
              <w:top w:val="single" w:sz="4" w:space="0" w:color="auto"/>
              <w:left w:val="nil"/>
              <w:bottom w:val="single" w:sz="4" w:space="0" w:color="auto"/>
              <w:right w:val="nil"/>
            </w:tcBorders>
            <w:vAlign w:val="center"/>
          </w:tcPr>
          <w:p w14:paraId="6E469B73" w14:textId="23FE4AE5" w:rsidR="00817A09" w:rsidRPr="00EA0DC7" w:rsidRDefault="00817A09" w:rsidP="00817A09">
            <w:pPr>
              <w:spacing w:before="240" w:line="240" w:lineRule="auto"/>
              <w:jc w:val="center"/>
              <w:rPr>
                <w:rFonts w:eastAsia="Times New Roman" w:cs="Arial"/>
                <w:szCs w:val="24"/>
              </w:rPr>
            </w:pPr>
            <w:r w:rsidRPr="00EA0DC7">
              <w:rPr>
                <w:rFonts w:eastAsia="Times New Roman" w:cs="Arial"/>
                <w:b/>
                <w:bCs/>
                <w:szCs w:val="24"/>
              </w:rPr>
              <w:t>Focus on solutions/ strengths over problems</w:t>
            </w:r>
          </w:p>
        </w:tc>
      </w:tr>
      <w:tr w:rsidR="00817A09" w:rsidRPr="00EA0DC7" w14:paraId="28EA7F65" w14:textId="77777777" w:rsidTr="00817A09">
        <w:trPr>
          <w:trHeight w:val="80"/>
        </w:trPr>
        <w:tc>
          <w:tcPr>
            <w:tcW w:w="3261" w:type="dxa"/>
            <w:tcBorders>
              <w:top w:val="single" w:sz="4" w:space="0" w:color="auto"/>
              <w:left w:val="nil"/>
              <w:right w:val="nil"/>
            </w:tcBorders>
            <w:shd w:val="clear" w:color="auto" w:fill="auto"/>
            <w:vAlign w:val="bottom"/>
            <w:hideMark/>
          </w:tcPr>
          <w:p w14:paraId="0C8AB377" w14:textId="77777777" w:rsidR="00817A09" w:rsidRPr="00EA0DC7" w:rsidRDefault="00817A09" w:rsidP="00817A09">
            <w:pPr>
              <w:spacing w:before="240" w:line="240" w:lineRule="auto"/>
              <w:jc w:val="left"/>
              <w:rPr>
                <w:rFonts w:eastAsia="Times New Roman" w:cs="Arial"/>
                <w:szCs w:val="24"/>
              </w:rPr>
            </w:pPr>
            <w:r w:rsidRPr="00EA0DC7">
              <w:rPr>
                <w:rFonts w:eastAsia="Times New Roman" w:cs="Arial"/>
                <w:szCs w:val="24"/>
              </w:rPr>
              <w:t>Frawley-O'Dea &amp; Sarnat (2001)</w:t>
            </w:r>
          </w:p>
        </w:tc>
        <w:tc>
          <w:tcPr>
            <w:tcW w:w="1984" w:type="dxa"/>
            <w:tcBorders>
              <w:top w:val="single" w:sz="4" w:space="0" w:color="auto"/>
              <w:left w:val="nil"/>
              <w:right w:val="nil"/>
            </w:tcBorders>
            <w:vAlign w:val="center"/>
          </w:tcPr>
          <w:p w14:paraId="40139F11" w14:textId="77777777" w:rsidR="00817A09" w:rsidRPr="00EA0DC7" w:rsidRDefault="00817A09" w:rsidP="00817A09">
            <w:pPr>
              <w:spacing w:before="240" w:line="240" w:lineRule="auto"/>
              <w:jc w:val="center"/>
              <w:rPr>
                <w:rFonts w:eastAsia="Times New Roman" w:cs="Arial"/>
                <w:szCs w:val="24"/>
              </w:rPr>
            </w:pPr>
          </w:p>
        </w:tc>
        <w:tc>
          <w:tcPr>
            <w:tcW w:w="2410" w:type="dxa"/>
            <w:tcBorders>
              <w:top w:val="single" w:sz="4" w:space="0" w:color="auto"/>
              <w:left w:val="nil"/>
              <w:right w:val="nil"/>
            </w:tcBorders>
            <w:vAlign w:val="center"/>
          </w:tcPr>
          <w:p w14:paraId="4BCA29EA" w14:textId="77777777" w:rsidR="00817A09" w:rsidRPr="00EA0DC7" w:rsidRDefault="00817A09" w:rsidP="00817A09">
            <w:pPr>
              <w:spacing w:before="240" w:line="240" w:lineRule="auto"/>
              <w:jc w:val="center"/>
              <w:rPr>
                <w:rFonts w:eastAsia="Times New Roman" w:cs="Arial"/>
                <w:szCs w:val="24"/>
              </w:rPr>
            </w:pPr>
          </w:p>
        </w:tc>
        <w:tc>
          <w:tcPr>
            <w:tcW w:w="1701" w:type="dxa"/>
            <w:tcBorders>
              <w:top w:val="single" w:sz="4" w:space="0" w:color="auto"/>
              <w:left w:val="nil"/>
              <w:right w:val="nil"/>
            </w:tcBorders>
            <w:vAlign w:val="center"/>
          </w:tcPr>
          <w:p w14:paraId="25B6CE93" w14:textId="77777777" w:rsidR="00817A09" w:rsidRPr="00EA0DC7" w:rsidRDefault="00817A09" w:rsidP="00817A09">
            <w:pPr>
              <w:spacing w:before="240" w:line="240" w:lineRule="auto"/>
              <w:jc w:val="center"/>
              <w:rPr>
                <w:rFonts w:eastAsia="Times New Roman" w:cs="Arial"/>
                <w:szCs w:val="24"/>
              </w:rPr>
            </w:pPr>
          </w:p>
        </w:tc>
        <w:tc>
          <w:tcPr>
            <w:tcW w:w="1985" w:type="dxa"/>
            <w:tcBorders>
              <w:top w:val="single" w:sz="4" w:space="0" w:color="auto"/>
              <w:left w:val="nil"/>
              <w:right w:val="nil"/>
            </w:tcBorders>
            <w:vAlign w:val="center"/>
          </w:tcPr>
          <w:p w14:paraId="711FABB3" w14:textId="77777777" w:rsidR="00817A09" w:rsidRPr="00EA0DC7" w:rsidRDefault="00817A09" w:rsidP="00817A09">
            <w:pPr>
              <w:spacing w:before="240"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single" w:sz="4" w:space="0" w:color="auto"/>
              <w:left w:val="nil"/>
              <w:right w:val="nil"/>
            </w:tcBorders>
            <w:vAlign w:val="center"/>
          </w:tcPr>
          <w:p w14:paraId="670AEB1C" w14:textId="77777777" w:rsidR="00817A09" w:rsidRPr="00EA0DC7" w:rsidRDefault="00817A09" w:rsidP="00817A09">
            <w:pPr>
              <w:spacing w:before="240" w:line="240" w:lineRule="auto"/>
              <w:jc w:val="center"/>
              <w:rPr>
                <w:rFonts w:eastAsia="Times New Roman" w:cs="Arial"/>
                <w:szCs w:val="24"/>
              </w:rPr>
            </w:pPr>
          </w:p>
        </w:tc>
      </w:tr>
      <w:tr w:rsidR="00817A09" w:rsidRPr="00EA0DC7" w14:paraId="49589CBC" w14:textId="77777777" w:rsidTr="00817A09">
        <w:trPr>
          <w:trHeight w:val="283"/>
        </w:trPr>
        <w:tc>
          <w:tcPr>
            <w:tcW w:w="3261" w:type="dxa"/>
            <w:tcBorders>
              <w:top w:val="nil"/>
              <w:left w:val="nil"/>
              <w:right w:val="nil"/>
            </w:tcBorders>
            <w:shd w:val="clear" w:color="auto" w:fill="auto"/>
            <w:vAlign w:val="bottom"/>
            <w:hideMark/>
          </w:tcPr>
          <w:p w14:paraId="47260096"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Lee &amp; Everett (2004)</w:t>
            </w:r>
          </w:p>
        </w:tc>
        <w:tc>
          <w:tcPr>
            <w:tcW w:w="1984" w:type="dxa"/>
            <w:tcBorders>
              <w:top w:val="nil"/>
              <w:left w:val="nil"/>
              <w:right w:val="nil"/>
            </w:tcBorders>
            <w:vAlign w:val="center"/>
          </w:tcPr>
          <w:p w14:paraId="17F14B7E"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right w:val="nil"/>
            </w:tcBorders>
            <w:vAlign w:val="center"/>
          </w:tcPr>
          <w:p w14:paraId="1EE9E1D0"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right w:val="nil"/>
            </w:tcBorders>
            <w:vAlign w:val="center"/>
          </w:tcPr>
          <w:p w14:paraId="0D88B584"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right w:val="nil"/>
            </w:tcBorders>
            <w:vAlign w:val="center"/>
          </w:tcPr>
          <w:p w14:paraId="50A85155"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6445158D" w14:textId="77777777" w:rsidR="00817A09" w:rsidRPr="00EA0DC7" w:rsidRDefault="00817A09" w:rsidP="00817A09">
            <w:pPr>
              <w:spacing w:line="240" w:lineRule="auto"/>
              <w:jc w:val="center"/>
              <w:rPr>
                <w:rFonts w:eastAsia="Times New Roman" w:cs="Arial"/>
                <w:szCs w:val="24"/>
              </w:rPr>
            </w:pPr>
          </w:p>
        </w:tc>
      </w:tr>
      <w:tr w:rsidR="00817A09" w:rsidRPr="00EA0DC7" w14:paraId="638098FD" w14:textId="77777777" w:rsidTr="00817A09">
        <w:trPr>
          <w:trHeight w:val="283"/>
        </w:trPr>
        <w:tc>
          <w:tcPr>
            <w:tcW w:w="3261" w:type="dxa"/>
            <w:tcBorders>
              <w:top w:val="nil"/>
              <w:left w:val="nil"/>
              <w:right w:val="nil"/>
            </w:tcBorders>
            <w:shd w:val="clear" w:color="auto" w:fill="auto"/>
            <w:vAlign w:val="bottom"/>
            <w:hideMark/>
          </w:tcPr>
          <w:p w14:paraId="6781C251"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Ladany et al. (2005)</w:t>
            </w:r>
          </w:p>
        </w:tc>
        <w:tc>
          <w:tcPr>
            <w:tcW w:w="1984" w:type="dxa"/>
            <w:tcBorders>
              <w:top w:val="nil"/>
              <w:left w:val="nil"/>
              <w:right w:val="nil"/>
            </w:tcBorders>
            <w:vAlign w:val="center"/>
          </w:tcPr>
          <w:p w14:paraId="78089E73" w14:textId="77777777" w:rsidR="00817A09" w:rsidRPr="00EA0DC7" w:rsidRDefault="00817A09" w:rsidP="00817A09">
            <w:pPr>
              <w:spacing w:line="240" w:lineRule="auto"/>
              <w:jc w:val="center"/>
              <w:rPr>
                <w:rFonts w:eastAsia="Times New Roman" w:cs="Arial"/>
                <w:szCs w:val="24"/>
              </w:rPr>
            </w:pPr>
          </w:p>
        </w:tc>
        <w:tc>
          <w:tcPr>
            <w:tcW w:w="2410" w:type="dxa"/>
            <w:tcBorders>
              <w:top w:val="nil"/>
              <w:left w:val="nil"/>
              <w:right w:val="nil"/>
            </w:tcBorders>
            <w:vAlign w:val="center"/>
          </w:tcPr>
          <w:p w14:paraId="7DB399BC"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right w:val="nil"/>
            </w:tcBorders>
            <w:vAlign w:val="center"/>
          </w:tcPr>
          <w:p w14:paraId="6E1DBA27"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nil"/>
              <w:left w:val="nil"/>
              <w:right w:val="nil"/>
            </w:tcBorders>
            <w:vAlign w:val="center"/>
          </w:tcPr>
          <w:p w14:paraId="057B69ED"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right w:val="nil"/>
            </w:tcBorders>
            <w:vAlign w:val="center"/>
          </w:tcPr>
          <w:p w14:paraId="6A9B5108"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r>
      <w:tr w:rsidR="00817A09" w:rsidRPr="00EA0DC7" w14:paraId="4C2A1148" w14:textId="77777777" w:rsidTr="00817A09">
        <w:trPr>
          <w:trHeight w:val="283"/>
        </w:trPr>
        <w:tc>
          <w:tcPr>
            <w:tcW w:w="3261" w:type="dxa"/>
            <w:tcBorders>
              <w:left w:val="nil"/>
              <w:right w:val="nil"/>
            </w:tcBorders>
            <w:shd w:val="clear" w:color="auto" w:fill="auto"/>
            <w:vAlign w:val="bottom"/>
            <w:hideMark/>
          </w:tcPr>
          <w:p w14:paraId="577A1021"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Armstrong &amp; Freeston (2006)</w:t>
            </w:r>
          </w:p>
        </w:tc>
        <w:tc>
          <w:tcPr>
            <w:tcW w:w="1984" w:type="dxa"/>
            <w:tcBorders>
              <w:left w:val="nil"/>
              <w:right w:val="nil"/>
            </w:tcBorders>
            <w:vAlign w:val="center"/>
          </w:tcPr>
          <w:p w14:paraId="00C9A340" w14:textId="77777777" w:rsidR="00817A09" w:rsidRPr="00EA0DC7" w:rsidRDefault="00817A09" w:rsidP="00817A09">
            <w:pPr>
              <w:spacing w:line="240" w:lineRule="auto"/>
              <w:jc w:val="center"/>
              <w:rPr>
                <w:rFonts w:eastAsia="Times New Roman" w:cs="Arial"/>
                <w:szCs w:val="24"/>
              </w:rPr>
            </w:pPr>
          </w:p>
        </w:tc>
        <w:tc>
          <w:tcPr>
            <w:tcW w:w="2410" w:type="dxa"/>
            <w:tcBorders>
              <w:left w:val="nil"/>
              <w:right w:val="nil"/>
            </w:tcBorders>
            <w:vAlign w:val="center"/>
          </w:tcPr>
          <w:p w14:paraId="528878E2" w14:textId="77777777" w:rsidR="00817A09" w:rsidRPr="00EA0DC7" w:rsidRDefault="00817A09" w:rsidP="00817A09">
            <w:pPr>
              <w:spacing w:line="240" w:lineRule="auto"/>
              <w:jc w:val="center"/>
              <w:rPr>
                <w:rFonts w:eastAsia="Times New Roman" w:cs="Arial"/>
                <w:szCs w:val="24"/>
              </w:rPr>
            </w:pPr>
          </w:p>
        </w:tc>
        <w:tc>
          <w:tcPr>
            <w:tcW w:w="1701" w:type="dxa"/>
            <w:tcBorders>
              <w:left w:val="nil"/>
              <w:right w:val="nil"/>
            </w:tcBorders>
            <w:vAlign w:val="center"/>
          </w:tcPr>
          <w:p w14:paraId="58925D81"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left w:val="nil"/>
              <w:right w:val="nil"/>
            </w:tcBorders>
            <w:vAlign w:val="center"/>
          </w:tcPr>
          <w:p w14:paraId="0219F648" w14:textId="77777777" w:rsidR="00817A09" w:rsidRPr="00EA0DC7" w:rsidRDefault="00817A09" w:rsidP="00817A09">
            <w:pPr>
              <w:spacing w:line="240" w:lineRule="auto"/>
              <w:jc w:val="center"/>
              <w:rPr>
                <w:rFonts w:eastAsia="Times New Roman" w:cs="Arial"/>
                <w:szCs w:val="24"/>
              </w:rPr>
            </w:pPr>
          </w:p>
        </w:tc>
        <w:tc>
          <w:tcPr>
            <w:tcW w:w="2126" w:type="dxa"/>
            <w:tcBorders>
              <w:left w:val="nil"/>
              <w:right w:val="nil"/>
            </w:tcBorders>
            <w:vAlign w:val="center"/>
          </w:tcPr>
          <w:p w14:paraId="3909E885" w14:textId="77777777" w:rsidR="00817A09" w:rsidRPr="00EA0DC7" w:rsidRDefault="00817A09" w:rsidP="00817A09">
            <w:pPr>
              <w:spacing w:line="240" w:lineRule="auto"/>
              <w:jc w:val="center"/>
              <w:rPr>
                <w:rFonts w:eastAsia="Times New Roman" w:cs="Arial"/>
                <w:szCs w:val="24"/>
              </w:rPr>
            </w:pPr>
          </w:p>
        </w:tc>
      </w:tr>
      <w:tr w:rsidR="00817A09" w:rsidRPr="00EA0DC7" w14:paraId="44FCD4F6" w14:textId="77777777" w:rsidTr="00817A09">
        <w:trPr>
          <w:trHeight w:val="80"/>
        </w:trPr>
        <w:tc>
          <w:tcPr>
            <w:tcW w:w="3261" w:type="dxa"/>
            <w:tcBorders>
              <w:left w:val="nil"/>
              <w:bottom w:val="nil"/>
              <w:right w:val="nil"/>
            </w:tcBorders>
            <w:shd w:val="clear" w:color="auto" w:fill="auto"/>
            <w:vAlign w:val="bottom"/>
            <w:hideMark/>
          </w:tcPr>
          <w:p w14:paraId="04E5D545"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Morgan &amp; Sprenkle (2007)</w:t>
            </w:r>
          </w:p>
        </w:tc>
        <w:tc>
          <w:tcPr>
            <w:tcW w:w="1984" w:type="dxa"/>
            <w:tcBorders>
              <w:left w:val="nil"/>
              <w:bottom w:val="nil"/>
              <w:right w:val="nil"/>
            </w:tcBorders>
            <w:vAlign w:val="center"/>
          </w:tcPr>
          <w:p w14:paraId="003370F1" w14:textId="77777777" w:rsidR="00817A09" w:rsidRPr="00EA0DC7" w:rsidRDefault="00817A09" w:rsidP="00817A09">
            <w:pPr>
              <w:spacing w:line="240" w:lineRule="auto"/>
              <w:jc w:val="center"/>
              <w:rPr>
                <w:rFonts w:eastAsia="Times New Roman" w:cs="Arial"/>
                <w:szCs w:val="24"/>
              </w:rPr>
            </w:pPr>
          </w:p>
        </w:tc>
        <w:tc>
          <w:tcPr>
            <w:tcW w:w="2410" w:type="dxa"/>
            <w:tcBorders>
              <w:left w:val="nil"/>
              <w:bottom w:val="nil"/>
              <w:right w:val="nil"/>
            </w:tcBorders>
            <w:vAlign w:val="center"/>
          </w:tcPr>
          <w:p w14:paraId="50807BDB" w14:textId="77777777" w:rsidR="00817A09" w:rsidRPr="00EA0DC7" w:rsidRDefault="00817A09" w:rsidP="00817A09">
            <w:pPr>
              <w:spacing w:line="240" w:lineRule="auto"/>
              <w:jc w:val="center"/>
              <w:rPr>
                <w:rFonts w:eastAsia="Times New Roman" w:cs="Arial"/>
                <w:szCs w:val="24"/>
              </w:rPr>
            </w:pPr>
          </w:p>
        </w:tc>
        <w:tc>
          <w:tcPr>
            <w:tcW w:w="1701" w:type="dxa"/>
            <w:tcBorders>
              <w:left w:val="nil"/>
              <w:bottom w:val="nil"/>
              <w:right w:val="nil"/>
            </w:tcBorders>
            <w:vAlign w:val="center"/>
          </w:tcPr>
          <w:p w14:paraId="6C1C6423" w14:textId="77777777" w:rsidR="00817A09" w:rsidRPr="00EA0DC7" w:rsidRDefault="00817A09" w:rsidP="00817A09">
            <w:pPr>
              <w:spacing w:line="240" w:lineRule="auto"/>
              <w:jc w:val="center"/>
              <w:rPr>
                <w:rFonts w:eastAsia="Times New Roman" w:cs="Arial"/>
                <w:szCs w:val="24"/>
              </w:rPr>
            </w:pPr>
          </w:p>
        </w:tc>
        <w:tc>
          <w:tcPr>
            <w:tcW w:w="1985" w:type="dxa"/>
            <w:tcBorders>
              <w:left w:val="nil"/>
              <w:bottom w:val="nil"/>
              <w:right w:val="nil"/>
            </w:tcBorders>
            <w:vAlign w:val="center"/>
          </w:tcPr>
          <w:p w14:paraId="183A8A4E" w14:textId="77777777" w:rsidR="00817A09" w:rsidRPr="00EA0DC7" w:rsidRDefault="00817A09" w:rsidP="00817A09">
            <w:pPr>
              <w:spacing w:line="240" w:lineRule="auto"/>
              <w:jc w:val="center"/>
              <w:rPr>
                <w:rFonts w:eastAsia="Times New Roman" w:cs="Arial"/>
                <w:szCs w:val="24"/>
              </w:rPr>
            </w:pPr>
          </w:p>
        </w:tc>
        <w:tc>
          <w:tcPr>
            <w:tcW w:w="2126" w:type="dxa"/>
            <w:tcBorders>
              <w:left w:val="nil"/>
              <w:bottom w:val="nil"/>
              <w:right w:val="nil"/>
            </w:tcBorders>
            <w:vAlign w:val="center"/>
          </w:tcPr>
          <w:p w14:paraId="18D881EB"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r>
      <w:tr w:rsidR="00817A09" w:rsidRPr="00EA0DC7" w14:paraId="01929EA0" w14:textId="77777777" w:rsidTr="00817A09">
        <w:trPr>
          <w:trHeight w:val="283"/>
        </w:trPr>
        <w:tc>
          <w:tcPr>
            <w:tcW w:w="3261" w:type="dxa"/>
            <w:tcBorders>
              <w:top w:val="nil"/>
              <w:left w:val="nil"/>
              <w:right w:val="nil"/>
            </w:tcBorders>
            <w:shd w:val="clear" w:color="auto" w:fill="auto"/>
            <w:vAlign w:val="bottom"/>
            <w:hideMark/>
          </w:tcPr>
          <w:p w14:paraId="3282AADF"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Inskipp and Proctor (2009)</w:t>
            </w:r>
          </w:p>
        </w:tc>
        <w:tc>
          <w:tcPr>
            <w:tcW w:w="1984" w:type="dxa"/>
            <w:tcBorders>
              <w:top w:val="nil"/>
              <w:left w:val="nil"/>
              <w:right w:val="nil"/>
            </w:tcBorders>
            <w:vAlign w:val="center"/>
          </w:tcPr>
          <w:p w14:paraId="59E20E1E" w14:textId="77777777" w:rsidR="00817A09" w:rsidRPr="00EA0DC7" w:rsidRDefault="00817A09" w:rsidP="00817A09">
            <w:pPr>
              <w:spacing w:line="240" w:lineRule="auto"/>
              <w:jc w:val="center"/>
              <w:rPr>
                <w:rFonts w:eastAsia="Times New Roman" w:cs="Arial"/>
                <w:szCs w:val="24"/>
              </w:rPr>
            </w:pPr>
          </w:p>
        </w:tc>
        <w:tc>
          <w:tcPr>
            <w:tcW w:w="2410" w:type="dxa"/>
            <w:tcBorders>
              <w:top w:val="nil"/>
              <w:left w:val="nil"/>
              <w:right w:val="nil"/>
            </w:tcBorders>
            <w:vAlign w:val="center"/>
          </w:tcPr>
          <w:p w14:paraId="50447E52"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right w:val="nil"/>
            </w:tcBorders>
            <w:vAlign w:val="center"/>
          </w:tcPr>
          <w:p w14:paraId="6EAEFF6E" w14:textId="77777777" w:rsidR="00817A09" w:rsidRPr="00EA0DC7" w:rsidRDefault="00817A09" w:rsidP="00817A09">
            <w:pPr>
              <w:spacing w:line="240" w:lineRule="auto"/>
              <w:jc w:val="center"/>
              <w:rPr>
                <w:rFonts w:eastAsia="Times New Roman" w:cs="Arial"/>
                <w:szCs w:val="24"/>
              </w:rPr>
            </w:pPr>
          </w:p>
        </w:tc>
        <w:tc>
          <w:tcPr>
            <w:tcW w:w="1985" w:type="dxa"/>
            <w:tcBorders>
              <w:top w:val="nil"/>
              <w:left w:val="nil"/>
              <w:right w:val="nil"/>
            </w:tcBorders>
            <w:vAlign w:val="center"/>
          </w:tcPr>
          <w:p w14:paraId="4A8A1187" w14:textId="77777777" w:rsidR="00817A09" w:rsidRPr="00EA0DC7" w:rsidRDefault="00817A09" w:rsidP="00817A09">
            <w:pPr>
              <w:spacing w:line="240" w:lineRule="auto"/>
              <w:jc w:val="center"/>
              <w:rPr>
                <w:rFonts w:eastAsia="Times New Roman" w:cs="Arial"/>
                <w:szCs w:val="24"/>
              </w:rPr>
            </w:pPr>
          </w:p>
        </w:tc>
        <w:tc>
          <w:tcPr>
            <w:tcW w:w="2126" w:type="dxa"/>
            <w:tcBorders>
              <w:top w:val="nil"/>
              <w:left w:val="nil"/>
              <w:right w:val="nil"/>
            </w:tcBorders>
            <w:vAlign w:val="center"/>
          </w:tcPr>
          <w:p w14:paraId="2DCF378B" w14:textId="77777777" w:rsidR="00817A09" w:rsidRPr="00EA0DC7" w:rsidRDefault="00817A09" w:rsidP="00817A09">
            <w:pPr>
              <w:spacing w:line="240" w:lineRule="auto"/>
              <w:jc w:val="center"/>
              <w:rPr>
                <w:rFonts w:eastAsia="Times New Roman" w:cs="Arial"/>
                <w:szCs w:val="24"/>
              </w:rPr>
            </w:pPr>
          </w:p>
        </w:tc>
      </w:tr>
      <w:tr w:rsidR="00817A09" w:rsidRPr="00EA0DC7" w14:paraId="3D399248" w14:textId="77777777" w:rsidTr="00817A09">
        <w:trPr>
          <w:trHeight w:val="283"/>
        </w:trPr>
        <w:tc>
          <w:tcPr>
            <w:tcW w:w="3261" w:type="dxa"/>
            <w:tcBorders>
              <w:top w:val="nil"/>
              <w:left w:val="nil"/>
              <w:bottom w:val="single" w:sz="4" w:space="0" w:color="000000"/>
              <w:right w:val="nil"/>
            </w:tcBorders>
            <w:shd w:val="clear" w:color="auto" w:fill="auto"/>
            <w:vAlign w:val="bottom"/>
            <w:hideMark/>
          </w:tcPr>
          <w:p w14:paraId="70DC0C68" w14:textId="77777777" w:rsidR="00817A09" w:rsidRPr="00EA0DC7" w:rsidRDefault="00817A09" w:rsidP="00817A09">
            <w:pPr>
              <w:spacing w:line="240" w:lineRule="auto"/>
              <w:jc w:val="left"/>
              <w:rPr>
                <w:rFonts w:eastAsia="Times New Roman" w:cs="Arial"/>
                <w:szCs w:val="24"/>
              </w:rPr>
            </w:pPr>
            <w:r w:rsidRPr="00EA0DC7">
              <w:rPr>
                <w:rFonts w:eastAsia="Times New Roman" w:cs="Arial"/>
                <w:szCs w:val="24"/>
              </w:rPr>
              <w:t>Page and Wosket (2015)</w:t>
            </w:r>
          </w:p>
        </w:tc>
        <w:tc>
          <w:tcPr>
            <w:tcW w:w="1984" w:type="dxa"/>
            <w:tcBorders>
              <w:top w:val="nil"/>
              <w:left w:val="nil"/>
              <w:bottom w:val="single" w:sz="4" w:space="0" w:color="000000"/>
              <w:right w:val="nil"/>
            </w:tcBorders>
            <w:vAlign w:val="center"/>
          </w:tcPr>
          <w:p w14:paraId="44D4D909"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410" w:type="dxa"/>
            <w:tcBorders>
              <w:top w:val="nil"/>
              <w:left w:val="nil"/>
              <w:bottom w:val="single" w:sz="4" w:space="0" w:color="000000"/>
              <w:right w:val="nil"/>
            </w:tcBorders>
            <w:vAlign w:val="center"/>
          </w:tcPr>
          <w:p w14:paraId="3496F8D3" w14:textId="77777777" w:rsidR="00817A09" w:rsidRPr="00EA0DC7" w:rsidRDefault="00817A09" w:rsidP="00817A09">
            <w:pPr>
              <w:spacing w:line="240" w:lineRule="auto"/>
              <w:jc w:val="center"/>
              <w:rPr>
                <w:rFonts w:eastAsia="Times New Roman" w:cs="Arial"/>
                <w:szCs w:val="24"/>
              </w:rPr>
            </w:pPr>
          </w:p>
        </w:tc>
        <w:tc>
          <w:tcPr>
            <w:tcW w:w="1701" w:type="dxa"/>
            <w:tcBorders>
              <w:top w:val="nil"/>
              <w:left w:val="nil"/>
              <w:bottom w:val="single" w:sz="4" w:space="0" w:color="000000"/>
              <w:right w:val="nil"/>
            </w:tcBorders>
            <w:vAlign w:val="center"/>
          </w:tcPr>
          <w:p w14:paraId="1ED4863B"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1985" w:type="dxa"/>
            <w:tcBorders>
              <w:top w:val="nil"/>
              <w:left w:val="nil"/>
              <w:bottom w:val="single" w:sz="4" w:space="0" w:color="000000"/>
              <w:right w:val="nil"/>
            </w:tcBorders>
            <w:vAlign w:val="center"/>
          </w:tcPr>
          <w:p w14:paraId="5A2E3529" w14:textId="77777777" w:rsidR="00817A09" w:rsidRPr="00EA0DC7" w:rsidRDefault="00817A09" w:rsidP="00817A09">
            <w:pPr>
              <w:spacing w:line="240" w:lineRule="auto"/>
              <w:jc w:val="center"/>
              <w:rPr>
                <w:rFonts w:eastAsia="Times New Roman" w:cs="Arial"/>
                <w:szCs w:val="24"/>
              </w:rPr>
            </w:pPr>
            <w:r w:rsidRPr="00EA0DC7">
              <w:rPr>
                <w:rFonts w:eastAsia="Times New Roman" w:cs="Arial"/>
                <w:szCs w:val="24"/>
              </w:rPr>
              <w:sym w:font="Wingdings" w:char="F0FC"/>
            </w:r>
          </w:p>
        </w:tc>
        <w:tc>
          <w:tcPr>
            <w:tcW w:w="2126" w:type="dxa"/>
            <w:tcBorders>
              <w:top w:val="nil"/>
              <w:left w:val="nil"/>
              <w:bottom w:val="single" w:sz="4" w:space="0" w:color="000000"/>
              <w:right w:val="nil"/>
            </w:tcBorders>
            <w:vAlign w:val="center"/>
          </w:tcPr>
          <w:p w14:paraId="39BA5AC9" w14:textId="77777777" w:rsidR="00817A09" w:rsidRPr="00EA0DC7" w:rsidRDefault="00817A09" w:rsidP="00817A09">
            <w:pPr>
              <w:spacing w:line="240" w:lineRule="auto"/>
              <w:jc w:val="center"/>
              <w:rPr>
                <w:rFonts w:eastAsia="Times New Roman" w:cs="Arial"/>
                <w:szCs w:val="24"/>
              </w:rPr>
            </w:pPr>
          </w:p>
        </w:tc>
      </w:tr>
    </w:tbl>
    <w:p w14:paraId="64ADB603" w14:textId="77777777" w:rsidR="003F0CDB" w:rsidRPr="00EA0DC7" w:rsidRDefault="003F0CDB" w:rsidP="003F0CDB">
      <w:pPr>
        <w:rPr>
          <w:rFonts w:eastAsia="Times New Roman" w:cs="Arial"/>
          <w:szCs w:val="24"/>
        </w:rPr>
        <w:sectPr w:rsidR="003F0CDB" w:rsidRPr="00EA0DC7" w:rsidSect="001A0398">
          <w:pgSz w:w="16838" w:h="11906" w:orient="landscape"/>
          <w:pgMar w:top="1440" w:right="1440" w:bottom="2268" w:left="1440" w:header="709" w:footer="709" w:gutter="0"/>
          <w:cols w:space="708"/>
          <w:docGrid w:linePitch="360"/>
        </w:sectPr>
      </w:pPr>
    </w:p>
    <w:p w14:paraId="772C7378" w14:textId="28BEB764" w:rsidR="003F0CDB" w:rsidRPr="00EA0DC7" w:rsidRDefault="003F0CDB" w:rsidP="006B3274">
      <w:pPr>
        <w:pStyle w:val="Heading2"/>
        <w:rPr>
          <w:lang w:eastAsia="zh-CN"/>
        </w:rPr>
      </w:pPr>
      <w:bookmarkStart w:id="258" w:name="_Toc23881310"/>
      <w:bookmarkStart w:id="259" w:name="_Toc24548601"/>
      <w:bookmarkStart w:id="260" w:name="_Toc24548704"/>
      <w:bookmarkStart w:id="261" w:name="_Toc47039891"/>
      <w:r w:rsidRPr="00EA0DC7">
        <w:rPr>
          <w:lang w:eastAsia="zh-CN"/>
        </w:rPr>
        <w:lastRenderedPageBreak/>
        <w:t xml:space="preserve">Appendix </w:t>
      </w:r>
      <w:r w:rsidR="0049544F" w:rsidRPr="00EA0DC7">
        <w:rPr>
          <w:lang w:eastAsia="zh-CN"/>
        </w:rPr>
        <w:t>2</w:t>
      </w:r>
      <w:r w:rsidRPr="00EA0DC7">
        <w:rPr>
          <w:lang w:eastAsia="zh-CN"/>
        </w:rPr>
        <w:t>L</w:t>
      </w:r>
      <w:r w:rsidR="006B3274" w:rsidRPr="00EA0DC7">
        <w:rPr>
          <w:lang w:eastAsia="zh-CN"/>
        </w:rPr>
        <w:t>. Other supervision aspects focus in supervision models</w:t>
      </w:r>
      <w:bookmarkEnd w:id="258"/>
      <w:bookmarkEnd w:id="259"/>
      <w:bookmarkEnd w:id="260"/>
      <w:bookmarkEnd w:id="261"/>
    </w:p>
    <w:p w14:paraId="7F56AF63" w14:textId="20982B38" w:rsidR="003F0CDB" w:rsidRPr="00EA0DC7" w:rsidRDefault="003F0CDB" w:rsidP="003F0CDB">
      <w:pPr>
        <w:keepNext/>
        <w:spacing w:line="240" w:lineRule="auto"/>
        <w:rPr>
          <w:rFonts w:eastAsia="Calibri" w:cs="Arial"/>
          <w:bCs/>
          <w:i/>
          <w:szCs w:val="24"/>
          <w:lang w:eastAsia="en-US"/>
        </w:rPr>
      </w:pPr>
      <w:r w:rsidRPr="00EA0DC7">
        <w:rPr>
          <w:rFonts w:eastAsia="Calibri" w:cs="Arial"/>
          <w:bCs/>
          <w:szCs w:val="24"/>
          <w:lang w:eastAsia="en-US"/>
        </w:rPr>
        <w:t xml:space="preserve">Table </w:t>
      </w:r>
      <w:r w:rsidR="0049544F" w:rsidRPr="00EA0DC7">
        <w:rPr>
          <w:rFonts w:eastAsia="Calibri" w:cs="Arial"/>
          <w:bCs/>
          <w:szCs w:val="24"/>
          <w:lang w:eastAsia="en-US"/>
        </w:rPr>
        <w:t>2L</w:t>
      </w:r>
      <w:r w:rsidRPr="00EA0DC7">
        <w:rPr>
          <w:rFonts w:eastAsia="Calibri" w:cs="Arial"/>
          <w:bCs/>
          <w:szCs w:val="24"/>
          <w:lang w:eastAsia="en-US"/>
        </w:rPr>
        <w:t>. Model focus on other aspects of supervision.</w:t>
      </w: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3F0CDB" w:rsidRPr="00EA0DC7" w14:paraId="3807B129" w14:textId="77777777" w:rsidTr="00F4729C">
        <w:trPr>
          <w:trHeight w:val="1134"/>
        </w:trPr>
        <w:tc>
          <w:tcPr>
            <w:tcW w:w="1985" w:type="dxa"/>
            <w:tcBorders>
              <w:top w:val="single" w:sz="4" w:space="0" w:color="auto"/>
              <w:left w:val="nil"/>
              <w:bottom w:val="single" w:sz="4" w:space="0" w:color="auto"/>
              <w:right w:val="nil"/>
            </w:tcBorders>
            <w:shd w:val="clear" w:color="auto" w:fill="auto"/>
            <w:noWrap/>
            <w:vAlign w:val="center"/>
            <w:hideMark/>
          </w:tcPr>
          <w:p w14:paraId="3B935F47" w14:textId="77777777" w:rsidR="003F0CDB" w:rsidRPr="00EA0DC7" w:rsidRDefault="003F0CDB" w:rsidP="00A65E63">
            <w:pPr>
              <w:spacing w:before="240" w:line="240" w:lineRule="auto"/>
              <w:jc w:val="center"/>
              <w:rPr>
                <w:rFonts w:eastAsia="Times New Roman" w:cs="Arial"/>
                <w:bCs/>
                <w:sz w:val="20"/>
                <w:szCs w:val="20"/>
              </w:rPr>
            </w:pPr>
          </w:p>
        </w:tc>
        <w:tc>
          <w:tcPr>
            <w:tcW w:w="1077" w:type="dxa"/>
            <w:tcBorders>
              <w:top w:val="single" w:sz="4" w:space="0" w:color="auto"/>
              <w:left w:val="nil"/>
              <w:bottom w:val="single" w:sz="4" w:space="0" w:color="auto"/>
              <w:right w:val="nil"/>
            </w:tcBorders>
            <w:shd w:val="clear" w:color="auto" w:fill="auto"/>
            <w:vAlign w:val="center"/>
            <w:hideMark/>
          </w:tcPr>
          <w:p w14:paraId="1FBAF971"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vAlign w:val="center"/>
            <w:hideMark/>
          </w:tcPr>
          <w:p w14:paraId="630024F0"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vAlign w:val="center"/>
            <w:hideMark/>
          </w:tcPr>
          <w:p w14:paraId="1795F091"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6E3ABB4C"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5E303D88"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7BB56C09"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79FE891B"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34DECA1E"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61FCBDBC" w14:textId="77777777" w:rsidR="003F0CDB" w:rsidRPr="00EA0DC7" w:rsidRDefault="003F0CDB" w:rsidP="00A65E63">
            <w:pPr>
              <w:spacing w:before="240" w:line="240" w:lineRule="auto"/>
              <w:jc w:val="center"/>
              <w:rPr>
                <w:rFonts w:eastAsia="Times New Roman" w:cs="Arial"/>
                <w:b/>
                <w:bCs/>
                <w:sz w:val="20"/>
                <w:szCs w:val="20"/>
              </w:rPr>
            </w:pPr>
            <w:r w:rsidRPr="00EA0DC7">
              <w:rPr>
                <w:rFonts w:eastAsia="Times New Roman" w:cs="Arial"/>
                <w:b/>
                <w:bCs/>
                <w:sz w:val="20"/>
                <w:szCs w:val="20"/>
              </w:rPr>
              <w:t>Acknowledge-ment of how an administrator fits into the supervisory process</w:t>
            </w:r>
          </w:p>
        </w:tc>
      </w:tr>
      <w:tr w:rsidR="003F0CDB" w:rsidRPr="00EA0DC7" w14:paraId="0F67EF9C" w14:textId="77777777" w:rsidTr="00F4729C">
        <w:trPr>
          <w:trHeight w:val="1087"/>
        </w:trPr>
        <w:tc>
          <w:tcPr>
            <w:tcW w:w="1985" w:type="dxa"/>
            <w:tcBorders>
              <w:top w:val="single" w:sz="4" w:space="0" w:color="auto"/>
              <w:left w:val="nil"/>
              <w:right w:val="nil"/>
              <w:tl2br w:val="single" w:sz="4" w:space="0" w:color="auto"/>
            </w:tcBorders>
            <w:shd w:val="clear" w:color="auto" w:fill="auto"/>
            <w:hideMark/>
          </w:tcPr>
          <w:p w14:paraId="1A243FE6" w14:textId="77777777" w:rsidR="003F0CDB" w:rsidRPr="00EA0DC7" w:rsidRDefault="003F0CDB" w:rsidP="00A65E63">
            <w:pPr>
              <w:spacing w:before="240" w:after="0" w:line="240" w:lineRule="auto"/>
              <w:jc w:val="right"/>
              <w:rPr>
                <w:rFonts w:eastAsia="Times New Roman" w:cs="Arial"/>
                <w:b/>
                <w:sz w:val="20"/>
                <w:szCs w:val="20"/>
              </w:rPr>
            </w:pPr>
            <w:r w:rsidRPr="00EA0DC7">
              <w:rPr>
                <w:rFonts w:eastAsia="Times New Roman" w:cs="Arial"/>
                <w:b/>
                <w:sz w:val="20"/>
                <w:szCs w:val="20"/>
              </w:rPr>
              <w:t>No. of               models</w:t>
            </w:r>
          </w:p>
          <w:p w14:paraId="7BB41166" w14:textId="77777777" w:rsidR="003F0CDB" w:rsidRPr="00EA0DC7" w:rsidRDefault="003F0CDB" w:rsidP="00957911">
            <w:pPr>
              <w:spacing w:after="0" w:line="240" w:lineRule="auto"/>
              <w:jc w:val="right"/>
              <w:rPr>
                <w:rFonts w:eastAsia="Times New Roman" w:cs="Arial"/>
                <w:b/>
                <w:sz w:val="20"/>
                <w:szCs w:val="20"/>
              </w:rPr>
            </w:pPr>
            <w:r w:rsidRPr="00EA0DC7">
              <w:rPr>
                <w:rFonts w:eastAsia="Times New Roman" w:cs="Arial"/>
                <w:b/>
                <w:sz w:val="20"/>
                <w:szCs w:val="20"/>
              </w:rPr>
              <w:t>with</w:t>
            </w:r>
          </w:p>
          <w:p w14:paraId="460C74C2" w14:textId="77777777" w:rsidR="003F0CDB" w:rsidRPr="00EA0DC7" w:rsidRDefault="003F0CDB" w:rsidP="00957911">
            <w:pPr>
              <w:spacing w:after="0" w:line="240" w:lineRule="auto"/>
              <w:jc w:val="right"/>
              <w:rPr>
                <w:rFonts w:eastAsia="Times New Roman" w:cs="Arial"/>
                <w:b/>
                <w:bCs/>
                <w:sz w:val="20"/>
                <w:szCs w:val="20"/>
              </w:rPr>
            </w:pPr>
            <w:r w:rsidRPr="00EA0DC7">
              <w:rPr>
                <w:rFonts w:eastAsia="Times New Roman" w:cs="Arial"/>
                <w:b/>
                <w:sz w:val="20"/>
                <w:szCs w:val="20"/>
              </w:rPr>
              <w:t>element</w:t>
            </w:r>
          </w:p>
          <w:p w14:paraId="26B211B4" w14:textId="77777777" w:rsidR="00A65E63" w:rsidRPr="00EA0DC7" w:rsidRDefault="00A65E63" w:rsidP="00957911">
            <w:pPr>
              <w:spacing w:line="240" w:lineRule="auto"/>
              <w:rPr>
                <w:rFonts w:eastAsia="Times New Roman" w:cs="Arial"/>
                <w:b/>
                <w:bCs/>
                <w:sz w:val="20"/>
                <w:szCs w:val="20"/>
              </w:rPr>
            </w:pPr>
          </w:p>
          <w:p w14:paraId="66E8164F" w14:textId="5835E57F" w:rsidR="003F0CDB" w:rsidRPr="00EA0DC7" w:rsidRDefault="003F0CDB" w:rsidP="00957911">
            <w:pPr>
              <w:spacing w:line="240" w:lineRule="auto"/>
              <w:rPr>
                <w:rFonts w:eastAsia="Times New Roman" w:cs="Arial"/>
                <w:bCs/>
                <w:sz w:val="20"/>
                <w:szCs w:val="20"/>
              </w:rPr>
            </w:pPr>
            <w:r w:rsidRPr="00EA0DC7">
              <w:rPr>
                <w:rFonts w:eastAsia="Times New Roman" w:cs="Arial"/>
                <w:b/>
                <w:bCs/>
                <w:sz w:val="20"/>
                <w:szCs w:val="20"/>
              </w:rPr>
              <w:t>Model/         approach</w:t>
            </w:r>
          </w:p>
        </w:tc>
        <w:tc>
          <w:tcPr>
            <w:tcW w:w="1077" w:type="dxa"/>
            <w:tcBorders>
              <w:top w:val="single" w:sz="4" w:space="0" w:color="auto"/>
              <w:left w:val="nil"/>
              <w:right w:val="nil"/>
            </w:tcBorders>
            <w:shd w:val="clear" w:color="auto" w:fill="auto"/>
            <w:vAlign w:val="center"/>
            <w:hideMark/>
          </w:tcPr>
          <w:p w14:paraId="70ACBAC0"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31</w:t>
            </w:r>
          </w:p>
          <w:p w14:paraId="2D8540B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(59.62%)</w:t>
            </w:r>
          </w:p>
        </w:tc>
        <w:tc>
          <w:tcPr>
            <w:tcW w:w="1247" w:type="dxa"/>
            <w:tcBorders>
              <w:top w:val="single" w:sz="4" w:space="0" w:color="auto"/>
              <w:left w:val="nil"/>
              <w:right w:val="nil"/>
            </w:tcBorders>
            <w:shd w:val="clear" w:color="auto" w:fill="auto"/>
            <w:vAlign w:val="center"/>
            <w:hideMark/>
          </w:tcPr>
          <w:p w14:paraId="6C10E57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w:t>
            </w:r>
          </w:p>
          <w:p w14:paraId="5F406537"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(3.85%)</w:t>
            </w:r>
          </w:p>
        </w:tc>
        <w:tc>
          <w:tcPr>
            <w:tcW w:w="1134" w:type="dxa"/>
            <w:tcBorders>
              <w:top w:val="single" w:sz="4" w:space="0" w:color="auto"/>
              <w:left w:val="nil"/>
              <w:right w:val="nil"/>
            </w:tcBorders>
            <w:shd w:val="clear" w:color="auto" w:fill="auto"/>
            <w:vAlign w:val="center"/>
            <w:hideMark/>
          </w:tcPr>
          <w:p w14:paraId="4477DE66"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w:t>
            </w:r>
          </w:p>
          <w:p w14:paraId="459BCCB7"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(3.85%)</w:t>
            </w:r>
          </w:p>
        </w:tc>
        <w:tc>
          <w:tcPr>
            <w:tcW w:w="1361" w:type="dxa"/>
            <w:tcBorders>
              <w:top w:val="single" w:sz="4" w:space="0" w:color="auto"/>
              <w:left w:val="nil"/>
              <w:right w:val="nil"/>
            </w:tcBorders>
            <w:vAlign w:val="center"/>
          </w:tcPr>
          <w:p w14:paraId="05096446"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w:t>
            </w:r>
          </w:p>
          <w:p w14:paraId="54587219"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(3.85%)</w:t>
            </w:r>
          </w:p>
        </w:tc>
        <w:tc>
          <w:tcPr>
            <w:tcW w:w="1361" w:type="dxa"/>
            <w:tcBorders>
              <w:top w:val="single" w:sz="4" w:space="0" w:color="auto"/>
              <w:left w:val="nil"/>
              <w:right w:val="nil"/>
            </w:tcBorders>
            <w:vAlign w:val="center"/>
          </w:tcPr>
          <w:p w14:paraId="601E0A6A"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8</w:t>
            </w:r>
          </w:p>
          <w:p w14:paraId="7B825C78"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(15.38%)</w:t>
            </w:r>
          </w:p>
        </w:tc>
        <w:tc>
          <w:tcPr>
            <w:tcW w:w="1247" w:type="dxa"/>
            <w:tcBorders>
              <w:top w:val="single" w:sz="4" w:space="0" w:color="auto"/>
              <w:left w:val="nil"/>
              <w:right w:val="nil"/>
            </w:tcBorders>
            <w:vAlign w:val="center"/>
          </w:tcPr>
          <w:p w14:paraId="5322713C"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5</w:t>
            </w:r>
          </w:p>
          <w:p w14:paraId="6B5EFE8F"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(9.62%)</w:t>
            </w:r>
          </w:p>
        </w:tc>
        <w:tc>
          <w:tcPr>
            <w:tcW w:w="1304" w:type="dxa"/>
            <w:tcBorders>
              <w:top w:val="single" w:sz="4" w:space="0" w:color="auto"/>
              <w:left w:val="nil"/>
              <w:right w:val="nil"/>
            </w:tcBorders>
            <w:vAlign w:val="center"/>
          </w:tcPr>
          <w:p w14:paraId="3658A624"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w:t>
            </w:r>
          </w:p>
          <w:p w14:paraId="01EA8607"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(5.77%)</w:t>
            </w:r>
          </w:p>
        </w:tc>
        <w:tc>
          <w:tcPr>
            <w:tcW w:w="1559" w:type="dxa"/>
            <w:tcBorders>
              <w:top w:val="single" w:sz="4" w:space="0" w:color="auto"/>
              <w:left w:val="nil"/>
              <w:right w:val="nil"/>
            </w:tcBorders>
            <w:vAlign w:val="center"/>
          </w:tcPr>
          <w:p w14:paraId="1D2470F2"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4</w:t>
            </w:r>
          </w:p>
          <w:p w14:paraId="1A0DA273"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(7.69%)</w:t>
            </w:r>
          </w:p>
        </w:tc>
        <w:tc>
          <w:tcPr>
            <w:tcW w:w="1701" w:type="dxa"/>
            <w:tcBorders>
              <w:top w:val="single" w:sz="4" w:space="0" w:color="auto"/>
              <w:left w:val="nil"/>
              <w:right w:val="nil"/>
            </w:tcBorders>
            <w:vAlign w:val="center"/>
          </w:tcPr>
          <w:p w14:paraId="181DD88B"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2</w:t>
            </w:r>
          </w:p>
          <w:p w14:paraId="4C08F9E7" w14:textId="77777777" w:rsidR="003F0CDB" w:rsidRPr="00EA0DC7" w:rsidRDefault="003F0CDB" w:rsidP="00957911">
            <w:pPr>
              <w:spacing w:after="0" w:line="240" w:lineRule="auto"/>
              <w:jc w:val="center"/>
              <w:rPr>
                <w:rFonts w:eastAsia="Times New Roman" w:cs="Arial"/>
                <w:sz w:val="20"/>
                <w:szCs w:val="20"/>
              </w:rPr>
            </w:pPr>
            <w:r w:rsidRPr="00EA0DC7">
              <w:rPr>
                <w:rFonts w:eastAsia="Times New Roman" w:cs="Arial"/>
                <w:sz w:val="20"/>
                <w:szCs w:val="20"/>
              </w:rPr>
              <w:t>(3.85%)</w:t>
            </w:r>
          </w:p>
        </w:tc>
      </w:tr>
      <w:tr w:rsidR="003F0CDB" w:rsidRPr="00EA0DC7" w14:paraId="3B2D3D4B" w14:textId="77777777" w:rsidTr="00F4729C">
        <w:trPr>
          <w:trHeight w:val="283"/>
        </w:trPr>
        <w:tc>
          <w:tcPr>
            <w:tcW w:w="1985" w:type="dxa"/>
            <w:tcBorders>
              <w:left w:val="nil"/>
              <w:bottom w:val="nil"/>
              <w:right w:val="nil"/>
            </w:tcBorders>
            <w:shd w:val="clear" w:color="auto" w:fill="auto"/>
            <w:hideMark/>
          </w:tcPr>
          <w:p w14:paraId="215FDB3C"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Hogan (1964)</w:t>
            </w:r>
          </w:p>
        </w:tc>
        <w:tc>
          <w:tcPr>
            <w:tcW w:w="1077" w:type="dxa"/>
            <w:tcBorders>
              <w:left w:val="nil"/>
              <w:bottom w:val="nil"/>
              <w:right w:val="nil"/>
            </w:tcBorders>
            <w:shd w:val="clear" w:color="auto" w:fill="auto"/>
            <w:noWrap/>
            <w:vAlign w:val="center"/>
            <w:hideMark/>
          </w:tcPr>
          <w:p w14:paraId="756A6309"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left w:val="nil"/>
              <w:bottom w:val="nil"/>
              <w:right w:val="nil"/>
            </w:tcBorders>
            <w:shd w:val="clear" w:color="auto" w:fill="auto"/>
            <w:noWrap/>
            <w:vAlign w:val="center"/>
            <w:hideMark/>
          </w:tcPr>
          <w:p w14:paraId="0D665319"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298E9F41"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left w:val="nil"/>
              <w:bottom w:val="nil"/>
              <w:right w:val="nil"/>
            </w:tcBorders>
            <w:vAlign w:val="center"/>
          </w:tcPr>
          <w:p w14:paraId="5F804ACA"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left w:val="nil"/>
              <w:bottom w:val="nil"/>
              <w:right w:val="nil"/>
            </w:tcBorders>
            <w:vAlign w:val="center"/>
          </w:tcPr>
          <w:p w14:paraId="57C220D7"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vAlign w:val="center"/>
          </w:tcPr>
          <w:p w14:paraId="4D72C2CE"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left w:val="nil"/>
              <w:bottom w:val="nil"/>
              <w:right w:val="nil"/>
            </w:tcBorders>
            <w:vAlign w:val="center"/>
          </w:tcPr>
          <w:p w14:paraId="46A8257D"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left w:val="nil"/>
              <w:bottom w:val="nil"/>
              <w:right w:val="nil"/>
            </w:tcBorders>
            <w:vAlign w:val="center"/>
          </w:tcPr>
          <w:p w14:paraId="3BB2FF48"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left w:val="nil"/>
              <w:bottom w:val="nil"/>
              <w:right w:val="nil"/>
            </w:tcBorders>
            <w:vAlign w:val="center"/>
          </w:tcPr>
          <w:p w14:paraId="5CF842F3"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047C2C1B" w14:textId="77777777" w:rsidTr="00A65E63">
        <w:trPr>
          <w:trHeight w:val="283"/>
        </w:trPr>
        <w:tc>
          <w:tcPr>
            <w:tcW w:w="1985" w:type="dxa"/>
            <w:tcBorders>
              <w:top w:val="nil"/>
              <w:left w:val="nil"/>
              <w:bottom w:val="nil"/>
              <w:right w:val="nil"/>
            </w:tcBorders>
            <w:shd w:val="clear" w:color="auto" w:fill="auto"/>
            <w:hideMark/>
          </w:tcPr>
          <w:p w14:paraId="519537FE"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Ekstein &amp; Wallerstein (1972)</w:t>
            </w:r>
          </w:p>
        </w:tc>
        <w:tc>
          <w:tcPr>
            <w:tcW w:w="1077" w:type="dxa"/>
            <w:tcBorders>
              <w:top w:val="nil"/>
              <w:left w:val="nil"/>
              <w:bottom w:val="nil"/>
              <w:right w:val="nil"/>
            </w:tcBorders>
            <w:shd w:val="clear" w:color="auto" w:fill="auto"/>
            <w:noWrap/>
            <w:vAlign w:val="center"/>
            <w:hideMark/>
          </w:tcPr>
          <w:p w14:paraId="6491EBA1"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shd w:val="clear" w:color="auto" w:fill="auto"/>
            <w:noWrap/>
            <w:vAlign w:val="center"/>
            <w:hideMark/>
          </w:tcPr>
          <w:p w14:paraId="4D096FF5"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shd w:val="clear" w:color="auto" w:fill="auto"/>
            <w:noWrap/>
            <w:vAlign w:val="center"/>
            <w:hideMark/>
          </w:tcPr>
          <w:p w14:paraId="7E18D621"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19DB9ECF"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1968378E"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vAlign w:val="center"/>
          </w:tcPr>
          <w:p w14:paraId="4E27F995"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nil"/>
              <w:right w:val="nil"/>
            </w:tcBorders>
            <w:vAlign w:val="center"/>
          </w:tcPr>
          <w:p w14:paraId="6E9EAF67"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nil"/>
              <w:right w:val="nil"/>
            </w:tcBorders>
            <w:vAlign w:val="center"/>
          </w:tcPr>
          <w:p w14:paraId="58BC004C"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nil"/>
              <w:right w:val="nil"/>
            </w:tcBorders>
            <w:vAlign w:val="center"/>
          </w:tcPr>
          <w:p w14:paraId="3F644371" w14:textId="77777777" w:rsidR="003F0CDB" w:rsidRPr="00EA0DC7" w:rsidRDefault="003F0CDB" w:rsidP="00957911">
            <w:pPr>
              <w:spacing w:line="240" w:lineRule="auto"/>
              <w:jc w:val="center"/>
              <w:rPr>
                <w:rFonts w:eastAsia="Times New Roman" w:cs="Arial"/>
                <w:sz w:val="20"/>
                <w:szCs w:val="20"/>
              </w:rPr>
            </w:pPr>
          </w:p>
        </w:tc>
      </w:tr>
      <w:tr w:rsidR="003F0CDB" w:rsidRPr="00EA0DC7" w14:paraId="058B0F1A" w14:textId="77777777" w:rsidTr="00A65E63">
        <w:trPr>
          <w:trHeight w:val="283"/>
        </w:trPr>
        <w:tc>
          <w:tcPr>
            <w:tcW w:w="1985" w:type="dxa"/>
            <w:tcBorders>
              <w:top w:val="nil"/>
              <w:left w:val="nil"/>
              <w:bottom w:val="nil"/>
              <w:right w:val="nil"/>
            </w:tcBorders>
            <w:shd w:val="clear" w:color="auto" w:fill="auto"/>
            <w:hideMark/>
          </w:tcPr>
          <w:p w14:paraId="2AB4CA6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Mueller &amp; Kell (1971)</w:t>
            </w:r>
          </w:p>
        </w:tc>
        <w:tc>
          <w:tcPr>
            <w:tcW w:w="1077" w:type="dxa"/>
            <w:tcBorders>
              <w:top w:val="nil"/>
              <w:left w:val="nil"/>
              <w:bottom w:val="nil"/>
              <w:right w:val="nil"/>
            </w:tcBorders>
            <w:shd w:val="clear" w:color="auto" w:fill="auto"/>
            <w:noWrap/>
            <w:vAlign w:val="center"/>
            <w:hideMark/>
          </w:tcPr>
          <w:p w14:paraId="74C65711"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shd w:val="clear" w:color="auto" w:fill="auto"/>
            <w:noWrap/>
            <w:vAlign w:val="center"/>
            <w:hideMark/>
          </w:tcPr>
          <w:p w14:paraId="78070C1A"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shd w:val="clear" w:color="auto" w:fill="auto"/>
            <w:noWrap/>
            <w:vAlign w:val="center"/>
            <w:hideMark/>
          </w:tcPr>
          <w:p w14:paraId="4168350F"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55C864C7"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03CF0874"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vAlign w:val="center"/>
          </w:tcPr>
          <w:p w14:paraId="3883FBAB"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nil"/>
              <w:right w:val="nil"/>
            </w:tcBorders>
            <w:vAlign w:val="center"/>
          </w:tcPr>
          <w:p w14:paraId="3A5AAB6F"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nil"/>
              <w:right w:val="nil"/>
            </w:tcBorders>
            <w:vAlign w:val="center"/>
          </w:tcPr>
          <w:p w14:paraId="436F92C5"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nil"/>
              <w:right w:val="nil"/>
            </w:tcBorders>
            <w:vAlign w:val="center"/>
          </w:tcPr>
          <w:p w14:paraId="2A5E7A6A" w14:textId="77777777" w:rsidR="003F0CDB" w:rsidRPr="00EA0DC7" w:rsidRDefault="003F0CDB" w:rsidP="00957911">
            <w:pPr>
              <w:spacing w:line="240" w:lineRule="auto"/>
              <w:jc w:val="center"/>
              <w:rPr>
                <w:rFonts w:eastAsia="Times New Roman" w:cs="Arial"/>
                <w:sz w:val="20"/>
                <w:szCs w:val="20"/>
              </w:rPr>
            </w:pPr>
          </w:p>
        </w:tc>
      </w:tr>
      <w:tr w:rsidR="003F0CDB" w:rsidRPr="00EA0DC7" w14:paraId="7E489E62" w14:textId="77777777" w:rsidTr="00A65E63">
        <w:trPr>
          <w:trHeight w:val="283"/>
        </w:trPr>
        <w:tc>
          <w:tcPr>
            <w:tcW w:w="1985" w:type="dxa"/>
            <w:tcBorders>
              <w:top w:val="nil"/>
              <w:left w:val="nil"/>
              <w:bottom w:val="single" w:sz="4" w:space="0" w:color="auto"/>
              <w:right w:val="nil"/>
            </w:tcBorders>
            <w:shd w:val="clear" w:color="auto" w:fill="auto"/>
            <w:hideMark/>
          </w:tcPr>
          <w:p w14:paraId="42CEFCB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Delaney (1972)</w:t>
            </w:r>
          </w:p>
        </w:tc>
        <w:tc>
          <w:tcPr>
            <w:tcW w:w="1077" w:type="dxa"/>
            <w:tcBorders>
              <w:top w:val="nil"/>
              <w:left w:val="nil"/>
              <w:bottom w:val="single" w:sz="4" w:space="0" w:color="auto"/>
              <w:right w:val="nil"/>
            </w:tcBorders>
            <w:shd w:val="clear" w:color="auto" w:fill="auto"/>
            <w:noWrap/>
            <w:vAlign w:val="center"/>
            <w:hideMark/>
          </w:tcPr>
          <w:p w14:paraId="19C1A8A9"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auto"/>
              <w:right w:val="nil"/>
            </w:tcBorders>
            <w:shd w:val="clear" w:color="auto" w:fill="auto"/>
            <w:noWrap/>
            <w:vAlign w:val="center"/>
            <w:hideMark/>
          </w:tcPr>
          <w:p w14:paraId="35702D5E"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single" w:sz="4" w:space="0" w:color="auto"/>
              <w:right w:val="nil"/>
            </w:tcBorders>
            <w:shd w:val="clear" w:color="auto" w:fill="auto"/>
            <w:noWrap/>
            <w:vAlign w:val="center"/>
            <w:hideMark/>
          </w:tcPr>
          <w:p w14:paraId="2B893E0D"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auto"/>
              <w:right w:val="nil"/>
            </w:tcBorders>
            <w:vAlign w:val="center"/>
          </w:tcPr>
          <w:p w14:paraId="4B1E3677"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61" w:type="dxa"/>
            <w:tcBorders>
              <w:top w:val="nil"/>
              <w:left w:val="nil"/>
              <w:bottom w:val="single" w:sz="4" w:space="0" w:color="auto"/>
              <w:right w:val="nil"/>
            </w:tcBorders>
            <w:vAlign w:val="center"/>
          </w:tcPr>
          <w:p w14:paraId="611C407B"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auto"/>
              <w:right w:val="nil"/>
            </w:tcBorders>
            <w:vAlign w:val="center"/>
          </w:tcPr>
          <w:p w14:paraId="13E292F1"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single" w:sz="4" w:space="0" w:color="auto"/>
              <w:right w:val="nil"/>
            </w:tcBorders>
            <w:vAlign w:val="center"/>
          </w:tcPr>
          <w:p w14:paraId="762BDC5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bottom w:val="single" w:sz="4" w:space="0" w:color="auto"/>
              <w:right w:val="nil"/>
            </w:tcBorders>
            <w:vAlign w:val="center"/>
          </w:tcPr>
          <w:p w14:paraId="0BB22AE4"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single" w:sz="4" w:space="0" w:color="auto"/>
              <w:right w:val="nil"/>
            </w:tcBorders>
            <w:vAlign w:val="center"/>
          </w:tcPr>
          <w:p w14:paraId="4D242267" w14:textId="77777777" w:rsidR="003F0CDB" w:rsidRPr="00EA0DC7" w:rsidRDefault="003F0CDB" w:rsidP="00957911">
            <w:pPr>
              <w:spacing w:line="240" w:lineRule="auto"/>
              <w:jc w:val="center"/>
              <w:rPr>
                <w:rFonts w:eastAsia="Times New Roman" w:cs="Arial"/>
                <w:sz w:val="20"/>
                <w:szCs w:val="20"/>
              </w:rPr>
            </w:pPr>
          </w:p>
        </w:tc>
      </w:tr>
    </w:tbl>
    <w:p w14:paraId="6E41FE14" w14:textId="77777777" w:rsidR="00004733" w:rsidRPr="00EA0DC7" w:rsidRDefault="00004733" w:rsidP="00A65E63">
      <w:pPr>
        <w:spacing w:before="240" w:line="240" w:lineRule="auto"/>
        <w:jc w:val="center"/>
        <w:rPr>
          <w:rFonts w:eastAsia="Times New Roman" w:cs="Arial"/>
          <w:b/>
          <w:bCs/>
          <w:sz w:val="20"/>
          <w:szCs w:val="20"/>
        </w:rPr>
        <w:sectPr w:rsidR="00004733" w:rsidRPr="00EA0DC7" w:rsidSect="001A0398">
          <w:type w:val="nextColumn"/>
          <w:pgSz w:w="16838" w:h="11906" w:orient="landscape"/>
          <w:pgMar w:top="2268" w:right="1440" w:bottom="1440" w:left="1440" w:header="709" w:footer="709" w:gutter="0"/>
          <w:cols w:space="708"/>
          <w:docGrid w:linePitch="360"/>
        </w:sectPr>
      </w:pP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A65E63" w:rsidRPr="00EA0DC7" w14:paraId="0737BF43" w14:textId="77777777" w:rsidTr="00A65E63">
        <w:trPr>
          <w:trHeight w:val="283"/>
        </w:trPr>
        <w:tc>
          <w:tcPr>
            <w:tcW w:w="1985" w:type="dxa"/>
            <w:tcBorders>
              <w:top w:val="single" w:sz="4" w:space="0" w:color="auto"/>
              <w:left w:val="nil"/>
              <w:bottom w:val="single" w:sz="4" w:space="0" w:color="auto"/>
              <w:right w:val="nil"/>
            </w:tcBorders>
            <w:shd w:val="clear" w:color="auto" w:fill="auto"/>
            <w:vAlign w:val="center"/>
          </w:tcPr>
          <w:p w14:paraId="4B091E28" w14:textId="6FDC374A"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077" w:type="dxa"/>
            <w:tcBorders>
              <w:top w:val="single" w:sz="4" w:space="0" w:color="auto"/>
              <w:left w:val="nil"/>
              <w:bottom w:val="single" w:sz="4" w:space="0" w:color="auto"/>
              <w:right w:val="nil"/>
            </w:tcBorders>
            <w:shd w:val="clear" w:color="auto" w:fill="auto"/>
            <w:noWrap/>
            <w:vAlign w:val="center"/>
          </w:tcPr>
          <w:p w14:paraId="37D6C6EA" w14:textId="3C193E6B"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noWrap/>
            <w:vAlign w:val="center"/>
          </w:tcPr>
          <w:p w14:paraId="4599C571" w14:textId="2F7C6617"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noWrap/>
            <w:vAlign w:val="center"/>
          </w:tcPr>
          <w:p w14:paraId="37385000" w14:textId="52654451"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0661E293" w14:textId="11FAA79A"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743DDB52" w14:textId="57FC800F"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0413C24B" w14:textId="0CC9935F"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05116123" w14:textId="2C2767C6"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06C81D70" w14:textId="7EC4DC9C"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461DFB1F" w14:textId="61504A06"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how an administrator fits into the supervisory process</w:t>
            </w:r>
          </w:p>
        </w:tc>
      </w:tr>
      <w:tr w:rsidR="003F0CDB" w:rsidRPr="00EA0DC7" w14:paraId="10CF75EE" w14:textId="77777777" w:rsidTr="00A65E63">
        <w:trPr>
          <w:trHeight w:val="283"/>
        </w:trPr>
        <w:tc>
          <w:tcPr>
            <w:tcW w:w="1985" w:type="dxa"/>
            <w:tcBorders>
              <w:top w:val="single" w:sz="4" w:space="0" w:color="auto"/>
              <w:left w:val="nil"/>
              <w:right w:val="nil"/>
            </w:tcBorders>
            <w:shd w:val="clear" w:color="auto" w:fill="auto"/>
            <w:hideMark/>
          </w:tcPr>
          <w:p w14:paraId="42F1150E"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Ard (1973)</w:t>
            </w:r>
          </w:p>
        </w:tc>
        <w:tc>
          <w:tcPr>
            <w:tcW w:w="1077" w:type="dxa"/>
            <w:tcBorders>
              <w:top w:val="single" w:sz="4" w:space="0" w:color="auto"/>
              <w:left w:val="nil"/>
              <w:right w:val="nil"/>
            </w:tcBorders>
            <w:shd w:val="clear" w:color="auto" w:fill="auto"/>
            <w:noWrap/>
            <w:vAlign w:val="center"/>
            <w:hideMark/>
          </w:tcPr>
          <w:p w14:paraId="35C192E0"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single" w:sz="4" w:space="0" w:color="auto"/>
              <w:left w:val="nil"/>
              <w:right w:val="nil"/>
            </w:tcBorders>
            <w:shd w:val="clear" w:color="auto" w:fill="auto"/>
            <w:noWrap/>
            <w:vAlign w:val="center"/>
            <w:hideMark/>
          </w:tcPr>
          <w:p w14:paraId="5E2C7E94"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top w:val="single" w:sz="4" w:space="0" w:color="auto"/>
              <w:left w:val="nil"/>
              <w:right w:val="nil"/>
            </w:tcBorders>
            <w:shd w:val="clear" w:color="auto" w:fill="auto"/>
            <w:noWrap/>
            <w:vAlign w:val="center"/>
            <w:hideMark/>
          </w:tcPr>
          <w:p w14:paraId="6C00E07C"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361" w:type="dxa"/>
            <w:tcBorders>
              <w:top w:val="single" w:sz="4" w:space="0" w:color="auto"/>
              <w:left w:val="nil"/>
              <w:right w:val="nil"/>
            </w:tcBorders>
            <w:vAlign w:val="center"/>
          </w:tcPr>
          <w:p w14:paraId="78B0E463"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3536A72C"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single" w:sz="4" w:space="0" w:color="auto"/>
              <w:left w:val="nil"/>
              <w:right w:val="nil"/>
            </w:tcBorders>
            <w:vAlign w:val="center"/>
          </w:tcPr>
          <w:p w14:paraId="0CB80A8B"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top w:val="single" w:sz="4" w:space="0" w:color="auto"/>
              <w:left w:val="nil"/>
              <w:right w:val="nil"/>
            </w:tcBorders>
            <w:vAlign w:val="center"/>
          </w:tcPr>
          <w:p w14:paraId="0B793BE2"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top w:val="single" w:sz="4" w:space="0" w:color="auto"/>
              <w:left w:val="nil"/>
              <w:right w:val="nil"/>
            </w:tcBorders>
            <w:vAlign w:val="center"/>
          </w:tcPr>
          <w:p w14:paraId="44FB0838"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top w:val="single" w:sz="4" w:space="0" w:color="auto"/>
              <w:left w:val="nil"/>
              <w:right w:val="nil"/>
            </w:tcBorders>
            <w:vAlign w:val="center"/>
          </w:tcPr>
          <w:p w14:paraId="6D77323E"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1A01ADB6" w14:textId="77777777" w:rsidTr="00A65E63">
        <w:trPr>
          <w:trHeight w:val="283"/>
        </w:trPr>
        <w:tc>
          <w:tcPr>
            <w:tcW w:w="1985" w:type="dxa"/>
            <w:tcBorders>
              <w:top w:val="nil"/>
              <w:left w:val="nil"/>
              <w:right w:val="nil"/>
            </w:tcBorders>
            <w:shd w:val="clear" w:color="auto" w:fill="auto"/>
            <w:hideMark/>
          </w:tcPr>
          <w:p w14:paraId="01EBD341"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Bernard (1979)</w:t>
            </w:r>
          </w:p>
        </w:tc>
        <w:tc>
          <w:tcPr>
            <w:tcW w:w="1077" w:type="dxa"/>
            <w:tcBorders>
              <w:top w:val="nil"/>
              <w:left w:val="nil"/>
              <w:right w:val="nil"/>
            </w:tcBorders>
            <w:shd w:val="clear" w:color="auto" w:fill="auto"/>
            <w:noWrap/>
            <w:vAlign w:val="center"/>
            <w:hideMark/>
          </w:tcPr>
          <w:p w14:paraId="4F140309"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4DC5405F"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23434DA9"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68071B5E"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73B1D038"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078DE3D7"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696A6D5E"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32F2AD2E"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22EA851F" w14:textId="77777777" w:rsidR="003F0CDB" w:rsidRPr="00EA0DC7" w:rsidRDefault="003F0CDB" w:rsidP="00957911">
            <w:pPr>
              <w:spacing w:line="240" w:lineRule="auto"/>
              <w:jc w:val="center"/>
              <w:rPr>
                <w:rFonts w:eastAsia="Times New Roman" w:cs="Arial"/>
                <w:sz w:val="20"/>
                <w:szCs w:val="20"/>
              </w:rPr>
            </w:pPr>
          </w:p>
        </w:tc>
      </w:tr>
      <w:tr w:rsidR="003F0CDB" w:rsidRPr="00EA0DC7" w14:paraId="4882D6CE" w14:textId="77777777" w:rsidTr="00A65E63">
        <w:trPr>
          <w:trHeight w:val="283"/>
        </w:trPr>
        <w:tc>
          <w:tcPr>
            <w:tcW w:w="1985" w:type="dxa"/>
            <w:tcBorders>
              <w:left w:val="nil"/>
              <w:right w:val="nil"/>
            </w:tcBorders>
            <w:shd w:val="clear" w:color="auto" w:fill="auto"/>
            <w:hideMark/>
          </w:tcPr>
          <w:p w14:paraId="4D71E27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Littrell et al. (1979)</w:t>
            </w:r>
          </w:p>
        </w:tc>
        <w:tc>
          <w:tcPr>
            <w:tcW w:w="1077" w:type="dxa"/>
            <w:tcBorders>
              <w:left w:val="nil"/>
              <w:right w:val="nil"/>
            </w:tcBorders>
            <w:shd w:val="clear" w:color="auto" w:fill="auto"/>
            <w:noWrap/>
            <w:vAlign w:val="center"/>
            <w:hideMark/>
          </w:tcPr>
          <w:p w14:paraId="250A477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shd w:val="clear" w:color="auto" w:fill="auto"/>
            <w:noWrap/>
            <w:vAlign w:val="center"/>
            <w:hideMark/>
          </w:tcPr>
          <w:p w14:paraId="1664CF0B"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3467838E"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022EBF06"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662F3E3"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2D3339D7"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213EA69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left w:val="nil"/>
              <w:right w:val="nil"/>
            </w:tcBorders>
            <w:vAlign w:val="center"/>
          </w:tcPr>
          <w:p w14:paraId="7B893B74"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5ABABA1D" w14:textId="77777777" w:rsidR="003F0CDB" w:rsidRPr="00EA0DC7" w:rsidRDefault="003F0CDB" w:rsidP="00957911">
            <w:pPr>
              <w:spacing w:line="240" w:lineRule="auto"/>
              <w:jc w:val="center"/>
              <w:rPr>
                <w:rFonts w:eastAsia="Times New Roman" w:cs="Arial"/>
                <w:sz w:val="20"/>
                <w:szCs w:val="20"/>
              </w:rPr>
            </w:pPr>
          </w:p>
        </w:tc>
      </w:tr>
      <w:tr w:rsidR="003F0CDB" w:rsidRPr="00EA0DC7" w14:paraId="056CB96F" w14:textId="77777777" w:rsidTr="00F4729C">
        <w:trPr>
          <w:trHeight w:val="80"/>
        </w:trPr>
        <w:tc>
          <w:tcPr>
            <w:tcW w:w="1985" w:type="dxa"/>
            <w:tcBorders>
              <w:left w:val="nil"/>
              <w:right w:val="nil"/>
            </w:tcBorders>
            <w:shd w:val="clear" w:color="auto" w:fill="auto"/>
            <w:hideMark/>
          </w:tcPr>
          <w:p w14:paraId="5E7788B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Langs (1980)</w:t>
            </w:r>
          </w:p>
        </w:tc>
        <w:tc>
          <w:tcPr>
            <w:tcW w:w="1077" w:type="dxa"/>
            <w:tcBorders>
              <w:left w:val="nil"/>
              <w:right w:val="nil"/>
            </w:tcBorders>
            <w:shd w:val="clear" w:color="auto" w:fill="auto"/>
            <w:noWrap/>
            <w:vAlign w:val="center"/>
            <w:hideMark/>
          </w:tcPr>
          <w:p w14:paraId="2AC55D5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709B235A"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0AA835D9"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72268CF0"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4BF9BB7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vAlign w:val="center"/>
          </w:tcPr>
          <w:p w14:paraId="469A7E41"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2FEA6745"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4E888BDF"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676AC0A0" w14:textId="77777777" w:rsidR="003F0CDB" w:rsidRPr="00EA0DC7" w:rsidRDefault="003F0CDB" w:rsidP="00957911">
            <w:pPr>
              <w:spacing w:line="240" w:lineRule="auto"/>
              <w:jc w:val="center"/>
              <w:rPr>
                <w:rFonts w:eastAsia="Times New Roman" w:cs="Arial"/>
                <w:sz w:val="20"/>
                <w:szCs w:val="20"/>
              </w:rPr>
            </w:pPr>
          </w:p>
        </w:tc>
      </w:tr>
      <w:tr w:rsidR="003F0CDB" w:rsidRPr="00EA0DC7" w14:paraId="04B817C4" w14:textId="77777777" w:rsidTr="00F4729C">
        <w:trPr>
          <w:trHeight w:val="287"/>
        </w:trPr>
        <w:tc>
          <w:tcPr>
            <w:tcW w:w="1985" w:type="dxa"/>
            <w:tcBorders>
              <w:left w:val="nil"/>
              <w:right w:val="nil"/>
            </w:tcBorders>
            <w:shd w:val="clear" w:color="auto" w:fill="auto"/>
            <w:hideMark/>
          </w:tcPr>
          <w:p w14:paraId="76A88169"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Rice (1980)</w:t>
            </w:r>
          </w:p>
        </w:tc>
        <w:tc>
          <w:tcPr>
            <w:tcW w:w="1077" w:type="dxa"/>
            <w:tcBorders>
              <w:left w:val="nil"/>
              <w:right w:val="nil"/>
            </w:tcBorders>
            <w:shd w:val="clear" w:color="auto" w:fill="auto"/>
            <w:noWrap/>
            <w:vAlign w:val="center"/>
            <w:hideMark/>
          </w:tcPr>
          <w:p w14:paraId="39797F46"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05146A17"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7B3696AB"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783F25AA"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2994DB3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4EAB0C46"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1302A8DB"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6814A1B6"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7A8CC03F" w14:textId="77777777" w:rsidR="003F0CDB" w:rsidRPr="00EA0DC7" w:rsidRDefault="003F0CDB" w:rsidP="00957911">
            <w:pPr>
              <w:spacing w:line="240" w:lineRule="auto"/>
              <w:jc w:val="center"/>
              <w:rPr>
                <w:rFonts w:eastAsia="Times New Roman" w:cs="Arial"/>
                <w:sz w:val="20"/>
                <w:szCs w:val="20"/>
              </w:rPr>
            </w:pPr>
          </w:p>
        </w:tc>
      </w:tr>
      <w:tr w:rsidR="003F0CDB" w:rsidRPr="00EA0DC7" w14:paraId="37D0443B" w14:textId="77777777" w:rsidTr="00A65E63">
        <w:trPr>
          <w:trHeight w:val="80"/>
        </w:trPr>
        <w:tc>
          <w:tcPr>
            <w:tcW w:w="1985" w:type="dxa"/>
            <w:tcBorders>
              <w:left w:val="nil"/>
              <w:right w:val="nil"/>
            </w:tcBorders>
            <w:shd w:val="clear" w:color="auto" w:fill="auto"/>
            <w:hideMark/>
          </w:tcPr>
          <w:p w14:paraId="25747CD1"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Linehan (1980)</w:t>
            </w:r>
          </w:p>
        </w:tc>
        <w:tc>
          <w:tcPr>
            <w:tcW w:w="1077" w:type="dxa"/>
            <w:tcBorders>
              <w:left w:val="nil"/>
              <w:right w:val="nil"/>
            </w:tcBorders>
            <w:shd w:val="clear" w:color="auto" w:fill="auto"/>
            <w:noWrap/>
            <w:vAlign w:val="center"/>
            <w:hideMark/>
          </w:tcPr>
          <w:p w14:paraId="00E523C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7199AE67"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2FC498F6"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242CD7D5"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6760BE46"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0570709B"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459C905F"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225B70D8"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2904CA43" w14:textId="77777777" w:rsidR="003F0CDB" w:rsidRPr="00EA0DC7" w:rsidRDefault="003F0CDB" w:rsidP="00957911">
            <w:pPr>
              <w:spacing w:line="240" w:lineRule="auto"/>
              <w:jc w:val="center"/>
              <w:rPr>
                <w:rFonts w:eastAsia="Times New Roman" w:cs="Arial"/>
                <w:sz w:val="20"/>
                <w:szCs w:val="20"/>
              </w:rPr>
            </w:pPr>
          </w:p>
        </w:tc>
      </w:tr>
      <w:tr w:rsidR="003F0CDB" w:rsidRPr="00EA0DC7" w14:paraId="59CE9F7C" w14:textId="77777777" w:rsidTr="00A65E63">
        <w:trPr>
          <w:trHeight w:val="283"/>
        </w:trPr>
        <w:tc>
          <w:tcPr>
            <w:tcW w:w="1985" w:type="dxa"/>
            <w:tcBorders>
              <w:top w:val="nil"/>
              <w:left w:val="nil"/>
              <w:right w:val="nil"/>
            </w:tcBorders>
            <w:shd w:val="clear" w:color="auto" w:fill="auto"/>
            <w:hideMark/>
          </w:tcPr>
          <w:p w14:paraId="4BD667B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Beier &amp; Young (1980)</w:t>
            </w:r>
          </w:p>
        </w:tc>
        <w:tc>
          <w:tcPr>
            <w:tcW w:w="1077" w:type="dxa"/>
            <w:tcBorders>
              <w:top w:val="nil"/>
              <w:left w:val="nil"/>
              <w:right w:val="nil"/>
            </w:tcBorders>
            <w:shd w:val="clear" w:color="auto" w:fill="auto"/>
            <w:noWrap/>
            <w:vAlign w:val="center"/>
            <w:hideMark/>
          </w:tcPr>
          <w:p w14:paraId="7B56DBD5"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4E3C653A"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7E043CCE"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039DA9C5"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528692A7"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0FB4F15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04" w:type="dxa"/>
            <w:tcBorders>
              <w:top w:val="nil"/>
              <w:left w:val="nil"/>
              <w:right w:val="nil"/>
            </w:tcBorders>
            <w:vAlign w:val="center"/>
          </w:tcPr>
          <w:p w14:paraId="2B9AE322"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70084AFE"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0931E298" w14:textId="77777777" w:rsidR="003F0CDB" w:rsidRPr="00EA0DC7" w:rsidRDefault="003F0CDB" w:rsidP="00957911">
            <w:pPr>
              <w:spacing w:line="240" w:lineRule="auto"/>
              <w:jc w:val="center"/>
              <w:rPr>
                <w:rFonts w:eastAsia="Times New Roman" w:cs="Arial"/>
                <w:sz w:val="20"/>
                <w:szCs w:val="20"/>
              </w:rPr>
            </w:pPr>
          </w:p>
        </w:tc>
      </w:tr>
      <w:tr w:rsidR="003F0CDB" w:rsidRPr="00EA0DC7" w14:paraId="727A24C3" w14:textId="77777777" w:rsidTr="00A65E63">
        <w:trPr>
          <w:trHeight w:val="416"/>
        </w:trPr>
        <w:tc>
          <w:tcPr>
            <w:tcW w:w="1985" w:type="dxa"/>
            <w:tcBorders>
              <w:left w:val="nil"/>
              <w:right w:val="nil"/>
            </w:tcBorders>
            <w:shd w:val="clear" w:color="auto" w:fill="auto"/>
            <w:hideMark/>
          </w:tcPr>
          <w:p w14:paraId="66C92FB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Stoltenberg (1981)</w:t>
            </w:r>
          </w:p>
        </w:tc>
        <w:tc>
          <w:tcPr>
            <w:tcW w:w="1077" w:type="dxa"/>
            <w:tcBorders>
              <w:left w:val="nil"/>
              <w:right w:val="nil"/>
            </w:tcBorders>
            <w:shd w:val="clear" w:color="auto" w:fill="auto"/>
            <w:noWrap/>
            <w:vAlign w:val="center"/>
            <w:hideMark/>
          </w:tcPr>
          <w:p w14:paraId="4F3846E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3D045047"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69887727"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34FF852"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1DF643DF"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0B9692F0"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2A8FBB42"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670FA40C"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5E154EBA" w14:textId="77777777" w:rsidR="003F0CDB" w:rsidRPr="00EA0DC7" w:rsidRDefault="003F0CDB" w:rsidP="00957911">
            <w:pPr>
              <w:spacing w:line="240" w:lineRule="auto"/>
              <w:jc w:val="center"/>
              <w:rPr>
                <w:rFonts w:eastAsia="Times New Roman" w:cs="Arial"/>
                <w:sz w:val="20"/>
                <w:szCs w:val="20"/>
              </w:rPr>
            </w:pPr>
          </w:p>
        </w:tc>
      </w:tr>
      <w:tr w:rsidR="003F0CDB" w:rsidRPr="00EA0DC7" w14:paraId="0CD5DC6D" w14:textId="77777777" w:rsidTr="00A65E63">
        <w:trPr>
          <w:trHeight w:val="70"/>
        </w:trPr>
        <w:tc>
          <w:tcPr>
            <w:tcW w:w="1985" w:type="dxa"/>
            <w:tcBorders>
              <w:left w:val="nil"/>
              <w:right w:val="nil"/>
            </w:tcBorders>
            <w:shd w:val="clear" w:color="auto" w:fill="auto"/>
            <w:hideMark/>
          </w:tcPr>
          <w:p w14:paraId="52E13BF5"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Loganbill et al. (1982)</w:t>
            </w:r>
          </w:p>
        </w:tc>
        <w:tc>
          <w:tcPr>
            <w:tcW w:w="1077" w:type="dxa"/>
            <w:tcBorders>
              <w:left w:val="nil"/>
              <w:right w:val="nil"/>
            </w:tcBorders>
            <w:shd w:val="clear" w:color="auto" w:fill="auto"/>
            <w:noWrap/>
            <w:vAlign w:val="center"/>
            <w:hideMark/>
          </w:tcPr>
          <w:p w14:paraId="25C60E3B"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shd w:val="clear" w:color="auto" w:fill="auto"/>
            <w:noWrap/>
            <w:vAlign w:val="center"/>
            <w:hideMark/>
          </w:tcPr>
          <w:p w14:paraId="3A1CBA50"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7B245079"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B3021C0"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408B9CE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vAlign w:val="center"/>
          </w:tcPr>
          <w:p w14:paraId="470E9E03"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16D0A1FF"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5CE3835C"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1F334474" w14:textId="77777777" w:rsidR="003F0CDB" w:rsidRPr="00EA0DC7" w:rsidRDefault="003F0CDB" w:rsidP="00957911">
            <w:pPr>
              <w:spacing w:line="240" w:lineRule="auto"/>
              <w:jc w:val="center"/>
              <w:rPr>
                <w:rFonts w:eastAsia="Times New Roman" w:cs="Arial"/>
                <w:sz w:val="20"/>
                <w:szCs w:val="20"/>
              </w:rPr>
            </w:pPr>
          </w:p>
        </w:tc>
      </w:tr>
      <w:tr w:rsidR="003F0CDB" w:rsidRPr="00EA0DC7" w14:paraId="4048F934" w14:textId="77777777" w:rsidTr="00A65E63">
        <w:trPr>
          <w:trHeight w:val="283"/>
        </w:trPr>
        <w:tc>
          <w:tcPr>
            <w:tcW w:w="1985" w:type="dxa"/>
            <w:tcBorders>
              <w:left w:val="nil"/>
              <w:right w:val="nil"/>
            </w:tcBorders>
            <w:shd w:val="clear" w:color="auto" w:fill="auto"/>
            <w:hideMark/>
          </w:tcPr>
          <w:p w14:paraId="0376039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Yogev (1982)</w:t>
            </w:r>
          </w:p>
        </w:tc>
        <w:tc>
          <w:tcPr>
            <w:tcW w:w="1077" w:type="dxa"/>
            <w:tcBorders>
              <w:left w:val="nil"/>
              <w:right w:val="nil"/>
            </w:tcBorders>
            <w:shd w:val="clear" w:color="auto" w:fill="auto"/>
            <w:noWrap/>
            <w:vAlign w:val="center"/>
            <w:hideMark/>
          </w:tcPr>
          <w:p w14:paraId="6175527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6CEA3E94"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716FA44E"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62FF3DF1"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74F83F42"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729FB8B7"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747E3A7D"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2996D0E9"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19D94C18" w14:textId="77777777" w:rsidR="003F0CDB" w:rsidRPr="00EA0DC7" w:rsidRDefault="003F0CDB" w:rsidP="00957911">
            <w:pPr>
              <w:spacing w:line="240" w:lineRule="auto"/>
              <w:jc w:val="center"/>
              <w:rPr>
                <w:rFonts w:eastAsia="Times New Roman" w:cs="Arial"/>
                <w:sz w:val="20"/>
                <w:szCs w:val="20"/>
              </w:rPr>
            </w:pPr>
          </w:p>
        </w:tc>
      </w:tr>
      <w:tr w:rsidR="003F0CDB" w:rsidRPr="00EA0DC7" w14:paraId="5BF8D399" w14:textId="77777777" w:rsidTr="00A65E63">
        <w:trPr>
          <w:trHeight w:val="283"/>
        </w:trPr>
        <w:tc>
          <w:tcPr>
            <w:tcW w:w="1985" w:type="dxa"/>
            <w:shd w:val="clear" w:color="auto" w:fill="auto"/>
            <w:hideMark/>
          </w:tcPr>
          <w:p w14:paraId="4A8D1A7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Blocher (1983)</w:t>
            </w:r>
          </w:p>
        </w:tc>
        <w:tc>
          <w:tcPr>
            <w:tcW w:w="1077" w:type="dxa"/>
            <w:shd w:val="clear" w:color="auto" w:fill="auto"/>
            <w:noWrap/>
            <w:vAlign w:val="center"/>
            <w:hideMark/>
          </w:tcPr>
          <w:p w14:paraId="223DAB5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shd w:val="clear" w:color="auto" w:fill="auto"/>
            <w:noWrap/>
            <w:vAlign w:val="center"/>
            <w:hideMark/>
          </w:tcPr>
          <w:p w14:paraId="32E1F29B"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2124F648"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2208F70F"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4CFAB831"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vAlign w:val="center"/>
          </w:tcPr>
          <w:p w14:paraId="4978FD0D"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nil"/>
              <w:right w:val="nil"/>
            </w:tcBorders>
            <w:vAlign w:val="center"/>
          </w:tcPr>
          <w:p w14:paraId="4190BFFA"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nil"/>
              <w:right w:val="nil"/>
            </w:tcBorders>
            <w:vAlign w:val="center"/>
          </w:tcPr>
          <w:p w14:paraId="6921B501"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nil"/>
              <w:right w:val="nil"/>
            </w:tcBorders>
            <w:vAlign w:val="center"/>
          </w:tcPr>
          <w:p w14:paraId="4D29E9BD" w14:textId="77777777" w:rsidR="003F0CDB" w:rsidRPr="00EA0DC7" w:rsidRDefault="003F0CDB" w:rsidP="00957911">
            <w:pPr>
              <w:spacing w:line="240" w:lineRule="auto"/>
              <w:jc w:val="center"/>
              <w:rPr>
                <w:rFonts w:eastAsia="Times New Roman" w:cs="Arial"/>
                <w:sz w:val="20"/>
                <w:szCs w:val="20"/>
              </w:rPr>
            </w:pPr>
          </w:p>
        </w:tc>
      </w:tr>
      <w:tr w:rsidR="003F0CDB" w:rsidRPr="00EA0DC7" w14:paraId="6F885FAD" w14:textId="77777777" w:rsidTr="00A65E63">
        <w:trPr>
          <w:trHeight w:val="283"/>
        </w:trPr>
        <w:tc>
          <w:tcPr>
            <w:tcW w:w="1985" w:type="dxa"/>
            <w:tcBorders>
              <w:bottom w:val="single" w:sz="4" w:space="0" w:color="auto"/>
            </w:tcBorders>
            <w:shd w:val="clear" w:color="auto" w:fill="auto"/>
          </w:tcPr>
          <w:p w14:paraId="73DA698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Bordin (1983)</w:t>
            </w:r>
          </w:p>
        </w:tc>
        <w:tc>
          <w:tcPr>
            <w:tcW w:w="1077" w:type="dxa"/>
            <w:tcBorders>
              <w:bottom w:val="single" w:sz="4" w:space="0" w:color="auto"/>
            </w:tcBorders>
            <w:shd w:val="clear" w:color="auto" w:fill="auto"/>
            <w:vAlign w:val="center"/>
          </w:tcPr>
          <w:p w14:paraId="1D101F51"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bottom w:val="single" w:sz="4" w:space="0" w:color="auto"/>
              <w:right w:val="nil"/>
            </w:tcBorders>
            <w:shd w:val="clear" w:color="auto" w:fill="auto"/>
            <w:noWrap/>
            <w:vAlign w:val="center"/>
            <w:hideMark/>
          </w:tcPr>
          <w:p w14:paraId="0E8E18D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bottom w:val="single" w:sz="4" w:space="0" w:color="auto"/>
              <w:right w:val="nil"/>
            </w:tcBorders>
            <w:shd w:val="clear" w:color="auto" w:fill="auto"/>
            <w:noWrap/>
            <w:vAlign w:val="center"/>
            <w:hideMark/>
          </w:tcPr>
          <w:p w14:paraId="7C5C4666"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auto"/>
              <w:right w:val="nil"/>
            </w:tcBorders>
            <w:vAlign w:val="center"/>
          </w:tcPr>
          <w:p w14:paraId="7B05A3C6"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auto"/>
              <w:right w:val="nil"/>
            </w:tcBorders>
            <w:vAlign w:val="center"/>
          </w:tcPr>
          <w:p w14:paraId="2268D25A"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auto"/>
              <w:right w:val="nil"/>
            </w:tcBorders>
            <w:vAlign w:val="center"/>
          </w:tcPr>
          <w:p w14:paraId="2A5A7E12"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single" w:sz="4" w:space="0" w:color="auto"/>
              <w:right w:val="nil"/>
            </w:tcBorders>
            <w:vAlign w:val="center"/>
          </w:tcPr>
          <w:p w14:paraId="6CA334EE"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single" w:sz="4" w:space="0" w:color="auto"/>
              <w:right w:val="nil"/>
            </w:tcBorders>
            <w:vAlign w:val="center"/>
          </w:tcPr>
          <w:p w14:paraId="4C3277BC"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single" w:sz="4" w:space="0" w:color="auto"/>
              <w:right w:val="nil"/>
            </w:tcBorders>
            <w:vAlign w:val="center"/>
          </w:tcPr>
          <w:p w14:paraId="47284914" w14:textId="77777777" w:rsidR="003F0CDB" w:rsidRPr="00EA0DC7" w:rsidRDefault="003F0CDB" w:rsidP="00957911">
            <w:pPr>
              <w:spacing w:line="240" w:lineRule="auto"/>
              <w:jc w:val="center"/>
              <w:rPr>
                <w:rFonts w:eastAsia="Times New Roman" w:cs="Arial"/>
                <w:sz w:val="20"/>
                <w:szCs w:val="20"/>
              </w:rPr>
            </w:pPr>
          </w:p>
        </w:tc>
      </w:tr>
    </w:tbl>
    <w:p w14:paraId="3E10A166" w14:textId="77777777" w:rsidR="00004733" w:rsidRPr="00EA0DC7" w:rsidRDefault="00004733" w:rsidP="00A65E63">
      <w:pPr>
        <w:spacing w:before="240" w:line="240" w:lineRule="auto"/>
        <w:jc w:val="center"/>
        <w:rPr>
          <w:rFonts w:eastAsia="Times New Roman" w:cs="Arial"/>
          <w:b/>
          <w:bCs/>
          <w:sz w:val="20"/>
          <w:szCs w:val="20"/>
        </w:rPr>
        <w:sectPr w:rsidR="00004733" w:rsidRPr="00EA0DC7" w:rsidSect="001A0398">
          <w:type w:val="nextColumn"/>
          <w:pgSz w:w="16838" w:h="11906" w:orient="landscape"/>
          <w:pgMar w:top="1440" w:right="1440" w:bottom="2268" w:left="1440" w:header="709" w:footer="709" w:gutter="0"/>
          <w:cols w:space="708"/>
          <w:docGrid w:linePitch="360"/>
        </w:sectPr>
      </w:pP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A65E63" w:rsidRPr="00EA0DC7" w14:paraId="2B2EBAA0" w14:textId="77777777" w:rsidTr="00A65E63">
        <w:trPr>
          <w:trHeight w:val="283"/>
        </w:trPr>
        <w:tc>
          <w:tcPr>
            <w:tcW w:w="1985" w:type="dxa"/>
            <w:tcBorders>
              <w:top w:val="single" w:sz="4" w:space="0" w:color="auto"/>
              <w:left w:val="nil"/>
              <w:bottom w:val="single" w:sz="4" w:space="0" w:color="auto"/>
              <w:right w:val="nil"/>
            </w:tcBorders>
            <w:shd w:val="clear" w:color="auto" w:fill="auto"/>
            <w:vAlign w:val="center"/>
          </w:tcPr>
          <w:p w14:paraId="559E4A4D" w14:textId="3A03C7B1"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077" w:type="dxa"/>
            <w:tcBorders>
              <w:top w:val="single" w:sz="4" w:space="0" w:color="auto"/>
              <w:left w:val="nil"/>
              <w:bottom w:val="single" w:sz="4" w:space="0" w:color="auto"/>
              <w:right w:val="nil"/>
            </w:tcBorders>
            <w:shd w:val="clear" w:color="auto" w:fill="auto"/>
            <w:noWrap/>
            <w:vAlign w:val="center"/>
          </w:tcPr>
          <w:p w14:paraId="3495510D" w14:textId="0F07CA34"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noWrap/>
            <w:vAlign w:val="center"/>
          </w:tcPr>
          <w:p w14:paraId="5F533AD5" w14:textId="38E4DB46"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noWrap/>
            <w:vAlign w:val="center"/>
          </w:tcPr>
          <w:p w14:paraId="1704F8CA" w14:textId="3EBCD09D"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34C91714" w14:textId="6C9BFC1C"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21872EDD" w14:textId="3723BFA6"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5A1D8A88" w14:textId="717C1858"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3A5870BA" w14:textId="40BEEE64"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6DE969EE" w14:textId="77CC4712"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2E91D1EA" w14:textId="72CF6816"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how an administrator fits into the supervisory process</w:t>
            </w:r>
          </w:p>
        </w:tc>
      </w:tr>
      <w:tr w:rsidR="003F0CDB" w:rsidRPr="00EA0DC7" w14:paraId="2A197678" w14:textId="77777777" w:rsidTr="00A65E63">
        <w:trPr>
          <w:trHeight w:val="283"/>
        </w:trPr>
        <w:tc>
          <w:tcPr>
            <w:tcW w:w="1985" w:type="dxa"/>
            <w:tcBorders>
              <w:top w:val="single" w:sz="4" w:space="0" w:color="auto"/>
              <w:left w:val="nil"/>
              <w:right w:val="nil"/>
            </w:tcBorders>
            <w:shd w:val="clear" w:color="auto" w:fill="auto"/>
            <w:hideMark/>
          </w:tcPr>
          <w:p w14:paraId="5DCB60C3"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Hosford &amp; Barmann (1983)</w:t>
            </w:r>
          </w:p>
        </w:tc>
        <w:tc>
          <w:tcPr>
            <w:tcW w:w="1077" w:type="dxa"/>
            <w:tcBorders>
              <w:top w:val="single" w:sz="4" w:space="0" w:color="auto"/>
              <w:left w:val="nil"/>
              <w:right w:val="nil"/>
            </w:tcBorders>
            <w:shd w:val="clear" w:color="auto" w:fill="auto"/>
            <w:noWrap/>
            <w:vAlign w:val="center"/>
            <w:hideMark/>
          </w:tcPr>
          <w:p w14:paraId="5E4C0EDA"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single" w:sz="4" w:space="0" w:color="auto"/>
              <w:left w:val="nil"/>
              <w:right w:val="nil"/>
            </w:tcBorders>
            <w:shd w:val="clear" w:color="auto" w:fill="auto"/>
            <w:noWrap/>
            <w:vAlign w:val="center"/>
            <w:hideMark/>
          </w:tcPr>
          <w:p w14:paraId="26E29E42"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top w:val="single" w:sz="4" w:space="0" w:color="auto"/>
              <w:left w:val="nil"/>
              <w:right w:val="nil"/>
            </w:tcBorders>
            <w:shd w:val="clear" w:color="auto" w:fill="auto"/>
            <w:noWrap/>
            <w:vAlign w:val="center"/>
            <w:hideMark/>
          </w:tcPr>
          <w:p w14:paraId="5EDE1461"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08C0B53E"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63F5C37E"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top w:val="single" w:sz="4" w:space="0" w:color="auto"/>
              <w:left w:val="nil"/>
              <w:right w:val="nil"/>
            </w:tcBorders>
            <w:vAlign w:val="center"/>
          </w:tcPr>
          <w:p w14:paraId="6659ACE9"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top w:val="single" w:sz="4" w:space="0" w:color="auto"/>
              <w:left w:val="nil"/>
              <w:right w:val="nil"/>
            </w:tcBorders>
            <w:vAlign w:val="center"/>
          </w:tcPr>
          <w:p w14:paraId="194B5551"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top w:val="single" w:sz="4" w:space="0" w:color="auto"/>
              <w:left w:val="nil"/>
              <w:right w:val="nil"/>
            </w:tcBorders>
            <w:vAlign w:val="center"/>
          </w:tcPr>
          <w:p w14:paraId="7A14C2C3"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top w:val="single" w:sz="4" w:space="0" w:color="auto"/>
              <w:left w:val="nil"/>
              <w:right w:val="nil"/>
            </w:tcBorders>
            <w:vAlign w:val="center"/>
          </w:tcPr>
          <w:p w14:paraId="0980B7D7"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730CAC2B" w14:textId="77777777" w:rsidTr="00A65E63">
        <w:trPr>
          <w:trHeight w:val="283"/>
        </w:trPr>
        <w:tc>
          <w:tcPr>
            <w:tcW w:w="1985" w:type="dxa"/>
            <w:tcBorders>
              <w:left w:val="nil"/>
              <w:bottom w:val="nil"/>
              <w:right w:val="nil"/>
            </w:tcBorders>
            <w:shd w:val="clear" w:color="auto" w:fill="auto"/>
            <w:hideMark/>
          </w:tcPr>
          <w:p w14:paraId="2DE29863"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Patterson (1983)</w:t>
            </w:r>
          </w:p>
        </w:tc>
        <w:tc>
          <w:tcPr>
            <w:tcW w:w="1077" w:type="dxa"/>
            <w:tcBorders>
              <w:left w:val="nil"/>
              <w:bottom w:val="nil"/>
              <w:right w:val="nil"/>
            </w:tcBorders>
            <w:shd w:val="clear" w:color="auto" w:fill="auto"/>
            <w:noWrap/>
            <w:vAlign w:val="center"/>
            <w:hideMark/>
          </w:tcPr>
          <w:p w14:paraId="68FCC9A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shd w:val="clear" w:color="auto" w:fill="auto"/>
            <w:noWrap/>
            <w:vAlign w:val="center"/>
            <w:hideMark/>
          </w:tcPr>
          <w:p w14:paraId="44D20F7F"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49A95B92"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012AC11E"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603F3D8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nil"/>
              <w:right w:val="nil"/>
            </w:tcBorders>
            <w:vAlign w:val="center"/>
          </w:tcPr>
          <w:p w14:paraId="7528C653"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nil"/>
              <w:right w:val="nil"/>
            </w:tcBorders>
            <w:vAlign w:val="center"/>
          </w:tcPr>
          <w:p w14:paraId="384D58BC"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nil"/>
              <w:right w:val="nil"/>
            </w:tcBorders>
            <w:vAlign w:val="center"/>
          </w:tcPr>
          <w:p w14:paraId="0A52046F"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nil"/>
              <w:right w:val="nil"/>
            </w:tcBorders>
            <w:vAlign w:val="center"/>
          </w:tcPr>
          <w:p w14:paraId="0780CB87" w14:textId="77777777" w:rsidR="003F0CDB" w:rsidRPr="00EA0DC7" w:rsidRDefault="003F0CDB" w:rsidP="00957911">
            <w:pPr>
              <w:spacing w:line="240" w:lineRule="auto"/>
              <w:jc w:val="center"/>
              <w:rPr>
                <w:rFonts w:eastAsia="Times New Roman" w:cs="Arial"/>
                <w:sz w:val="20"/>
                <w:szCs w:val="20"/>
              </w:rPr>
            </w:pPr>
          </w:p>
        </w:tc>
      </w:tr>
      <w:tr w:rsidR="003F0CDB" w:rsidRPr="00EA0DC7" w14:paraId="35E35B03" w14:textId="77777777" w:rsidTr="00A65E63">
        <w:trPr>
          <w:trHeight w:val="260"/>
        </w:trPr>
        <w:tc>
          <w:tcPr>
            <w:tcW w:w="1985" w:type="dxa"/>
            <w:tcBorders>
              <w:top w:val="nil"/>
              <w:left w:val="nil"/>
              <w:right w:val="nil"/>
            </w:tcBorders>
            <w:shd w:val="clear" w:color="auto" w:fill="auto"/>
            <w:hideMark/>
          </w:tcPr>
          <w:p w14:paraId="4835DB51"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Wessler &amp; Ellis (1983)</w:t>
            </w:r>
          </w:p>
        </w:tc>
        <w:tc>
          <w:tcPr>
            <w:tcW w:w="1077" w:type="dxa"/>
            <w:tcBorders>
              <w:top w:val="nil"/>
              <w:left w:val="nil"/>
              <w:right w:val="nil"/>
            </w:tcBorders>
            <w:shd w:val="clear" w:color="auto" w:fill="auto"/>
            <w:noWrap/>
            <w:vAlign w:val="center"/>
            <w:hideMark/>
          </w:tcPr>
          <w:p w14:paraId="552B8944"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023DE38D"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1B4F56A4"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4DBB90D2"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2FAF9E7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vAlign w:val="center"/>
          </w:tcPr>
          <w:p w14:paraId="7F5EC3FE"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7191F124"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06DCD450"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60C9B9A2" w14:textId="77777777" w:rsidR="003F0CDB" w:rsidRPr="00EA0DC7" w:rsidRDefault="003F0CDB" w:rsidP="00957911">
            <w:pPr>
              <w:spacing w:line="240" w:lineRule="auto"/>
              <w:jc w:val="center"/>
              <w:rPr>
                <w:rFonts w:eastAsia="Times New Roman" w:cs="Arial"/>
                <w:sz w:val="20"/>
                <w:szCs w:val="20"/>
              </w:rPr>
            </w:pPr>
          </w:p>
        </w:tc>
      </w:tr>
      <w:tr w:rsidR="003F0CDB" w:rsidRPr="00EA0DC7" w14:paraId="218D1AE7" w14:textId="77777777" w:rsidTr="00A65E63">
        <w:trPr>
          <w:trHeight w:val="283"/>
        </w:trPr>
        <w:tc>
          <w:tcPr>
            <w:tcW w:w="1985" w:type="dxa"/>
            <w:tcBorders>
              <w:top w:val="nil"/>
              <w:left w:val="nil"/>
              <w:right w:val="nil"/>
            </w:tcBorders>
            <w:shd w:val="clear" w:color="auto" w:fill="auto"/>
            <w:hideMark/>
          </w:tcPr>
          <w:p w14:paraId="6E274FC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Connell (1984)</w:t>
            </w:r>
          </w:p>
        </w:tc>
        <w:tc>
          <w:tcPr>
            <w:tcW w:w="1077" w:type="dxa"/>
            <w:tcBorders>
              <w:top w:val="nil"/>
              <w:left w:val="nil"/>
              <w:right w:val="nil"/>
            </w:tcBorders>
            <w:shd w:val="clear" w:color="auto" w:fill="auto"/>
            <w:noWrap/>
            <w:vAlign w:val="center"/>
            <w:hideMark/>
          </w:tcPr>
          <w:p w14:paraId="752CE01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559D6E7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134" w:type="dxa"/>
            <w:tcBorders>
              <w:top w:val="nil"/>
              <w:left w:val="nil"/>
              <w:right w:val="nil"/>
            </w:tcBorders>
            <w:shd w:val="clear" w:color="auto" w:fill="auto"/>
            <w:noWrap/>
            <w:vAlign w:val="center"/>
            <w:hideMark/>
          </w:tcPr>
          <w:p w14:paraId="13A3367A"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776DB418"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46A2EB63"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732D19BE"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244173A1"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559" w:type="dxa"/>
            <w:tcBorders>
              <w:top w:val="nil"/>
              <w:left w:val="nil"/>
              <w:right w:val="nil"/>
            </w:tcBorders>
            <w:vAlign w:val="center"/>
          </w:tcPr>
          <w:p w14:paraId="7DFDA6A6"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06EF333B" w14:textId="77777777" w:rsidR="003F0CDB" w:rsidRPr="00EA0DC7" w:rsidRDefault="003F0CDB" w:rsidP="00957911">
            <w:pPr>
              <w:spacing w:line="240" w:lineRule="auto"/>
              <w:jc w:val="center"/>
              <w:rPr>
                <w:rFonts w:eastAsia="Times New Roman" w:cs="Arial"/>
                <w:sz w:val="20"/>
                <w:szCs w:val="20"/>
              </w:rPr>
            </w:pPr>
          </w:p>
        </w:tc>
      </w:tr>
      <w:tr w:rsidR="003F0CDB" w:rsidRPr="00EA0DC7" w14:paraId="156D462A" w14:textId="77777777" w:rsidTr="00F4729C">
        <w:trPr>
          <w:trHeight w:val="283"/>
        </w:trPr>
        <w:tc>
          <w:tcPr>
            <w:tcW w:w="1985" w:type="dxa"/>
            <w:tcBorders>
              <w:left w:val="nil"/>
              <w:right w:val="nil"/>
            </w:tcBorders>
            <w:shd w:val="clear" w:color="auto" w:fill="auto"/>
            <w:hideMark/>
          </w:tcPr>
          <w:p w14:paraId="3D4DD9C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Grater (1985)</w:t>
            </w:r>
          </w:p>
        </w:tc>
        <w:tc>
          <w:tcPr>
            <w:tcW w:w="1077" w:type="dxa"/>
            <w:tcBorders>
              <w:left w:val="nil"/>
              <w:right w:val="nil"/>
            </w:tcBorders>
            <w:shd w:val="clear" w:color="auto" w:fill="auto"/>
            <w:noWrap/>
            <w:vAlign w:val="center"/>
            <w:hideMark/>
          </w:tcPr>
          <w:p w14:paraId="6EA944B1"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shd w:val="clear" w:color="auto" w:fill="auto"/>
            <w:noWrap/>
            <w:vAlign w:val="center"/>
            <w:hideMark/>
          </w:tcPr>
          <w:p w14:paraId="6EBD357B"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6BB9A13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4B6A028F"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CF10A7B"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062BE50F"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5CFF11CA"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405A6C11"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67F0A16A" w14:textId="77777777" w:rsidR="003F0CDB" w:rsidRPr="00EA0DC7" w:rsidRDefault="003F0CDB" w:rsidP="00957911">
            <w:pPr>
              <w:spacing w:line="240" w:lineRule="auto"/>
              <w:jc w:val="center"/>
              <w:rPr>
                <w:rFonts w:eastAsia="Times New Roman" w:cs="Arial"/>
                <w:sz w:val="20"/>
                <w:szCs w:val="20"/>
              </w:rPr>
            </w:pPr>
          </w:p>
        </w:tc>
      </w:tr>
      <w:tr w:rsidR="003F0CDB" w:rsidRPr="00EA0DC7" w14:paraId="6E268B1B" w14:textId="77777777" w:rsidTr="00A65E63">
        <w:trPr>
          <w:trHeight w:val="283"/>
        </w:trPr>
        <w:tc>
          <w:tcPr>
            <w:tcW w:w="1985" w:type="dxa"/>
            <w:tcBorders>
              <w:left w:val="nil"/>
              <w:bottom w:val="nil"/>
              <w:right w:val="nil"/>
            </w:tcBorders>
            <w:shd w:val="clear" w:color="auto" w:fill="auto"/>
            <w:hideMark/>
          </w:tcPr>
          <w:p w14:paraId="5D505D9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Friedmand &amp; Kaslow (1986)</w:t>
            </w:r>
          </w:p>
        </w:tc>
        <w:tc>
          <w:tcPr>
            <w:tcW w:w="1077" w:type="dxa"/>
            <w:tcBorders>
              <w:left w:val="nil"/>
              <w:bottom w:val="nil"/>
              <w:right w:val="nil"/>
            </w:tcBorders>
            <w:shd w:val="clear" w:color="auto" w:fill="auto"/>
            <w:noWrap/>
            <w:vAlign w:val="center"/>
            <w:hideMark/>
          </w:tcPr>
          <w:p w14:paraId="6F22A2A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shd w:val="clear" w:color="auto" w:fill="auto"/>
            <w:noWrap/>
            <w:vAlign w:val="center"/>
            <w:hideMark/>
          </w:tcPr>
          <w:p w14:paraId="1EC78B42"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683636AB"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02DC3A35"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55B1AEF0"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nil"/>
              <w:right w:val="nil"/>
            </w:tcBorders>
            <w:vAlign w:val="center"/>
          </w:tcPr>
          <w:p w14:paraId="1C91030F"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nil"/>
              <w:right w:val="nil"/>
            </w:tcBorders>
            <w:vAlign w:val="center"/>
          </w:tcPr>
          <w:p w14:paraId="022F2713"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nil"/>
              <w:right w:val="nil"/>
            </w:tcBorders>
            <w:vAlign w:val="center"/>
          </w:tcPr>
          <w:p w14:paraId="65FAC876"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nil"/>
              <w:right w:val="nil"/>
            </w:tcBorders>
            <w:vAlign w:val="center"/>
          </w:tcPr>
          <w:p w14:paraId="60E9386D" w14:textId="77777777" w:rsidR="003F0CDB" w:rsidRPr="00EA0DC7" w:rsidRDefault="003F0CDB" w:rsidP="00957911">
            <w:pPr>
              <w:spacing w:line="240" w:lineRule="auto"/>
              <w:jc w:val="center"/>
              <w:rPr>
                <w:rFonts w:eastAsia="Times New Roman" w:cs="Arial"/>
                <w:sz w:val="20"/>
                <w:szCs w:val="20"/>
              </w:rPr>
            </w:pPr>
          </w:p>
        </w:tc>
      </w:tr>
      <w:tr w:rsidR="003F0CDB" w:rsidRPr="00EA0DC7" w14:paraId="1EB48699" w14:textId="77777777" w:rsidTr="00A65E63">
        <w:trPr>
          <w:trHeight w:val="283"/>
        </w:trPr>
        <w:tc>
          <w:tcPr>
            <w:tcW w:w="1985" w:type="dxa"/>
            <w:tcBorders>
              <w:top w:val="nil"/>
              <w:left w:val="nil"/>
              <w:right w:val="nil"/>
            </w:tcBorders>
            <w:shd w:val="clear" w:color="auto" w:fill="auto"/>
            <w:hideMark/>
          </w:tcPr>
          <w:p w14:paraId="57B37F05"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Hess (1986)</w:t>
            </w:r>
          </w:p>
        </w:tc>
        <w:tc>
          <w:tcPr>
            <w:tcW w:w="1077" w:type="dxa"/>
            <w:tcBorders>
              <w:top w:val="nil"/>
              <w:left w:val="nil"/>
              <w:right w:val="nil"/>
            </w:tcBorders>
            <w:shd w:val="clear" w:color="auto" w:fill="auto"/>
            <w:noWrap/>
            <w:vAlign w:val="center"/>
            <w:hideMark/>
          </w:tcPr>
          <w:p w14:paraId="1C1CD888"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19AB9A99"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6756941B"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7F7CB64F"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6E6AE11E"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154B35CF"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015C0E0F"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43941058"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2243D0F8" w14:textId="77777777" w:rsidR="003F0CDB" w:rsidRPr="00EA0DC7" w:rsidRDefault="003F0CDB" w:rsidP="00957911">
            <w:pPr>
              <w:spacing w:line="240" w:lineRule="auto"/>
              <w:jc w:val="center"/>
              <w:rPr>
                <w:rFonts w:eastAsia="Times New Roman" w:cs="Arial"/>
                <w:sz w:val="20"/>
                <w:szCs w:val="20"/>
              </w:rPr>
            </w:pPr>
          </w:p>
        </w:tc>
      </w:tr>
      <w:tr w:rsidR="003F0CDB" w:rsidRPr="00EA0DC7" w14:paraId="116EF77F" w14:textId="77777777" w:rsidTr="00A65E63">
        <w:trPr>
          <w:trHeight w:val="283"/>
        </w:trPr>
        <w:tc>
          <w:tcPr>
            <w:tcW w:w="1985" w:type="dxa"/>
            <w:tcBorders>
              <w:top w:val="nil"/>
              <w:left w:val="nil"/>
              <w:right w:val="nil"/>
            </w:tcBorders>
            <w:shd w:val="clear" w:color="auto" w:fill="auto"/>
            <w:hideMark/>
          </w:tcPr>
          <w:p w14:paraId="0E9C6085"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Stoltenberg &amp; Delworth (1987)</w:t>
            </w:r>
          </w:p>
        </w:tc>
        <w:tc>
          <w:tcPr>
            <w:tcW w:w="1077" w:type="dxa"/>
            <w:tcBorders>
              <w:top w:val="nil"/>
              <w:left w:val="nil"/>
              <w:right w:val="nil"/>
            </w:tcBorders>
            <w:shd w:val="clear" w:color="auto" w:fill="auto"/>
            <w:noWrap/>
            <w:vAlign w:val="center"/>
            <w:hideMark/>
          </w:tcPr>
          <w:p w14:paraId="202F85FE"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5A34132D"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1AD07E24"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4B83E7EB"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1E650F18"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2600D4B3"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08ECADB9"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7AD14BC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701" w:type="dxa"/>
            <w:tcBorders>
              <w:top w:val="nil"/>
              <w:left w:val="nil"/>
              <w:right w:val="nil"/>
            </w:tcBorders>
            <w:vAlign w:val="center"/>
          </w:tcPr>
          <w:p w14:paraId="4A53F1C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r w:rsidR="003F0CDB" w:rsidRPr="00EA0DC7" w14:paraId="4CC4F9A4" w14:textId="77777777" w:rsidTr="00A65E63">
        <w:trPr>
          <w:trHeight w:val="283"/>
        </w:trPr>
        <w:tc>
          <w:tcPr>
            <w:tcW w:w="1985" w:type="dxa"/>
            <w:tcBorders>
              <w:left w:val="nil"/>
              <w:right w:val="nil"/>
            </w:tcBorders>
            <w:shd w:val="clear" w:color="auto" w:fill="auto"/>
            <w:hideMark/>
          </w:tcPr>
          <w:p w14:paraId="6919905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Ault-Riche (1988)</w:t>
            </w:r>
          </w:p>
        </w:tc>
        <w:tc>
          <w:tcPr>
            <w:tcW w:w="1077" w:type="dxa"/>
            <w:tcBorders>
              <w:left w:val="nil"/>
              <w:right w:val="nil"/>
            </w:tcBorders>
            <w:shd w:val="clear" w:color="auto" w:fill="auto"/>
            <w:noWrap/>
            <w:vAlign w:val="center"/>
            <w:hideMark/>
          </w:tcPr>
          <w:p w14:paraId="14C22A5A"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77DF77A3"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52FDAA37"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6877DF8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9C69522"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32540C73"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5D6E5C1C"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6DD0912F"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755EB14E" w14:textId="77777777" w:rsidR="003F0CDB" w:rsidRPr="00EA0DC7" w:rsidRDefault="003F0CDB" w:rsidP="00957911">
            <w:pPr>
              <w:spacing w:line="240" w:lineRule="auto"/>
              <w:jc w:val="center"/>
              <w:rPr>
                <w:rFonts w:eastAsia="Times New Roman" w:cs="Arial"/>
                <w:sz w:val="20"/>
                <w:szCs w:val="20"/>
              </w:rPr>
            </w:pPr>
          </w:p>
        </w:tc>
      </w:tr>
      <w:tr w:rsidR="003F0CDB" w:rsidRPr="00EA0DC7" w14:paraId="018D8298" w14:textId="77777777" w:rsidTr="00A65E63">
        <w:trPr>
          <w:trHeight w:val="283"/>
        </w:trPr>
        <w:tc>
          <w:tcPr>
            <w:tcW w:w="1985" w:type="dxa"/>
            <w:tcBorders>
              <w:top w:val="nil"/>
              <w:left w:val="nil"/>
              <w:right w:val="nil"/>
            </w:tcBorders>
            <w:shd w:val="clear" w:color="auto" w:fill="auto"/>
            <w:hideMark/>
          </w:tcPr>
          <w:p w14:paraId="3BA9EF9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Watkins (1990)</w:t>
            </w:r>
          </w:p>
        </w:tc>
        <w:tc>
          <w:tcPr>
            <w:tcW w:w="1077" w:type="dxa"/>
            <w:tcBorders>
              <w:top w:val="nil"/>
              <w:left w:val="nil"/>
              <w:right w:val="nil"/>
            </w:tcBorders>
            <w:shd w:val="clear" w:color="auto" w:fill="auto"/>
            <w:noWrap/>
            <w:vAlign w:val="center"/>
            <w:hideMark/>
          </w:tcPr>
          <w:p w14:paraId="0159DDC9"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shd w:val="clear" w:color="auto" w:fill="auto"/>
            <w:noWrap/>
            <w:vAlign w:val="center"/>
            <w:hideMark/>
          </w:tcPr>
          <w:p w14:paraId="6F9E1EA4"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200A6361"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49935189"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33ABD1A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vAlign w:val="center"/>
          </w:tcPr>
          <w:p w14:paraId="6197E30A"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1AEDE6E1"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33BEFCF6"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40FB3E30" w14:textId="77777777" w:rsidR="003F0CDB" w:rsidRPr="00EA0DC7" w:rsidRDefault="003F0CDB" w:rsidP="00957911">
            <w:pPr>
              <w:spacing w:line="240" w:lineRule="auto"/>
              <w:jc w:val="center"/>
              <w:rPr>
                <w:rFonts w:eastAsia="Times New Roman" w:cs="Arial"/>
                <w:sz w:val="20"/>
                <w:szCs w:val="20"/>
              </w:rPr>
            </w:pPr>
          </w:p>
        </w:tc>
      </w:tr>
      <w:tr w:rsidR="003F0CDB" w:rsidRPr="00EA0DC7" w14:paraId="45CCF5DC" w14:textId="77777777" w:rsidTr="00A65E63">
        <w:trPr>
          <w:trHeight w:val="80"/>
        </w:trPr>
        <w:tc>
          <w:tcPr>
            <w:tcW w:w="1985" w:type="dxa"/>
            <w:tcBorders>
              <w:left w:val="nil"/>
              <w:bottom w:val="single" w:sz="4" w:space="0" w:color="auto"/>
              <w:right w:val="nil"/>
            </w:tcBorders>
            <w:shd w:val="clear" w:color="auto" w:fill="auto"/>
            <w:hideMark/>
          </w:tcPr>
          <w:p w14:paraId="2CD7BBD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Wetchler (1990)</w:t>
            </w:r>
          </w:p>
        </w:tc>
        <w:tc>
          <w:tcPr>
            <w:tcW w:w="1077" w:type="dxa"/>
            <w:tcBorders>
              <w:left w:val="nil"/>
              <w:bottom w:val="single" w:sz="4" w:space="0" w:color="auto"/>
              <w:right w:val="nil"/>
            </w:tcBorders>
            <w:shd w:val="clear" w:color="auto" w:fill="auto"/>
            <w:noWrap/>
            <w:vAlign w:val="center"/>
            <w:hideMark/>
          </w:tcPr>
          <w:p w14:paraId="6B4CF60C"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single" w:sz="4" w:space="0" w:color="auto"/>
              <w:right w:val="nil"/>
            </w:tcBorders>
            <w:shd w:val="clear" w:color="auto" w:fill="auto"/>
            <w:noWrap/>
            <w:vAlign w:val="center"/>
            <w:hideMark/>
          </w:tcPr>
          <w:p w14:paraId="02882DC0"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single" w:sz="4" w:space="0" w:color="auto"/>
              <w:right w:val="nil"/>
            </w:tcBorders>
            <w:shd w:val="clear" w:color="auto" w:fill="auto"/>
            <w:noWrap/>
            <w:vAlign w:val="center"/>
            <w:hideMark/>
          </w:tcPr>
          <w:p w14:paraId="3D4FD287"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single" w:sz="4" w:space="0" w:color="auto"/>
              <w:right w:val="nil"/>
            </w:tcBorders>
            <w:vAlign w:val="center"/>
          </w:tcPr>
          <w:p w14:paraId="3A4C4C3A"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single" w:sz="4" w:space="0" w:color="auto"/>
              <w:right w:val="nil"/>
            </w:tcBorders>
            <w:vAlign w:val="center"/>
          </w:tcPr>
          <w:p w14:paraId="1C152CFB"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single" w:sz="4" w:space="0" w:color="auto"/>
              <w:right w:val="nil"/>
            </w:tcBorders>
            <w:vAlign w:val="center"/>
          </w:tcPr>
          <w:p w14:paraId="736B5FD7"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single" w:sz="4" w:space="0" w:color="auto"/>
              <w:right w:val="nil"/>
            </w:tcBorders>
            <w:vAlign w:val="center"/>
          </w:tcPr>
          <w:p w14:paraId="79489FF5"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single" w:sz="4" w:space="0" w:color="auto"/>
              <w:right w:val="nil"/>
            </w:tcBorders>
            <w:vAlign w:val="center"/>
          </w:tcPr>
          <w:p w14:paraId="722D66B9"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single" w:sz="4" w:space="0" w:color="auto"/>
              <w:right w:val="nil"/>
            </w:tcBorders>
            <w:vAlign w:val="center"/>
          </w:tcPr>
          <w:p w14:paraId="52CAB6A0" w14:textId="77777777" w:rsidR="003F0CDB" w:rsidRPr="00EA0DC7" w:rsidRDefault="003F0CDB" w:rsidP="00957911">
            <w:pPr>
              <w:spacing w:line="240" w:lineRule="auto"/>
              <w:jc w:val="center"/>
              <w:rPr>
                <w:rFonts w:eastAsia="Times New Roman" w:cs="Arial"/>
                <w:sz w:val="20"/>
                <w:szCs w:val="20"/>
              </w:rPr>
            </w:pPr>
          </w:p>
        </w:tc>
      </w:tr>
    </w:tbl>
    <w:p w14:paraId="370EA400" w14:textId="77777777" w:rsidR="00004733" w:rsidRPr="00EA0DC7" w:rsidRDefault="00004733" w:rsidP="00A65E63">
      <w:pPr>
        <w:spacing w:before="240" w:line="240" w:lineRule="auto"/>
        <w:jc w:val="center"/>
        <w:rPr>
          <w:rFonts w:eastAsia="Times New Roman" w:cs="Arial"/>
          <w:b/>
          <w:bCs/>
          <w:sz w:val="20"/>
          <w:szCs w:val="20"/>
        </w:rPr>
        <w:sectPr w:rsidR="00004733" w:rsidRPr="00EA0DC7" w:rsidSect="001A0398">
          <w:pgSz w:w="16838" w:h="11906" w:orient="landscape"/>
          <w:pgMar w:top="2268" w:right="1440" w:bottom="1440" w:left="1440" w:header="709" w:footer="709" w:gutter="0"/>
          <w:cols w:space="708"/>
          <w:docGrid w:linePitch="360"/>
        </w:sectPr>
      </w:pP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A65E63" w:rsidRPr="00EA0DC7" w14:paraId="602F3606" w14:textId="77777777" w:rsidTr="00A65E63">
        <w:trPr>
          <w:trHeight w:val="283"/>
        </w:trPr>
        <w:tc>
          <w:tcPr>
            <w:tcW w:w="1985" w:type="dxa"/>
            <w:tcBorders>
              <w:top w:val="single" w:sz="4" w:space="0" w:color="auto"/>
              <w:left w:val="nil"/>
              <w:bottom w:val="single" w:sz="4" w:space="0" w:color="auto"/>
              <w:right w:val="nil"/>
            </w:tcBorders>
            <w:shd w:val="clear" w:color="auto" w:fill="auto"/>
            <w:vAlign w:val="center"/>
          </w:tcPr>
          <w:p w14:paraId="542557B0" w14:textId="66110C38"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077" w:type="dxa"/>
            <w:tcBorders>
              <w:top w:val="single" w:sz="4" w:space="0" w:color="auto"/>
              <w:left w:val="nil"/>
              <w:bottom w:val="single" w:sz="4" w:space="0" w:color="auto"/>
              <w:right w:val="nil"/>
            </w:tcBorders>
            <w:shd w:val="clear" w:color="auto" w:fill="auto"/>
            <w:noWrap/>
            <w:vAlign w:val="center"/>
          </w:tcPr>
          <w:p w14:paraId="37A1DEE5" w14:textId="5B3D022F"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noWrap/>
            <w:vAlign w:val="center"/>
          </w:tcPr>
          <w:p w14:paraId="57F0B681" w14:textId="4E89B5B1"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noWrap/>
            <w:vAlign w:val="center"/>
          </w:tcPr>
          <w:p w14:paraId="48965F5C" w14:textId="140C215E"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4BD526DC" w14:textId="3068D35D"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4B40A8FA" w14:textId="408163D0"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0A9F5D9C" w14:textId="3EDEF1E9"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1ED6D489" w14:textId="09F35F33"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32A43B5A" w14:textId="5897DC0D"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6185AC48" w14:textId="54E1C539" w:rsidR="00A65E63" w:rsidRPr="00EA0DC7" w:rsidRDefault="00A65E63" w:rsidP="00A65E63">
            <w:pPr>
              <w:spacing w:before="240" w:line="240" w:lineRule="auto"/>
              <w:jc w:val="center"/>
              <w:rPr>
                <w:rFonts w:eastAsia="Times New Roman" w:cs="Arial"/>
                <w:sz w:val="20"/>
                <w:szCs w:val="20"/>
              </w:rPr>
            </w:pPr>
            <w:r w:rsidRPr="00EA0DC7">
              <w:rPr>
                <w:rFonts w:eastAsia="Times New Roman" w:cs="Arial"/>
                <w:b/>
                <w:bCs/>
                <w:sz w:val="20"/>
                <w:szCs w:val="20"/>
              </w:rPr>
              <w:t>Acknowledge-ment of how an administrator fits into the supervisory process</w:t>
            </w:r>
          </w:p>
        </w:tc>
      </w:tr>
      <w:tr w:rsidR="003F0CDB" w:rsidRPr="00EA0DC7" w14:paraId="7CC3F5B3" w14:textId="77777777" w:rsidTr="00A65E63">
        <w:trPr>
          <w:trHeight w:val="283"/>
        </w:trPr>
        <w:tc>
          <w:tcPr>
            <w:tcW w:w="1985" w:type="dxa"/>
            <w:tcBorders>
              <w:top w:val="single" w:sz="4" w:space="0" w:color="auto"/>
              <w:left w:val="nil"/>
              <w:right w:val="nil"/>
            </w:tcBorders>
            <w:shd w:val="clear" w:color="auto" w:fill="auto"/>
            <w:hideMark/>
          </w:tcPr>
          <w:p w14:paraId="6300DBAD"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Mead (1990)</w:t>
            </w:r>
          </w:p>
        </w:tc>
        <w:tc>
          <w:tcPr>
            <w:tcW w:w="1077" w:type="dxa"/>
            <w:tcBorders>
              <w:top w:val="single" w:sz="4" w:space="0" w:color="auto"/>
              <w:left w:val="nil"/>
              <w:right w:val="nil"/>
            </w:tcBorders>
            <w:shd w:val="clear" w:color="auto" w:fill="auto"/>
            <w:noWrap/>
            <w:vAlign w:val="center"/>
            <w:hideMark/>
          </w:tcPr>
          <w:p w14:paraId="32F8651F"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top w:val="single" w:sz="4" w:space="0" w:color="auto"/>
              <w:left w:val="nil"/>
              <w:right w:val="nil"/>
            </w:tcBorders>
            <w:shd w:val="clear" w:color="auto" w:fill="auto"/>
            <w:noWrap/>
            <w:vAlign w:val="center"/>
            <w:hideMark/>
          </w:tcPr>
          <w:p w14:paraId="7E4C37F7"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top w:val="single" w:sz="4" w:space="0" w:color="auto"/>
              <w:left w:val="nil"/>
              <w:right w:val="nil"/>
            </w:tcBorders>
            <w:shd w:val="clear" w:color="auto" w:fill="auto"/>
            <w:noWrap/>
            <w:vAlign w:val="center"/>
            <w:hideMark/>
          </w:tcPr>
          <w:p w14:paraId="4D0BF98A"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5F70F1E1"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0AFC4146"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top w:val="single" w:sz="4" w:space="0" w:color="auto"/>
              <w:left w:val="nil"/>
              <w:right w:val="nil"/>
            </w:tcBorders>
            <w:vAlign w:val="center"/>
          </w:tcPr>
          <w:p w14:paraId="0A60C990"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top w:val="single" w:sz="4" w:space="0" w:color="auto"/>
              <w:left w:val="nil"/>
              <w:right w:val="nil"/>
            </w:tcBorders>
            <w:vAlign w:val="center"/>
          </w:tcPr>
          <w:p w14:paraId="3E215674"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top w:val="single" w:sz="4" w:space="0" w:color="auto"/>
              <w:left w:val="nil"/>
              <w:right w:val="nil"/>
            </w:tcBorders>
            <w:vAlign w:val="center"/>
          </w:tcPr>
          <w:p w14:paraId="1FFE8260"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top w:val="single" w:sz="4" w:space="0" w:color="auto"/>
              <w:left w:val="nil"/>
              <w:right w:val="nil"/>
            </w:tcBorders>
            <w:vAlign w:val="center"/>
          </w:tcPr>
          <w:p w14:paraId="01DC5560"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471472E0" w14:textId="77777777" w:rsidTr="00A65E63">
        <w:trPr>
          <w:trHeight w:val="283"/>
        </w:trPr>
        <w:tc>
          <w:tcPr>
            <w:tcW w:w="1985" w:type="dxa"/>
            <w:tcBorders>
              <w:left w:val="nil"/>
              <w:right w:val="nil"/>
            </w:tcBorders>
            <w:shd w:val="clear" w:color="auto" w:fill="auto"/>
            <w:hideMark/>
          </w:tcPr>
          <w:p w14:paraId="04B5CC3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Hawkins &amp; Shohet (1993)</w:t>
            </w:r>
          </w:p>
        </w:tc>
        <w:tc>
          <w:tcPr>
            <w:tcW w:w="1077" w:type="dxa"/>
            <w:tcBorders>
              <w:left w:val="nil"/>
              <w:right w:val="nil"/>
            </w:tcBorders>
            <w:shd w:val="clear" w:color="auto" w:fill="auto"/>
            <w:noWrap/>
            <w:vAlign w:val="center"/>
            <w:hideMark/>
          </w:tcPr>
          <w:p w14:paraId="4D683205"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3153D411"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77FB5961"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00A0C9D7"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36BEA4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4E07E0AA"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04" w:type="dxa"/>
            <w:tcBorders>
              <w:left w:val="nil"/>
              <w:right w:val="nil"/>
            </w:tcBorders>
            <w:vAlign w:val="center"/>
          </w:tcPr>
          <w:p w14:paraId="1F42BF8D"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5EBB41AA"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50D2EE80" w14:textId="77777777" w:rsidR="003F0CDB" w:rsidRPr="00EA0DC7" w:rsidRDefault="003F0CDB" w:rsidP="00957911">
            <w:pPr>
              <w:spacing w:line="240" w:lineRule="auto"/>
              <w:jc w:val="center"/>
              <w:rPr>
                <w:rFonts w:eastAsia="Times New Roman" w:cs="Arial"/>
                <w:sz w:val="20"/>
                <w:szCs w:val="20"/>
              </w:rPr>
            </w:pPr>
          </w:p>
        </w:tc>
      </w:tr>
      <w:tr w:rsidR="003F0CDB" w:rsidRPr="00EA0DC7" w14:paraId="7B27C1B0" w14:textId="77777777" w:rsidTr="00A65E63">
        <w:trPr>
          <w:trHeight w:val="235"/>
        </w:trPr>
        <w:tc>
          <w:tcPr>
            <w:tcW w:w="1985" w:type="dxa"/>
            <w:tcBorders>
              <w:left w:val="nil"/>
              <w:bottom w:val="nil"/>
              <w:right w:val="nil"/>
            </w:tcBorders>
            <w:shd w:val="clear" w:color="auto" w:fill="auto"/>
            <w:hideMark/>
          </w:tcPr>
          <w:p w14:paraId="7687D51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Rodenhauser (1994)</w:t>
            </w:r>
          </w:p>
        </w:tc>
        <w:tc>
          <w:tcPr>
            <w:tcW w:w="1077" w:type="dxa"/>
            <w:tcBorders>
              <w:left w:val="nil"/>
              <w:bottom w:val="nil"/>
              <w:right w:val="nil"/>
            </w:tcBorders>
            <w:shd w:val="clear" w:color="auto" w:fill="auto"/>
            <w:noWrap/>
            <w:vAlign w:val="center"/>
            <w:hideMark/>
          </w:tcPr>
          <w:p w14:paraId="5405B0E9"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nil"/>
              <w:right w:val="nil"/>
            </w:tcBorders>
            <w:shd w:val="clear" w:color="auto" w:fill="auto"/>
            <w:noWrap/>
            <w:vAlign w:val="center"/>
            <w:hideMark/>
          </w:tcPr>
          <w:p w14:paraId="7960BC46"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0F23BD46"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6920D30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2B4BF6D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nil"/>
              <w:right w:val="nil"/>
            </w:tcBorders>
            <w:vAlign w:val="center"/>
          </w:tcPr>
          <w:p w14:paraId="1C49DE17"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nil"/>
              <w:right w:val="nil"/>
            </w:tcBorders>
            <w:vAlign w:val="center"/>
          </w:tcPr>
          <w:p w14:paraId="58D9EA7A"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nil"/>
              <w:right w:val="nil"/>
            </w:tcBorders>
            <w:vAlign w:val="center"/>
          </w:tcPr>
          <w:p w14:paraId="3B052728"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nil"/>
              <w:right w:val="nil"/>
            </w:tcBorders>
            <w:vAlign w:val="center"/>
          </w:tcPr>
          <w:p w14:paraId="4FBC0565" w14:textId="77777777" w:rsidR="003F0CDB" w:rsidRPr="00EA0DC7" w:rsidRDefault="003F0CDB" w:rsidP="00957911">
            <w:pPr>
              <w:spacing w:line="240" w:lineRule="auto"/>
              <w:jc w:val="center"/>
              <w:rPr>
                <w:rFonts w:eastAsia="Times New Roman" w:cs="Arial"/>
                <w:sz w:val="20"/>
                <w:szCs w:val="20"/>
              </w:rPr>
            </w:pPr>
          </w:p>
        </w:tc>
      </w:tr>
      <w:tr w:rsidR="003F0CDB" w:rsidRPr="00EA0DC7" w14:paraId="79BAD9C4" w14:textId="77777777" w:rsidTr="00A65E63">
        <w:trPr>
          <w:trHeight w:val="283"/>
        </w:trPr>
        <w:tc>
          <w:tcPr>
            <w:tcW w:w="1985" w:type="dxa"/>
            <w:tcBorders>
              <w:top w:val="nil"/>
              <w:left w:val="nil"/>
              <w:bottom w:val="nil"/>
              <w:right w:val="nil"/>
            </w:tcBorders>
            <w:shd w:val="clear" w:color="auto" w:fill="auto"/>
            <w:hideMark/>
          </w:tcPr>
          <w:p w14:paraId="3F3E8083"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Thomas (1994)</w:t>
            </w:r>
          </w:p>
        </w:tc>
        <w:tc>
          <w:tcPr>
            <w:tcW w:w="1077" w:type="dxa"/>
            <w:tcBorders>
              <w:top w:val="nil"/>
              <w:left w:val="nil"/>
              <w:bottom w:val="nil"/>
              <w:right w:val="nil"/>
            </w:tcBorders>
            <w:shd w:val="clear" w:color="auto" w:fill="auto"/>
            <w:noWrap/>
            <w:vAlign w:val="center"/>
            <w:hideMark/>
          </w:tcPr>
          <w:p w14:paraId="5BD4F9E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bottom w:val="nil"/>
              <w:right w:val="nil"/>
            </w:tcBorders>
            <w:shd w:val="clear" w:color="auto" w:fill="auto"/>
            <w:noWrap/>
            <w:vAlign w:val="center"/>
            <w:hideMark/>
          </w:tcPr>
          <w:p w14:paraId="1484FF39"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shd w:val="clear" w:color="auto" w:fill="auto"/>
            <w:noWrap/>
            <w:vAlign w:val="center"/>
            <w:hideMark/>
          </w:tcPr>
          <w:p w14:paraId="4D3FE66D"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2777D0B2"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3A8E022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bottom w:val="nil"/>
              <w:right w:val="nil"/>
            </w:tcBorders>
            <w:vAlign w:val="center"/>
          </w:tcPr>
          <w:p w14:paraId="74F447B5"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nil"/>
              <w:right w:val="nil"/>
            </w:tcBorders>
            <w:vAlign w:val="center"/>
          </w:tcPr>
          <w:p w14:paraId="5A6FF2E6"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nil"/>
              <w:right w:val="nil"/>
            </w:tcBorders>
            <w:vAlign w:val="center"/>
          </w:tcPr>
          <w:p w14:paraId="13C63D0C"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nil"/>
              <w:right w:val="nil"/>
            </w:tcBorders>
            <w:vAlign w:val="center"/>
          </w:tcPr>
          <w:p w14:paraId="3720A085" w14:textId="77777777" w:rsidR="003F0CDB" w:rsidRPr="00EA0DC7" w:rsidRDefault="003F0CDB" w:rsidP="00957911">
            <w:pPr>
              <w:spacing w:line="240" w:lineRule="auto"/>
              <w:jc w:val="center"/>
              <w:rPr>
                <w:rFonts w:eastAsia="Times New Roman" w:cs="Arial"/>
                <w:sz w:val="20"/>
                <w:szCs w:val="20"/>
              </w:rPr>
            </w:pPr>
          </w:p>
        </w:tc>
      </w:tr>
      <w:tr w:rsidR="003F0CDB" w:rsidRPr="00EA0DC7" w14:paraId="0FAD4F9A" w14:textId="77777777" w:rsidTr="00A65E63">
        <w:trPr>
          <w:trHeight w:val="283"/>
        </w:trPr>
        <w:tc>
          <w:tcPr>
            <w:tcW w:w="1985" w:type="dxa"/>
            <w:tcBorders>
              <w:top w:val="nil"/>
              <w:left w:val="nil"/>
              <w:bottom w:val="nil"/>
              <w:right w:val="nil"/>
            </w:tcBorders>
            <w:shd w:val="clear" w:color="auto" w:fill="auto"/>
            <w:hideMark/>
          </w:tcPr>
          <w:p w14:paraId="10413109"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Rigazio-DiGilio &amp; Anderson (1994)</w:t>
            </w:r>
          </w:p>
        </w:tc>
        <w:tc>
          <w:tcPr>
            <w:tcW w:w="1077" w:type="dxa"/>
            <w:tcBorders>
              <w:top w:val="nil"/>
              <w:left w:val="nil"/>
              <w:bottom w:val="nil"/>
              <w:right w:val="nil"/>
            </w:tcBorders>
            <w:shd w:val="clear" w:color="auto" w:fill="auto"/>
            <w:noWrap/>
            <w:vAlign w:val="center"/>
            <w:hideMark/>
          </w:tcPr>
          <w:p w14:paraId="3002F16D"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shd w:val="clear" w:color="auto" w:fill="auto"/>
            <w:noWrap/>
            <w:vAlign w:val="center"/>
            <w:hideMark/>
          </w:tcPr>
          <w:p w14:paraId="7BF49D30"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nil"/>
              <w:right w:val="nil"/>
            </w:tcBorders>
            <w:shd w:val="clear" w:color="auto" w:fill="auto"/>
            <w:noWrap/>
            <w:vAlign w:val="center"/>
            <w:hideMark/>
          </w:tcPr>
          <w:p w14:paraId="723F3C49"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7EF8B47A"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nil"/>
              <w:right w:val="nil"/>
            </w:tcBorders>
            <w:vAlign w:val="center"/>
          </w:tcPr>
          <w:p w14:paraId="2630A52E"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nil"/>
              <w:right w:val="nil"/>
            </w:tcBorders>
            <w:vAlign w:val="center"/>
          </w:tcPr>
          <w:p w14:paraId="333DAF1A"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nil"/>
              <w:right w:val="nil"/>
            </w:tcBorders>
            <w:vAlign w:val="center"/>
          </w:tcPr>
          <w:p w14:paraId="607346AB"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nil"/>
              <w:right w:val="nil"/>
            </w:tcBorders>
            <w:vAlign w:val="center"/>
          </w:tcPr>
          <w:p w14:paraId="416B003D"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nil"/>
              <w:right w:val="nil"/>
            </w:tcBorders>
            <w:vAlign w:val="center"/>
          </w:tcPr>
          <w:p w14:paraId="40F4F023" w14:textId="77777777" w:rsidR="003F0CDB" w:rsidRPr="00EA0DC7" w:rsidRDefault="003F0CDB" w:rsidP="00957911">
            <w:pPr>
              <w:spacing w:line="240" w:lineRule="auto"/>
              <w:jc w:val="center"/>
              <w:rPr>
                <w:rFonts w:eastAsia="Times New Roman" w:cs="Arial"/>
                <w:sz w:val="20"/>
                <w:szCs w:val="20"/>
              </w:rPr>
            </w:pPr>
          </w:p>
        </w:tc>
      </w:tr>
      <w:tr w:rsidR="003F0CDB" w:rsidRPr="00EA0DC7" w14:paraId="0196AF8C" w14:textId="77777777" w:rsidTr="00F4729C">
        <w:trPr>
          <w:trHeight w:val="283"/>
        </w:trPr>
        <w:tc>
          <w:tcPr>
            <w:tcW w:w="1985" w:type="dxa"/>
            <w:tcBorders>
              <w:top w:val="nil"/>
              <w:left w:val="nil"/>
              <w:right w:val="nil"/>
            </w:tcBorders>
            <w:shd w:val="clear" w:color="auto" w:fill="auto"/>
            <w:hideMark/>
          </w:tcPr>
          <w:p w14:paraId="06D3751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Holloway (1995)</w:t>
            </w:r>
          </w:p>
        </w:tc>
        <w:tc>
          <w:tcPr>
            <w:tcW w:w="1077" w:type="dxa"/>
            <w:tcBorders>
              <w:top w:val="nil"/>
              <w:left w:val="nil"/>
              <w:right w:val="nil"/>
            </w:tcBorders>
            <w:shd w:val="clear" w:color="auto" w:fill="auto"/>
            <w:noWrap/>
            <w:vAlign w:val="center"/>
            <w:hideMark/>
          </w:tcPr>
          <w:p w14:paraId="79403C16"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304E096F"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3CCCC177"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1626B96A"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66A3E069"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37E5123B"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69F94576"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1AEAAC84"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37E905F7" w14:textId="77777777" w:rsidR="003F0CDB" w:rsidRPr="00EA0DC7" w:rsidRDefault="003F0CDB" w:rsidP="00957911">
            <w:pPr>
              <w:spacing w:line="240" w:lineRule="auto"/>
              <w:jc w:val="center"/>
              <w:rPr>
                <w:rFonts w:eastAsia="Times New Roman" w:cs="Arial"/>
                <w:sz w:val="20"/>
                <w:szCs w:val="20"/>
              </w:rPr>
            </w:pPr>
          </w:p>
        </w:tc>
      </w:tr>
      <w:tr w:rsidR="003F0CDB" w:rsidRPr="00EA0DC7" w14:paraId="5C377F87" w14:textId="77777777" w:rsidTr="00A65E63">
        <w:trPr>
          <w:trHeight w:val="401"/>
        </w:trPr>
        <w:tc>
          <w:tcPr>
            <w:tcW w:w="1985" w:type="dxa"/>
            <w:tcBorders>
              <w:top w:val="nil"/>
              <w:left w:val="nil"/>
              <w:right w:val="nil"/>
            </w:tcBorders>
            <w:shd w:val="clear" w:color="auto" w:fill="auto"/>
            <w:hideMark/>
          </w:tcPr>
          <w:p w14:paraId="500B5C67"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Hipp &amp; Munson (1995)</w:t>
            </w:r>
          </w:p>
        </w:tc>
        <w:tc>
          <w:tcPr>
            <w:tcW w:w="1077" w:type="dxa"/>
            <w:tcBorders>
              <w:top w:val="nil"/>
              <w:left w:val="nil"/>
              <w:right w:val="nil"/>
            </w:tcBorders>
            <w:shd w:val="clear" w:color="auto" w:fill="auto"/>
            <w:noWrap/>
            <w:vAlign w:val="center"/>
            <w:hideMark/>
          </w:tcPr>
          <w:p w14:paraId="5EE4CCD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0A93EDEA"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681AE340"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6A8D05C2"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3F22D8D1"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36E48EA3"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7940CC57"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45EC3099"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11113554" w14:textId="77777777" w:rsidR="003F0CDB" w:rsidRPr="00EA0DC7" w:rsidRDefault="003F0CDB" w:rsidP="00957911">
            <w:pPr>
              <w:spacing w:line="240" w:lineRule="auto"/>
              <w:jc w:val="center"/>
              <w:rPr>
                <w:rFonts w:eastAsia="Times New Roman" w:cs="Arial"/>
                <w:sz w:val="20"/>
                <w:szCs w:val="20"/>
              </w:rPr>
            </w:pPr>
          </w:p>
        </w:tc>
      </w:tr>
      <w:tr w:rsidR="003F0CDB" w:rsidRPr="00EA0DC7" w14:paraId="54DF97EC" w14:textId="77777777" w:rsidTr="00A65E63">
        <w:trPr>
          <w:trHeight w:val="283"/>
        </w:trPr>
        <w:tc>
          <w:tcPr>
            <w:tcW w:w="1985" w:type="dxa"/>
            <w:tcBorders>
              <w:left w:val="nil"/>
              <w:right w:val="nil"/>
            </w:tcBorders>
            <w:shd w:val="clear" w:color="auto" w:fill="auto"/>
            <w:hideMark/>
          </w:tcPr>
          <w:p w14:paraId="582437B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Carroll (1996)</w:t>
            </w:r>
          </w:p>
        </w:tc>
        <w:tc>
          <w:tcPr>
            <w:tcW w:w="1077" w:type="dxa"/>
            <w:tcBorders>
              <w:left w:val="nil"/>
              <w:right w:val="nil"/>
            </w:tcBorders>
            <w:shd w:val="clear" w:color="auto" w:fill="auto"/>
            <w:noWrap/>
            <w:vAlign w:val="center"/>
            <w:hideMark/>
          </w:tcPr>
          <w:p w14:paraId="007AEB09"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0697738B"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7B38429B"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86038F7"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E7631AC"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775C7A6F"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31D1E431"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5C2C0CFB"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20FAE994" w14:textId="77777777" w:rsidR="003F0CDB" w:rsidRPr="00EA0DC7" w:rsidRDefault="003F0CDB" w:rsidP="00957911">
            <w:pPr>
              <w:spacing w:line="240" w:lineRule="auto"/>
              <w:jc w:val="center"/>
              <w:rPr>
                <w:rFonts w:eastAsia="Times New Roman" w:cs="Arial"/>
                <w:sz w:val="20"/>
                <w:szCs w:val="20"/>
              </w:rPr>
            </w:pPr>
          </w:p>
        </w:tc>
      </w:tr>
      <w:tr w:rsidR="003F0CDB" w:rsidRPr="00EA0DC7" w14:paraId="09B9EB31" w14:textId="77777777" w:rsidTr="00A65E63">
        <w:trPr>
          <w:trHeight w:val="283"/>
        </w:trPr>
        <w:tc>
          <w:tcPr>
            <w:tcW w:w="1985" w:type="dxa"/>
            <w:tcBorders>
              <w:top w:val="nil"/>
              <w:left w:val="nil"/>
              <w:right w:val="nil"/>
            </w:tcBorders>
            <w:shd w:val="clear" w:color="auto" w:fill="auto"/>
            <w:hideMark/>
          </w:tcPr>
          <w:p w14:paraId="20D42BAD"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Carroll (1996)</w:t>
            </w:r>
          </w:p>
        </w:tc>
        <w:tc>
          <w:tcPr>
            <w:tcW w:w="1077" w:type="dxa"/>
            <w:tcBorders>
              <w:top w:val="nil"/>
              <w:left w:val="nil"/>
              <w:right w:val="nil"/>
            </w:tcBorders>
            <w:shd w:val="clear" w:color="auto" w:fill="auto"/>
            <w:noWrap/>
            <w:vAlign w:val="center"/>
            <w:hideMark/>
          </w:tcPr>
          <w:p w14:paraId="069C57C1"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36DF3AAA"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2CDA6466"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514A7253"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3010A8C1"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0A26BC59"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0B1459B5"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26C23126"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02E441B8" w14:textId="77777777" w:rsidR="003F0CDB" w:rsidRPr="00EA0DC7" w:rsidRDefault="003F0CDB" w:rsidP="00957911">
            <w:pPr>
              <w:spacing w:line="240" w:lineRule="auto"/>
              <w:jc w:val="center"/>
              <w:rPr>
                <w:rFonts w:eastAsia="Times New Roman" w:cs="Arial"/>
                <w:sz w:val="20"/>
                <w:szCs w:val="20"/>
              </w:rPr>
            </w:pPr>
          </w:p>
        </w:tc>
      </w:tr>
      <w:tr w:rsidR="003F0CDB" w:rsidRPr="00EA0DC7" w14:paraId="09DF24BD" w14:textId="77777777" w:rsidTr="00A65E63">
        <w:trPr>
          <w:trHeight w:val="283"/>
        </w:trPr>
        <w:tc>
          <w:tcPr>
            <w:tcW w:w="1985" w:type="dxa"/>
            <w:tcBorders>
              <w:left w:val="nil"/>
              <w:bottom w:val="single" w:sz="4" w:space="0" w:color="auto"/>
              <w:right w:val="nil"/>
            </w:tcBorders>
            <w:shd w:val="clear" w:color="auto" w:fill="auto"/>
            <w:hideMark/>
          </w:tcPr>
          <w:p w14:paraId="3C8064E2"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Haber (1996)</w:t>
            </w:r>
          </w:p>
        </w:tc>
        <w:tc>
          <w:tcPr>
            <w:tcW w:w="1077" w:type="dxa"/>
            <w:tcBorders>
              <w:left w:val="nil"/>
              <w:bottom w:val="single" w:sz="4" w:space="0" w:color="auto"/>
              <w:right w:val="nil"/>
            </w:tcBorders>
            <w:shd w:val="clear" w:color="auto" w:fill="auto"/>
            <w:noWrap/>
            <w:vAlign w:val="center"/>
            <w:hideMark/>
          </w:tcPr>
          <w:p w14:paraId="24AB17C6"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single" w:sz="4" w:space="0" w:color="auto"/>
              <w:right w:val="nil"/>
            </w:tcBorders>
            <w:shd w:val="clear" w:color="auto" w:fill="auto"/>
            <w:noWrap/>
            <w:vAlign w:val="center"/>
            <w:hideMark/>
          </w:tcPr>
          <w:p w14:paraId="52BBBDC7"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single" w:sz="4" w:space="0" w:color="auto"/>
              <w:right w:val="nil"/>
            </w:tcBorders>
            <w:shd w:val="clear" w:color="auto" w:fill="auto"/>
            <w:noWrap/>
            <w:vAlign w:val="center"/>
            <w:hideMark/>
          </w:tcPr>
          <w:p w14:paraId="076C53A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single" w:sz="4" w:space="0" w:color="auto"/>
              <w:right w:val="nil"/>
            </w:tcBorders>
            <w:vAlign w:val="center"/>
          </w:tcPr>
          <w:p w14:paraId="61D14D9C"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single" w:sz="4" w:space="0" w:color="auto"/>
              <w:right w:val="nil"/>
            </w:tcBorders>
            <w:vAlign w:val="center"/>
          </w:tcPr>
          <w:p w14:paraId="359B38C2"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single" w:sz="4" w:space="0" w:color="auto"/>
              <w:right w:val="nil"/>
            </w:tcBorders>
            <w:vAlign w:val="center"/>
          </w:tcPr>
          <w:p w14:paraId="1EDD3136"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single" w:sz="4" w:space="0" w:color="auto"/>
              <w:right w:val="nil"/>
            </w:tcBorders>
            <w:vAlign w:val="center"/>
          </w:tcPr>
          <w:p w14:paraId="26B5AA14"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single" w:sz="4" w:space="0" w:color="auto"/>
              <w:right w:val="nil"/>
            </w:tcBorders>
            <w:vAlign w:val="center"/>
          </w:tcPr>
          <w:p w14:paraId="224A835B"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single" w:sz="4" w:space="0" w:color="auto"/>
              <w:right w:val="nil"/>
            </w:tcBorders>
            <w:vAlign w:val="center"/>
          </w:tcPr>
          <w:p w14:paraId="1F9DF57B"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r>
    </w:tbl>
    <w:p w14:paraId="197F916A" w14:textId="77777777" w:rsidR="00004733" w:rsidRPr="00EA0DC7" w:rsidRDefault="00004733" w:rsidP="00A65E63">
      <w:pPr>
        <w:spacing w:line="240" w:lineRule="auto"/>
        <w:jc w:val="center"/>
        <w:rPr>
          <w:rFonts w:eastAsia="Times New Roman" w:cs="Arial"/>
          <w:b/>
          <w:bCs/>
          <w:sz w:val="20"/>
          <w:szCs w:val="20"/>
        </w:rPr>
        <w:sectPr w:rsidR="00004733" w:rsidRPr="00EA0DC7" w:rsidSect="001A0398">
          <w:pgSz w:w="16838" w:h="11906" w:orient="landscape"/>
          <w:pgMar w:top="1440" w:right="1440" w:bottom="2268" w:left="1440" w:header="709" w:footer="709" w:gutter="0"/>
          <w:cols w:space="708"/>
          <w:docGrid w:linePitch="360"/>
        </w:sectPr>
      </w:pP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A65E63" w:rsidRPr="00EA0DC7" w14:paraId="66711517" w14:textId="77777777" w:rsidTr="00A65E63">
        <w:trPr>
          <w:trHeight w:val="283"/>
        </w:trPr>
        <w:tc>
          <w:tcPr>
            <w:tcW w:w="1985" w:type="dxa"/>
            <w:tcBorders>
              <w:top w:val="single" w:sz="4" w:space="0" w:color="auto"/>
              <w:left w:val="nil"/>
              <w:bottom w:val="single" w:sz="4" w:space="0" w:color="auto"/>
              <w:right w:val="nil"/>
            </w:tcBorders>
            <w:shd w:val="clear" w:color="auto" w:fill="auto"/>
            <w:vAlign w:val="center"/>
          </w:tcPr>
          <w:p w14:paraId="64B20EB4" w14:textId="5DEAF32B"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077" w:type="dxa"/>
            <w:tcBorders>
              <w:top w:val="single" w:sz="4" w:space="0" w:color="auto"/>
              <w:left w:val="nil"/>
              <w:bottom w:val="single" w:sz="4" w:space="0" w:color="auto"/>
              <w:right w:val="nil"/>
            </w:tcBorders>
            <w:shd w:val="clear" w:color="auto" w:fill="auto"/>
            <w:noWrap/>
            <w:vAlign w:val="center"/>
          </w:tcPr>
          <w:p w14:paraId="1DEB0A6D" w14:textId="0137D54A"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noWrap/>
            <w:vAlign w:val="center"/>
          </w:tcPr>
          <w:p w14:paraId="5CFBB4D0" w14:textId="55FE3519"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noWrap/>
            <w:vAlign w:val="center"/>
          </w:tcPr>
          <w:p w14:paraId="3F5478C3" w14:textId="1447E949"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26A9AB94" w14:textId="25CD555C"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56282554" w14:textId="51507AF8"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5D2CFC2D" w14:textId="178A600D"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21D3436F" w14:textId="3293920A"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40CEC12E" w14:textId="62564FC4"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56D5E2F7" w14:textId="243EECA5" w:rsidR="00A65E63" w:rsidRPr="00EA0DC7" w:rsidRDefault="00A65E63" w:rsidP="00A65E63">
            <w:pPr>
              <w:spacing w:line="240" w:lineRule="auto"/>
              <w:jc w:val="center"/>
              <w:rPr>
                <w:rFonts w:eastAsia="Times New Roman" w:cs="Arial"/>
                <w:sz w:val="20"/>
                <w:szCs w:val="20"/>
              </w:rPr>
            </w:pPr>
            <w:r w:rsidRPr="00EA0DC7">
              <w:rPr>
                <w:rFonts w:eastAsia="Times New Roman" w:cs="Arial"/>
                <w:b/>
                <w:bCs/>
                <w:sz w:val="20"/>
                <w:szCs w:val="20"/>
              </w:rPr>
              <w:t>Acknowledge-ment of how an administrator fits into the supervisory process</w:t>
            </w:r>
          </w:p>
        </w:tc>
      </w:tr>
      <w:tr w:rsidR="003F0CDB" w:rsidRPr="00EA0DC7" w14:paraId="741F9F37" w14:textId="77777777" w:rsidTr="00A65E63">
        <w:trPr>
          <w:trHeight w:val="283"/>
        </w:trPr>
        <w:tc>
          <w:tcPr>
            <w:tcW w:w="1985" w:type="dxa"/>
            <w:tcBorders>
              <w:top w:val="single" w:sz="4" w:space="0" w:color="auto"/>
              <w:left w:val="nil"/>
              <w:bottom w:val="nil"/>
              <w:right w:val="nil"/>
            </w:tcBorders>
            <w:shd w:val="clear" w:color="auto" w:fill="auto"/>
            <w:hideMark/>
          </w:tcPr>
          <w:p w14:paraId="50910ADA"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Liese &amp; Beck (1997)</w:t>
            </w:r>
          </w:p>
        </w:tc>
        <w:tc>
          <w:tcPr>
            <w:tcW w:w="1077" w:type="dxa"/>
            <w:tcBorders>
              <w:top w:val="single" w:sz="4" w:space="0" w:color="auto"/>
              <w:left w:val="nil"/>
              <w:bottom w:val="nil"/>
              <w:right w:val="nil"/>
            </w:tcBorders>
            <w:shd w:val="clear" w:color="auto" w:fill="auto"/>
            <w:noWrap/>
            <w:vAlign w:val="center"/>
            <w:hideMark/>
          </w:tcPr>
          <w:p w14:paraId="675A1CC4"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single" w:sz="4" w:space="0" w:color="auto"/>
              <w:left w:val="nil"/>
              <w:bottom w:val="nil"/>
              <w:right w:val="nil"/>
            </w:tcBorders>
            <w:shd w:val="clear" w:color="auto" w:fill="auto"/>
            <w:noWrap/>
            <w:vAlign w:val="center"/>
            <w:hideMark/>
          </w:tcPr>
          <w:p w14:paraId="070E87AA"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top w:val="single" w:sz="4" w:space="0" w:color="auto"/>
              <w:left w:val="nil"/>
              <w:bottom w:val="nil"/>
              <w:right w:val="nil"/>
            </w:tcBorders>
            <w:shd w:val="clear" w:color="auto" w:fill="auto"/>
            <w:noWrap/>
            <w:vAlign w:val="center"/>
            <w:hideMark/>
          </w:tcPr>
          <w:p w14:paraId="53772CEB"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bottom w:val="nil"/>
              <w:right w:val="nil"/>
            </w:tcBorders>
            <w:vAlign w:val="center"/>
          </w:tcPr>
          <w:p w14:paraId="1E031B00"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bottom w:val="nil"/>
              <w:right w:val="nil"/>
            </w:tcBorders>
            <w:vAlign w:val="center"/>
          </w:tcPr>
          <w:p w14:paraId="782F8A7D"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top w:val="single" w:sz="4" w:space="0" w:color="auto"/>
              <w:left w:val="nil"/>
              <w:bottom w:val="nil"/>
              <w:right w:val="nil"/>
            </w:tcBorders>
            <w:vAlign w:val="center"/>
          </w:tcPr>
          <w:p w14:paraId="52E0E627"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top w:val="single" w:sz="4" w:space="0" w:color="auto"/>
              <w:left w:val="nil"/>
              <w:bottom w:val="nil"/>
              <w:right w:val="nil"/>
            </w:tcBorders>
            <w:vAlign w:val="center"/>
          </w:tcPr>
          <w:p w14:paraId="18EA530B"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top w:val="single" w:sz="4" w:space="0" w:color="auto"/>
              <w:left w:val="nil"/>
              <w:bottom w:val="nil"/>
              <w:right w:val="nil"/>
            </w:tcBorders>
            <w:vAlign w:val="center"/>
          </w:tcPr>
          <w:p w14:paraId="70807D8C"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top w:val="single" w:sz="4" w:space="0" w:color="auto"/>
              <w:left w:val="nil"/>
              <w:bottom w:val="nil"/>
              <w:right w:val="nil"/>
            </w:tcBorders>
            <w:vAlign w:val="center"/>
          </w:tcPr>
          <w:p w14:paraId="0C5D58AD"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623F8848" w14:textId="77777777" w:rsidTr="00A65E63">
        <w:trPr>
          <w:trHeight w:val="283"/>
        </w:trPr>
        <w:tc>
          <w:tcPr>
            <w:tcW w:w="1985" w:type="dxa"/>
            <w:tcBorders>
              <w:top w:val="nil"/>
              <w:left w:val="nil"/>
              <w:right w:val="nil"/>
            </w:tcBorders>
            <w:shd w:val="clear" w:color="auto" w:fill="auto"/>
            <w:hideMark/>
          </w:tcPr>
          <w:p w14:paraId="7C2BEDE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Ward &amp; House (1998)</w:t>
            </w:r>
          </w:p>
        </w:tc>
        <w:tc>
          <w:tcPr>
            <w:tcW w:w="1077" w:type="dxa"/>
            <w:tcBorders>
              <w:top w:val="nil"/>
              <w:left w:val="nil"/>
              <w:right w:val="nil"/>
            </w:tcBorders>
            <w:shd w:val="clear" w:color="auto" w:fill="auto"/>
            <w:noWrap/>
            <w:vAlign w:val="center"/>
            <w:hideMark/>
          </w:tcPr>
          <w:p w14:paraId="3C537B22"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69A79FB1"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5EA6290F"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27820389"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41CE6581"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2618CB53"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right w:val="nil"/>
            </w:tcBorders>
            <w:vAlign w:val="center"/>
          </w:tcPr>
          <w:p w14:paraId="203CF13E"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5CFF92F1"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53B502F6" w14:textId="77777777" w:rsidR="003F0CDB" w:rsidRPr="00EA0DC7" w:rsidRDefault="003F0CDB" w:rsidP="00957911">
            <w:pPr>
              <w:spacing w:line="240" w:lineRule="auto"/>
              <w:jc w:val="center"/>
              <w:rPr>
                <w:rFonts w:eastAsia="Times New Roman" w:cs="Arial"/>
                <w:sz w:val="20"/>
                <w:szCs w:val="20"/>
              </w:rPr>
            </w:pPr>
          </w:p>
        </w:tc>
      </w:tr>
      <w:tr w:rsidR="003F0CDB" w:rsidRPr="00EA0DC7" w14:paraId="0A53CC61" w14:textId="77777777" w:rsidTr="00A65E63">
        <w:trPr>
          <w:trHeight w:val="283"/>
        </w:trPr>
        <w:tc>
          <w:tcPr>
            <w:tcW w:w="1985" w:type="dxa"/>
            <w:tcBorders>
              <w:top w:val="nil"/>
              <w:left w:val="nil"/>
              <w:right w:val="nil"/>
            </w:tcBorders>
            <w:shd w:val="clear" w:color="auto" w:fill="auto"/>
            <w:hideMark/>
          </w:tcPr>
          <w:p w14:paraId="3A5C2818"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Bob (1999)</w:t>
            </w:r>
          </w:p>
        </w:tc>
        <w:tc>
          <w:tcPr>
            <w:tcW w:w="1077" w:type="dxa"/>
            <w:tcBorders>
              <w:top w:val="nil"/>
              <w:left w:val="nil"/>
              <w:right w:val="nil"/>
            </w:tcBorders>
            <w:shd w:val="clear" w:color="auto" w:fill="auto"/>
            <w:noWrap/>
            <w:vAlign w:val="center"/>
            <w:hideMark/>
          </w:tcPr>
          <w:p w14:paraId="7C7AF6C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145B5817"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0F4F2B9F"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61" w:type="dxa"/>
            <w:tcBorders>
              <w:top w:val="nil"/>
              <w:left w:val="nil"/>
              <w:right w:val="nil"/>
            </w:tcBorders>
            <w:vAlign w:val="center"/>
          </w:tcPr>
          <w:p w14:paraId="6B492E41"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718055FE"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636FDE24"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04" w:type="dxa"/>
            <w:tcBorders>
              <w:top w:val="nil"/>
              <w:left w:val="nil"/>
              <w:right w:val="nil"/>
            </w:tcBorders>
            <w:vAlign w:val="center"/>
          </w:tcPr>
          <w:p w14:paraId="55AA086F"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77125FB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701" w:type="dxa"/>
            <w:tcBorders>
              <w:top w:val="nil"/>
              <w:left w:val="nil"/>
              <w:right w:val="nil"/>
            </w:tcBorders>
            <w:vAlign w:val="center"/>
          </w:tcPr>
          <w:p w14:paraId="16EFD890" w14:textId="77777777" w:rsidR="003F0CDB" w:rsidRPr="00EA0DC7" w:rsidRDefault="003F0CDB" w:rsidP="00957911">
            <w:pPr>
              <w:spacing w:line="240" w:lineRule="auto"/>
              <w:jc w:val="center"/>
              <w:rPr>
                <w:rFonts w:eastAsia="Times New Roman" w:cs="Arial"/>
                <w:sz w:val="20"/>
                <w:szCs w:val="20"/>
              </w:rPr>
            </w:pPr>
          </w:p>
        </w:tc>
      </w:tr>
      <w:tr w:rsidR="003F0CDB" w:rsidRPr="00EA0DC7" w14:paraId="40B046D9" w14:textId="77777777" w:rsidTr="00A65E63">
        <w:trPr>
          <w:trHeight w:val="414"/>
        </w:trPr>
        <w:tc>
          <w:tcPr>
            <w:tcW w:w="1985" w:type="dxa"/>
            <w:tcBorders>
              <w:left w:val="nil"/>
              <w:right w:val="nil"/>
            </w:tcBorders>
            <w:shd w:val="clear" w:color="auto" w:fill="auto"/>
            <w:hideMark/>
          </w:tcPr>
          <w:p w14:paraId="4BD46454"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Nelson &amp; Johnson (1999)</w:t>
            </w:r>
          </w:p>
        </w:tc>
        <w:tc>
          <w:tcPr>
            <w:tcW w:w="1077" w:type="dxa"/>
            <w:tcBorders>
              <w:left w:val="nil"/>
              <w:right w:val="nil"/>
            </w:tcBorders>
            <w:shd w:val="clear" w:color="auto" w:fill="auto"/>
            <w:noWrap/>
            <w:vAlign w:val="center"/>
            <w:hideMark/>
          </w:tcPr>
          <w:p w14:paraId="2E19C21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2D386C9D"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68AB7E9A"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1624C34C"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1B64FCEC"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0C47BA1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04" w:type="dxa"/>
            <w:tcBorders>
              <w:left w:val="nil"/>
              <w:right w:val="nil"/>
            </w:tcBorders>
            <w:vAlign w:val="center"/>
          </w:tcPr>
          <w:p w14:paraId="36B9A080"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0A4F1A2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701" w:type="dxa"/>
            <w:tcBorders>
              <w:left w:val="nil"/>
              <w:right w:val="nil"/>
            </w:tcBorders>
            <w:vAlign w:val="center"/>
          </w:tcPr>
          <w:p w14:paraId="17AC1BB9" w14:textId="77777777" w:rsidR="003F0CDB" w:rsidRPr="00EA0DC7" w:rsidRDefault="003F0CDB" w:rsidP="00957911">
            <w:pPr>
              <w:spacing w:line="240" w:lineRule="auto"/>
              <w:jc w:val="center"/>
              <w:rPr>
                <w:rFonts w:eastAsia="Times New Roman" w:cs="Arial"/>
                <w:sz w:val="20"/>
                <w:szCs w:val="20"/>
              </w:rPr>
            </w:pPr>
          </w:p>
        </w:tc>
      </w:tr>
      <w:tr w:rsidR="003F0CDB" w:rsidRPr="00EA0DC7" w14:paraId="304CF4CA" w14:textId="77777777" w:rsidTr="00A65E63">
        <w:trPr>
          <w:trHeight w:val="283"/>
        </w:trPr>
        <w:tc>
          <w:tcPr>
            <w:tcW w:w="1985" w:type="dxa"/>
            <w:tcBorders>
              <w:left w:val="nil"/>
              <w:right w:val="nil"/>
            </w:tcBorders>
            <w:shd w:val="clear" w:color="auto" w:fill="auto"/>
            <w:hideMark/>
          </w:tcPr>
          <w:p w14:paraId="459AC6F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Edwards &amp; Chen (1999)</w:t>
            </w:r>
          </w:p>
        </w:tc>
        <w:tc>
          <w:tcPr>
            <w:tcW w:w="1077" w:type="dxa"/>
            <w:tcBorders>
              <w:left w:val="nil"/>
              <w:right w:val="nil"/>
            </w:tcBorders>
            <w:shd w:val="clear" w:color="auto" w:fill="auto"/>
            <w:noWrap/>
            <w:vAlign w:val="center"/>
            <w:hideMark/>
          </w:tcPr>
          <w:p w14:paraId="5DD03DF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18E6CC3C"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6935CB8C"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4FCEAB1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61" w:type="dxa"/>
            <w:tcBorders>
              <w:left w:val="nil"/>
              <w:right w:val="nil"/>
            </w:tcBorders>
            <w:vAlign w:val="center"/>
          </w:tcPr>
          <w:p w14:paraId="4685E359"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196FB94E"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6E24B55B"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114E63F7"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075DB09C" w14:textId="77777777" w:rsidR="003F0CDB" w:rsidRPr="00EA0DC7" w:rsidRDefault="003F0CDB" w:rsidP="00957911">
            <w:pPr>
              <w:spacing w:line="240" w:lineRule="auto"/>
              <w:jc w:val="center"/>
              <w:rPr>
                <w:rFonts w:eastAsia="Times New Roman" w:cs="Arial"/>
                <w:sz w:val="20"/>
                <w:szCs w:val="20"/>
              </w:rPr>
            </w:pPr>
          </w:p>
        </w:tc>
      </w:tr>
      <w:tr w:rsidR="003F0CDB" w:rsidRPr="00EA0DC7" w14:paraId="5D49BD27" w14:textId="77777777" w:rsidTr="00A65E63">
        <w:trPr>
          <w:trHeight w:val="283"/>
        </w:trPr>
        <w:tc>
          <w:tcPr>
            <w:tcW w:w="1985" w:type="dxa"/>
            <w:tcBorders>
              <w:left w:val="nil"/>
              <w:right w:val="nil"/>
            </w:tcBorders>
            <w:shd w:val="clear" w:color="auto" w:fill="auto"/>
            <w:hideMark/>
          </w:tcPr>
          <w:p w14:paraId="1357B1FE"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Granello (2000)</w:t>
            </w:r>
          </w:p>
        </w:tc>
        <w:tc>
          <w:tcPr>
            <w:tcW w:w="1077" w:type="dxa"/>
            <w:tcBorders>
              <w:left w:val="nil"/>
              <w:right w:val="nil"/>
            </w:tcBorders>
            <w:shd w:val="clear" w:color="auto" w:fill="auto"/>
            <w:noWrap/>
            <w:vAlign w:val="center"/>
            <w:hideMark/>
          </w:tcPr>
          <w:p w14:paraId="26541120"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0221C6C8"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64D3851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21A5205E"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6D7874B"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256E3D96"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113D6834"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7BD35C04"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767E1071" w14:textId="77777777" w:rsidR="003F0CDB" w:rsidRPr="00EA0DC7" w:rsidRDefault="003F0CDB" w:rsidP="00957911">
            <w:pPr>
              <w:spacing w:line="240" w:lineRule="auto"/>
              <w:jc w:val="center"/>
              <w:rPr>
                <w:rFonts w:eastAsia="Times New Roman" w:cs="Arial"/>
                <w:sz w:val="20"/>
                <w:szCs w:val="20"/>
              </w:rPr>
            </w:pPr>
          </w:p>
        </w:tc>
      </w:tr>
      <w:tr w:rsidR="003F0CDB" w:rsidRPr="00EA0DC7" w14:paraId="34542763" w14:textId="77777777" w:rsidTr="00A65E63">
        <w:trPr>
          <w:trHeight w:val="283"/>
        </w:trPr>
        <w:tc>
          <w:tcPr>
            <w:tcW w:w="1985" w:type="dxa"/>
            <w:tcBorders>
              <w:left w:val="nil"/>
              <w:right w:val="nil"/>
            </w:tcBorders>
            <w:shd w:val="clear" w:color="auto" w:fill="auto"/>
            <w:hideMark/>
          </w:tcPr>
          <w:p w14:paraId="70EA75FA"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Gilbert &amp; Evans (2000)</w:t>
            </w:r>
          </w:p>
        </w:tc>
        <w:tc>
          <w:tcPr>
            <w:tcW w:w="1077" w:type="dxa"/>
            <w:tcBorders>
              <w:left w:val="nil"/>
              <w:right w:val="nil"/>
            </w:tcBorders>
            <w:shd w:val="clear" w:color="auto" w:fill="auto"/>
            <w:noWrap/>
            <w:vAlign w:val="center"/>
            <w:hideMark/>
          </w:tcPr>
          <w:p w14:paraId="6DBCFED7"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shd w:val="clear" w:color="auto" w:fill="auto"/>
            <w:noWrap/>
            <w:vAlign w:val="center"/>
            <w:hideMark/>
          </w:tcPr>
          <w:p w14:paraId="0689643D"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5FD71B73"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A44F9D2"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2330CE79"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226DC1FD"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67B7CC11"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111C9B1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701" w:type="dxa"/>
            <w:tcBorders>
              <w:left w:val="nil"/>
              <w:right w:val="nil"/>
            </w:tcBorders>
            <w:vAlign w:val="center"/>
          </w:tcPr>
          <w:p w14:paraId="117799CE" w14:textId="77777777" w:rsidR="003F0CDB" w:rsidRPr="00EA0DC7" w:rsidRDefault="003F0CDB" w:rsidP="00957911">
            <w:pPr>
              <w:spacing w:line="240" w:lineRule="auto"/>
              <w:jc w:val="center"/>
              <w:rPr>
                <w:rFonts w:eastAsia="Times New Roman" w:cs="Arial"/>
                <w:sz w:val="20"/>
                <w:szCs w:val="20"/>
              </w:rPr>
            </w:pPr>
          </w:p>
        </w:tc>
      </w:tr>
      <w:tr w:rsidR="003F0CDB" w:rsidRPr="00EA0DC7" w14:paraId="2BD9B1F8" w14:textId="77777777" w:rsidTr="00F4729C">
        <w:trPr>
          <w:trHeight w:val="283"/>
        </w:trPr>
        <w:tc>
          <w:tcPr>
            <w:tcW w:w="1985" w:type="dxa"/>
            <w:tcBorders>
              <w:left w:val="nil"/>
              <w:right w:val="nil"/>
            </w:tcBorders>
            <w:shd w:val="clear" w:color="auto" w:fill="auto"/>
            <w:hideMark/>
          </w:tcPr>
          <w:p w14:paraId="1B77D99C"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Scaife (2001)</w:t>
            </w:r>
          </w:p>
        </w:tc>
        <w:tc>
          <w:tcPr>
            <w:tcW w:w="1077" w:type="dxa"/>
            <w:tcBorders>
              <w:left w:val="nil"/>
              <w:right w:val="nil"/>
            </w:tcBorders>
            <w:shd w:val="clear" w:color="auto" w:fill="auto"/>
            <w:noWrap/>
            <w:vAlign w:val="center"/>
            <w:hideMark/>
          </w:tcPr>
          <w:p w14:paraId="5FE3E493"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shd w:val="clear" w:color="auto" w:fill="auto"/>
            <w:noWrap/>
            <w:vAlign w:val="center"/>
            <w:hideMark/>
          </w:tcPr>
          <w:p w14:paraId="44C4D05E"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4D7A6E61"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6CE95CF9"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4FA09F36"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6008C40A"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4B55A347"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2F65A6FF"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69C4540F" w14:textId="77777777" w:rsidR="003F0CDB" w:rsidRPr="00EA0DC7" w:rsidRDefault="003F0CDB" w:rsidP="00957911">
            <w:pPr>
              <w:spacing w:line="240" w:lineRule="auto"/>
              <w:jc w:val="center"/>
              <w:rPr>
                <w:rFonts w:eastAsia="Times New Roman" w:cs="Arial"/>
                <w:sz w:val="20"/>
                <w:szCs w:val="20"/>
              </w:rPr>
            </w:pPr>
          </w:p>
        </w:tc>
      </w:tr>
      <w:tr w:rsidR="003F0CDB" w:rsidRPr="00EA0DC7" w14:paraId="579E7DBA" w14:textId="77777777" w:rsidTr="00A65E63">
        <w:trPr>
          <w:trHeight w:val="80"/>
        </w:trPr>
        <w:tc>
          <w:tcPr>
            <w:tcW w:w="1985" w:type="dxa"/>
            <w:tcBorders>
              <w:left w:val="nil"/>
              <w:right w:val="nil"/>
            </w:tcBorders>
            <w:shd w:val="clear" w:color="auto" w:fill="auto"/>
            <w:hideMark/>
          </w:tcPr>
          <w:p w14:paraId="398C0CE3"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Frawley-O'Dea &amp; Sarnat (2001)</w:t>
            </w:r>
          </w:p>
        </w:tc>
        <w:tc>
          <w:tcPr>
            <w:tcW w:w="1077" w:type="dxa"/>
            <w:tcBorders>
              <w:left w:val="nil"/>
              <w:right w:val="nil"/>
            </w:tcBorders>
            <w:shd w:val="clear" w:color="auto" w:fill="auto"/>
            <w:noWrap/>
            <w:vAlign w:val="center"/>
            <w:hideMark/>
          </w:tcPr>
          <w:p w14:paraId="4CD72FB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764F463D"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5A469788"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61302288"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0EA9AB5A"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1E1F5D69"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344F4416"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5FF3C9A5"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268BADFD" w14:textId="77777777" w:rsidR="003F0CDB" w:rsidRPr="00EA0DC7" w:rsidRDefault="003F0CDB" w:rsidP="00957911">
            <w:pPr>
              <w:spacing w:line="240" w:lineRule="auto"/>
              <w:jc w:val="center"/>
              <w:rPr>
                <w:rFonts w:eastAsia="Times New Roman" w:cs="Arial"/>
                <w:sz w:val="20"/>
                <w:szCs w:val="20"/>
              </w:rPr>
            </w:pPr>
          </w:p>
        </w:tc>
      </w:tr>
      <w:tr w:rsidR="003F0CDB" w:rsidRPr="00EA0DC7" w14:paraId="54E4A890" w14:textId="77777777" w:rsidTr="00A65E63">
        <w:trPr>
          <w:trHeight w:val="283"/>
        </w:trPr>
        <w:tc>
          <w:tcPr>
            <w:tcW w:w="1985" w:type="dxa"/>
            <w:tcBorders>
              <w:top w:val="nil"/>
              <w:left w:val="nil"/>
              <w:bottom w:val="single" w:sz="4" w:space="0" w:color="auto"/>
              <w:right w:val="nil"/>
            </w:tcBorders>
            <w:shd w:val="clear" w:color="auto" w:fill="auto"/>
            <w:hideMark/>
          </w:tcPr>
          <w:p w14:paraId="764A38F6"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Lee &amp; Everett (2004)</w:t>
            </w:r>
          </w:p>
        </w:tc>
        <w:tc>
          <w:tcPr>
            <w:tcW w:w="1077" w:type="dxa"/>
            <w:tcBorders>
              <w:top w:val="nil"/>
              <w:left w:val="nil"/>
              <w:bottom w:val="single" w:sz="4" w:space="0" w:color="auto"/>
              <w:right w:val="nil"/>
            </w:tcBorders>
            <w:shd w:val="clear" w:color="auto" w:fill="auto"/>
            <w:noWrap/>
            <w:vAlign w:val="center"/>
            <w:hideMark/>
          </w:tcPr>
          <w:p w14:paraId="187820E4"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auto"/>
              <w:right w:val="nil"/>
            </w:tcBorders>
            <w:shd w:val="clear" w:color="auto" w:fill="auto"/>
            <w:noWrap/>
            <w:vAlign w:val="center"/>
            <w:hideMark/>
          </w:tcPr>
          <w:p w14:paraId="5392977B"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single" w:sz="4" w:space="0" w:color="auto"/>
              <w:right w:val="nil"/>
            </w:tcBorders>
            <w:shd w:val="clear" w:color="auto" w:fill="auto"/>
            <w:noWrap/>
            <w:vAlign w:val="center"/>
            <w:hideMark/>
          </w:tcPr>
          <w:p w14:paraId="39CA1C8E"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auto"/>
              <w:right w:val="nil"/>
            </w:tcBorders>
            <w:vAlign w:val="center"/>
          </w:tcPr>
          <w:p w14:paraId="19B64962"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auto"/>
              <w:right w:val="nil"/>
            </w:tcBorders>
            <w:vAlign w:val="center"/>
          </w:tcPr>
          <w:p w14:paraId="0129E742"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auto"/>
              <w:right w:val="nil"/>
            </w:tcBorders>
            <w:vAlign w:val="center"/>
          </w:tcPr>
          <w:p w14:paraId="3F997A5C"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single" w:sz="4" w:space="0" w:color="auto"/>
              <w:right w:val="nil"/>
            </w:tcBorders>
            <w:vAlign w:val="center"/>
          </w:tcPr>
          <w:p w14:paraId="7DF7FBC7"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single" w:sz="4" w:space="0" w:color="auto"/>
              <w:right w:val="nil"/>
            </w:tcBorders>
            <w:vAlign w:val="center"/>
          </w:tcPr>
          <w:p w14:paraId="2D82FD3A"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single" w:sz="4" w:space="0" w:color="auto"/>
              <w:right w:val="nil"/>
            </w:tcBorders>
            <w:vAlign w:val="center"/>
          </w:tcPr>
          <w:p w14:paraId="15395E55" w14:textId="77777777" w:rsidR="003F0CDB" w:rsidRPr="00EA0DC7" w:rsidRDefault="003F0CDB" w:rsidP="00957911">
            <w:pPr>
              <w:spacing w:line="240" w:lineRule="auto"/>
              <w:jc w:val="center"/>
              <w:rPr>
                <w:rFonts w:eastAsia="Times New Roman" w:cs="Arial"/>
                <w:sz w:val="20"/>
                <w:szCs w:val="20"/>
              </w:rPr>
            </w:pPr>
          </w:p>
        </w:tc>
      </w:tr>
    </w:tbl>
    <w:p w14:paraId="49A7F067" w14:textId="77777777" w:rsidR="00004733" w:rsidRPr="00EA0DC7" w:rsidRDefault="00004733" w:rsidP="00004733">
      <w:pPr>
        <w:spacing w:before="240" w:line="240" w:lineRule="auto"/>
        <w:jc w:val="center"/>
        <w:rPr>
          <w:rFonts w:eastAsia="Times New Roman" w:cs="Arial"/>
          <w:b/>
          <w:bCs/>
          <w:sz w:val="20"/>
          <w:szCs w:val="20"/>
        </w:rPr>
        <w:sectPr w:rsidR="00004733" w:rsidRPr="00EA0DC7" w:rsidSect="001A0398">
          <w:pgSz w:w="16838" w:h="11906" w:orient="landscape"/>
          <w:pgMar w:top="2268" w:right="1440" w:bottom="1440" w:left="1440" w:header="709" w:footer="709" w:gutter="0"/>
          <w:cols w:space="708"/>
          <w:docGrid w:linePitch="360"/>
        </w:sectPr>
      </w:pPr>
    </w:p>
    <w:tbl>
      <w:tblPr>
        <w:tblW w:w="13976" w:type="dxa"/>
        <w:tblLayout w:type="fixed"/>
        <w:tblLook w:val="04A0" w:firstRow="1" w:lastRow="0" w:firstColumn="1" w:lastColumn="0" w:noHBand="0" w:noVBand="1"/>
      </w:tblPr>
      <w:tblGrid>
        <w:gridCol w:w="1985"/>
        <w:gridCol w:w="1077"/>
        <w:gridCol w:w="1247"/>
        <w:gridCol w:w="1134"/>
        <w:gridCol w:w="1361"/>
        <w:gridCol w:w="1361"/>
        <w:gridCol w:w="1247"/>
        <w:gridCol w:w="1304"/>
        <w:gridCol w:w="1559"/>
        <w:gridCol w:w="1701"/>
      </w:tblGrid>
      <w:tr w:rsidR="00A65E63" w:rsidRPr="00EA0DC7" w14:paraId="7553D1D6" w14:textId="77777777" w:rsidTr="00A65E63">
        <w:trPr>
          <w:trHeight w:val="283"/>
        </w:trPr>
        <w:tc>
          <w:tcPr>
            <w:tcW w:w="1985" w:type="dxa"/>
            <w:tcBorders>
              <w:top w:val="single" w:sz="4" w:space="0" w:color="auto"/>
              <w:left w:val="nil"/>
              <w:bottom w:val="single" w:sz="4" w:space="0" w:color="auto"/>
              <w:right w:val="nil"/>
            </w:tcBorders>
            <w:shd w:val="clear" w:color="auto" w:fill="auto"/>
            <w:vAlign w:val="center"/>
          </w:tcPr>
          <w:p w14:paraId="48077466" w14:textId="14E5A998"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lastRenderedPageBreak/>
              <w:t>Model/ approach</w:t>
            </w:r>
          </w:p>
        </w:tc>
        <w:tc>
          <w:tcPr>
            <w:tcW w:w="1077" w:type="dxa"/>
            <w:tcBorders>
              <w:top w:val="single" w:sz="4" w:space="0" w:color="auto"/>
              <w:left w:val="nil"/>
              <w:bottom w:val="single" w:sz="4" w:space="0" w:color="auto"/>
              <w:right w:val="nil"/>
            </w:tcBorders>
            <w:shd w:val="clear" w:color="auto" w:fill="auto"/>
            <w:noWrap/>
            <w:vAlign w:val="center"/>
          </w:tcPr>
          <w:p w14:paraId="61094611" w14:textId="4CEC596B"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Goal setting</w:t>
            </w:r>
          </w:p>
        </w:tc>
        <w:tc>
          <w:tcPr>
            <w:tcW w:w="1247" w:type="dxa"/>
            <w:tcBorders>
              <w:top w:val="single" w:sz="4" w:space="0" w:color="auto"/>
              <w:left w:val="nil"/>
              <w:bottom w:val="single" w:sz="4" w:space="0" w:color="auto"/>
              <w:right w:val="nil"/>
            </w:tcBorders>
            <w:shd w:val="clear" w:color="auto" w:fill="auto"/>
            <w:noWrap/>
            <w:vAlign w:val="center"/>
          </w:tcPr>
          <w:p w14:paraId="3BD1F249" w14:textId="222F3085"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Homework</w:t>
            </w:r>
          </w:p>
        </w:tc>
        <w:tc>
          <w:tcPr>
            <w:tcW w:w="1134" w:type="dxa"/>
            <w:tcBorders>
              <w:top w:val="single" w:sz="4" w:space="0" w:color="auto"/>
              <w:left w:val="nil"/>
              <w:bottom w:val="single" w:sz="4" w:space="0" w:color="auto"/>
              <w:right w:val="nil"/>
            </w:tcBorders>
            <w:shd w:val="clear" w:color="auto" w:fill="auto"/>
            <w:noWrap/>
            <w:vAlign w:val="center"/>
          </w:tcPr>
          <w:p w14:paraId="0048BAE2" w14:textId="07651F35"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Use of imagery/ metaphor</w:t>
            </w:r>
          </w:p>
        </w:tc>
        <w:tc>
          <w:tcPr>
            <w:tcW w:w="1361" w:type="dxa"/>
            <w:tcBorders>
              <w:top w:val="single" w:sz="4" w:space="0" w:color="auto"/>
              <w:left w:val="nil"/>
              <w:bottom w:val="single" w:sz="4" w:space="0" w:color="auto"/>
              <w:right w:val="nil"/>
            </w:tcBorders>
            <w:vAlign w:val="center"/>
          </w:tcPr>
          <w:p w14:paraId="013613D9" w14:textId="4D6AF345"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Regression accepted in supervision</w:t>
            </w:r>
          </w:p>
        </w:tc>
        <w:tc>
          <w:tcPr>
            <w:tcW w:w="1361" w:type="dxa"/>
            <w:tcBorders>
              <w:top w:val="single" w:sz="4" w:space="0" w:color="auto"/>
              <w:left w:val="nil"/>
              <w:bottom w:val="single" w:sz="4" w:space="0" w:color="auto"/>
              <w:right w:val="nil"/>
            </w:tcBorders>
            <w:vAlign w:val="center"/>
          </w:tcPr>
          <w:p w14:paraId="12A4119A" w14:textId="1B036EB1"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Expects preparation from therapist coming to supervision</w:t>
            </w:r>
          </w:p>
        </w:tc>
        <w:tc>
          <w:tcPr>
            <w:tcW w:w="1247" w:type="dxa"/>
            <w:tcBorders>
              <w:top w:val="single" w:sz="4" w:space="0" w:color="auto"/>
              <w:left w:val="nil"/>
              <w:bottom w:val="single" w:sz="4" w:space="0" w:color="auto"/>
              <w:right w:val="nil"/>
            </w:tcBorders>
            <w:vAlign w:val="center"/>
          </w:tcPr>
          <w:p w14:paraId="3B43F169" w14:textId="6DBA40DC"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Co-therapy with supervisor</w:t>
            </w:r>
          </w:p>
        </w:tc>
        <w:tc>
          <w:tcPr>
            <w:tcW w:w="1304" w:type="dxa"/>
            <w:tcBorders>
              <w:top w:val="single" w:sz="4" w:space="0" w:color="auto"/>
              <w:left w:val="nil"/>
              <w:bottom w:val="single" w:sz="4" w:space="0" w:color="auto"/>
              <w:right w:val="nil"/>
            </w:tcBorders>
            <w:vAlign w:val="center"/>
          </w:tcPr>
          <w:p w14:paraId="38912B9A" w14:textId="1D57197B"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Supervisor can treat/ counsel supervisee if agreed by both parties</w:t>
            </w:r>
          </w:p>
        </w:tc>
        <w:tc>
          <w:tcPr>
            <w:tcW w:w="1559" w:type="dxa"/>
            <w:tcBorders>
              <w:top w:val="single" w:sz="4" w:space="0" w:color="auto"/>
              <w:left w:val="nil"/>
              <w:bottom w:val="single" w:sz="4" w:space="0" w:color="auto"/>
              <w:right w:val="nil"/>
            </w:tcBorders>
            <w:vAlign w:val="center"/>
          </w:tcPr>
          <w:p w14:paraId="34428059" w14:textId="31794A58"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Acknowledge-ment of emergency situations</w:t>
            </w:r>
          </w:p>
        </w:tc>
        <w:tc>
          <w:tcPr>
            <w:tcW w:w="1701" w:type="dxa"/>
            <w:tcBorders>
              <w:top w:val="single" w:sz="4" w:space="0" w:color="auto"/>
              <w:left w:val="nil"/>
              <w:bottom w:val="single" w:sz="4" w:space="0" w:color="auto"/>
              <w:right w:val="nil"/>
            </w:tcBorders>
            <w:vAlign w:val="center"/>
          </w:tcPr>
          <w:p w14:paraId="7642A228" w14:textId="1525D076" w:rsidR="00A65E63" w:rsidRPr="00EA0DC7" w:rsidRDefault="00A65E63" w:rsidP="00004733">
            <w:pPr>
              <w:spacing w:before="240" w:line="240" w:lineRule="auto"/>
              <w:jc w:val="center"/>
              <w:rPr>
                <w:rFonts w:eastAsia="Times New Roman" w:cs="Arial"/>
                <w:sz w:val="20"/>
                <w:szCs w:val="20"/>
              </w:rPr>
            </w:pPr>
            <w:r w:rsidRPr="00EA0DC7">
              <w:rPr>
                <w:rFonts w:eastAsia="Times New Roman" w:cs="Arial"/>
                <w:b/>
                <w:bCs/>
                <w:sz w:val="20"/>
                <w:szCs w:val="20"/>
              </w:rPr>
              <w:t>Acknowledge-ment of how an administrator fits into the supervisory process</w:t>
            </w:r>
          </w:p>
        </w:tc>
      </w:tr>
      <w:tr w:rsidR="003F0CDB" w:rsidRPr="00EA0DC7" w14:paraId="65DE8F99" w14:textId="77777777" w:rsidTr="00A65E63">
        <w:trPr>
          <w:trHeight w:val="283"/>
        </w:trPr>
        <w:tc>
          <w:tcPr>
            <w:tcW w:w="1985" w:type="dxa"/>
            <w:tcBorders>
              <w:top w:val="single" w:sz="4" w:space="0" w:color="auto"/>
              <w:left w:val="nil"/>
              <w:right w:val="nil"/>
            </w:tcBorders>
            <w:shd w:val="clear" w:color="auto" w:fill="auto"/>
            <w:hideMark/>
          </w:tcPr>
          <w:p w14:paraId="6323734D" w14:textId="77777777" w:rsidR="003F0CDB" w:rsidRPr="00EA0DC7" w:rsidRDefault="003F0CDB" w:rsidP="00A65E63">
            <w:pPr>
              <w:spacing w:before="240" w:line="240" w:lineRule="auto"/>
              <w:jc w:val="left"/>
              <w:rPr>
                <w:rFonts w:eastAsia="Times New Roman" w:cs="Arial"/>
                <w:sz w:val="20"/>
                <w:szCs w:val="20"/>
              </w:rPr>
            </w:pPr>
            <w:r w:rsidRPr="00EA0DC7">
              <w:rPr>
                <w:rFonts w:eastAsia="Times New Roman" w:cs="Arial"/>
                <w:sz w:val="20"/>
                <w:szCs w:val="20"/>
              </w:rPr>
              <w:t>Ladany et al. (2005)</w:t>
            </w:r>
          </w:p>
        </w:tc>
        <w:tc>
          <w:tcPr>
            <w:tcW w:w="1077" w:type="dxa"/>
            <w:tcBorders>
              <w:top w:val="single" w:sz="4" w:space="0" w:color="auto"/>
              <w:left w:val="nil"/>
              <w:right w:val="nil"/>
            </w:tcBorders>
            <w:shd w:val="clear" w:color="auto" w:fill="auto"/>
            <w:noWrap/>
            <w:vAlign w:val="center"/>
            <w:hideMark/>
          </w:tcPr>
          <w:p w14:paraId="620B4CC1" w14:textId="77777777" w:rsidR="003F0CDB" w:rsidRPr="00EA0DC7" w:rsidRDefault="003F0CDB" w:rsidP="00A65E63">
            <w:pPr>
              <w:spacing w:before="240"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single" w:sz="4" w:space="0" w:color="auto"/>
              <w:left w:val="nil"/>
              <w:right w:val="nil"/>
            </w:tcBorders>
            <w:shd w:val="clear" w:color="auto" w:fill="auto"/>
            <w:noWrap/>
            <w:vAlign w:val="center"/>
            <w:hideMark/>
          </w:tcPr>
          <w:p w14:paraId="668C64A6" w14:textId="77777777" w:rsidR="003F0CDB" w:rsidRPr="00EA0DC7" w:rsidRDefault="003F0CDB" w:rsidP="00A65E63">
            <w:pPr>
              <w:spacing w:before="240" w:line="240" w:lineRule="auto"/>
              <w:jc w:val="center"/>
              <w:rPr>
                <w:rFonts w:eastAsia="Times New Roman" w:cs="Arial"/>
                <w:sz w:val="20"/>
                <w:szCs w:val="20"/>
              </w:rPr>
            </w:pPr>
          </w:p>
        </w:tc>
        <w:tc>
          <w:tcPr>
            <w:tcW w:w="1134" w:type="dxa"/>
            <w:tcBorders>
              <w:top w:val="single" w:sz="4" w:space="0" w:color="auto"/>
              <w:left w:val="nil"/>
              <w:right w:val="nil"/>
            </w:tcBorders>
            <w:shd w:val="clear" w:color="auto" w:fill="auto"/>
            <w:noWrap/>
            <w:vAlign w:val="center"/>
            <w:hideMark/>
          </w:tcPr>
          <w:p w14:paraId="32FE1AA8"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59517D84" w14:textId="77777777" w:rsidR="003F0CDB" w:rsidRPr="00EA0DC7" w:rsidRDefault="003F0CDB" w:rsidP="00A65E63">
            <w:pPr>
              <w:spacing w:before="240" w:line="240" w:lineRule="auto"/>
              <w:jc w:val="center"/>
              <w:rPr>
                <w:rFonts w:eastAsia="Times New Roman" w:cs="Arial"/>
                <w:sz w:val="20"/>
                <w:szCs w:val="20"/>
              </w:rPr>
            </w:pPr>
          </w:p>
        </w:tc>
        <w:tc>
          <w:tcPr>
            <w:tcW w:w="1361" w:type="dxa"/>
            <w:tcBorders>
              <w:top w:val="single" w:sz="4" w:space="0" w:color="auto"/>
              <w:left w:val="nil"/>
              <w:right w:val="nil"/>
            </w:tcBorders>
            <w:vAlign w:val="center"/>
          </w:tcPr>
          <w:p w14:paraId="26490CAB" w14:textId="77777777" w:rsidR="003F0CDB" w:rsidRPr="00EA0DC7" w:rsidRDefault="003F0CDB" w:rsidP="00A65E63">
            <w:pPr>
              <w:spacing w:before="240" w:line="240" w:lineRule="auto"/>
              <w:jc w:val="center"/>
              <w:rPr>
                <w:rFonts w:eastAsia="Times New Roman" w:cs="Arial"/>
                <w:sz w:val="20"/>
                <w:szCs w:val="20"/>
              </w:rPr>
            </w:pPr>
          </w:p>
        </w:tc>
        <w:tc>
          <w:tcPr>
            <w:tcW w:w="1247" w:type="dxa"/>
            <w:tcBorders>
              <w:top w:val="single" w:sz="4" w:space="0" w:color="auto"/>
              <w:left w:val="nil"/>
              <w:right w:val="nil"/>
            </w:tcBorders>
            <w:vAlign w:val="center"/>
          </w:tcPr>
          <w:p w14:paraId="5B77BC2F" w14:textId="77777777" w:rsidR="003F0CDB" w:rsidRPr="00EA0DC7" w:rsidRDefault="003F0CDB" w:rsidP="00A65E63">
            <w:pPr>
              <w:spacing w:before="240" w:line="240" w:lineRule="auto"/>
              <w:jc w:val="center"/>
              <w:rPr>
                <w:rFonts w:eastAsia="Times New Roman" w:cs="Arial"/>
                <w:sz w:val="20"/>
                <w:szCs w:val="20"/>
              </w:rPr>
            </w:pPr>
          </w:p>
        </w:tc>
        <w:tc>
          <w:tcPr>
            <w:tcW w:w="1304" w:type="dxa"/>
            <w:tcBorders>
              <w:top w:val="single" w:sz="4" w:space="0" w:color="auto"/>
              <w:left w:val="nil"/>
              <w:right w:val="nil"/>
            </w:tcBorders>
            <w:vAlign w:val="center"/>
          </w:tcPr>
          <w:p w14:paraId="1B7B3C88" w14:textId="77777777" w:rsidR="003F0CDB" w:rsidRPr="00EA0DC7" w:rsidRDefault="003F0CDB" w:rsidP="00A65E63">
            <w:pPr>
              <w:spacing w:before="240" w:line="240" w:lineRule="auto"/>
              <w:jc w:val="center"/>
              <w:rPr>
                <w:rFonts w:eastAsia="Times New Roman" w:cs="Arial"/>
                <w:sz w:val="20"/>
                <w:szCs w:val="20"/>
              </w:rPr>
            </w:pPr>
          </w:p>
        </w:tc>
        <w:tc>
          <w:tcPr>
            <w:tcW w:w="1559" w:type="dxa"/>
            <w:tcBorders>
              <w:top w:val="single" w:sz="4" w:space="0" w:color="auto"/>
              <w:left w:val="nil"/>
              <w:right w:val="nil"/>
            </w:tcBorders>
            <w:vAlign w:val="center"/>
          </w:tcPr>
          <w:p w14:paraId="61CDDEA2" w14:textId="77777777" w:rsidR="003F0CDB" w:rsidRPr="00EA0DC7" w:rsidRDefault="003F0CDB" w:rsidP="00A65E63">
            <w:pPr>
              <w:spacing w:before="240" w:line="240" w:lineRule="auto"/>
              <w:jc w:val="center"/>
              <w:rPr>
                <w:rFonts w:eastAsia="Times New Roman" w:cs="Arial"/>
                <w:sz w:val="20"/>
                <w:szCs w:val="20"/>
              </w:rPr>
            </w:pPr>
          </w:p>
        </w:tc>
        <w:tc>
          <w:tcPr>
            <w:tcW w:w="1701" w:type="dxa"/>
            <w:tcBorders>
              <w:top w:val="single" w:sz="4" w:space="0" w:color="auto"/>
              <w:left w:val="nil"/>
              <w:right w:val="nil"/>
            </w:tcBorders>
            <w:vAlign w:val="center"/>
          </w:tcPr>
          <w:p w14:paraId="31E2D3A8" w14:textId="77777777" w:rsidR="003F0CDB" w:rsidRPr="00EA0DC7" w:rsidRDefault="003F0CDB" w:rsidP="00A65E63">
            <w:pPr>
              <w:spacing w:before="240" w:line="240" w:lineRule="auto"/>
              <w:jc w:val="center"/>
              <w:rPr>
                <w:rFonts w:eastAsia="Times New Roman" w:cs="Arial"/>
                <w:sz w:val="20"/>
                <w:szCs w:val="20"/>
              </w:rPr>
            </w:pPr>
          </w:p>
        </w:tc>
      </w:tr>
      <w:tr w:rsidR="003F0CDB" w:rsidRPr="00EA0DC7" w14:paraId="7C38F502" w14:textId="77777777" w:rsidTr="00A65E63">
        <w:trPr>
          <w:trHeight w:val="283"/>
        </w:trPr>
        <w:tc>
          <w:tcPr>
            <w:tcW w:w="1985" w:type="dxa"/>
            <w:tcBorders>
              <w:left w:val="nil"/>
              <w:right w:val="nil"/>
            </w:tcBorders>
            <w:shd w:val="clear" w:color="auto" w:fill="auto"/>
            <w:hideMark/>
          </w:tcPr>
          <w:p w14:paraId="2637C9EF"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Armstrong &amp; Freeston (2006)</w:t>
            </w:r>
          </w:p>
        </w:tc>
        <w:tc>
          <w:tcPr>
            <w:tcW w:w="1077" w:type="dxa"/>
            <w:tcBorders>
              <w:left w:val="nil"/>
              <w:right w:val="nil"/>
            </w:tcBorders>
            <w:shd w:val="clear" w:color="auto" w:fill="auto"/>
            <w:noWrap/>
            <w:vAlign w:val="center"/>
            <w:hideMark/>
          </w:tcPr>
          <w:p w14:paraId="454A9823"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right w:val="nil"/>
            </w:tcBorders>
            <w:shd w:val="clear" w:color="auto" w:fill="auto"/>
            <w:noWrap/>
            <w:vAlign w:val="center"/>
            <w:hideMark/>
          </w:tcPr>
          <w:p w14:paraId="59BB4709"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right w:val="nil"/>
            </w:tcBorders>
            <w:shd w:val="clear" w:color="auto" w:fill="auto"/>
            <w:noWrap/>
            <w:vAlign w:val="center"/>
            <w:hideMark/>
          </w:tcPr>
          <w:p w14:paraId="00A119B0"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3F631A41"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right w:val="nil"/>
            </w:tcBorders>
            <w:vAlign w:val="center"/>
          </w:tcPr>
          <w:p w14:paraId="57F2F49F"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right w:val="nil"/>
            </w:tcBorders>
            <w:vAlign w:val="center"/>
          </w:tcPr>
          <w:p w14:paraId="1E9F683B"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right w:val="nil"/>
            </w:tcBorders>
            <w:vAlign w:val="center"/>
          </w:tcPr>
          <w:p w14:paraId="646E6B8F"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right w:val="nil"/>
            </w:tcBorders>
            <w:vAlign w:val="center"/>
          </w:tcPr>
          <w:p w14:paraId="7B213BC4"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right w:val="nil"/>
            </w:tcBorders>
            <w:vAlign w:val="center"/>
          </w:tcPr>
          <w:p w14:paraId="44FEC0D8" w14:textId="77777777" w:rsidR="003F0CDB" w:rsidRPr="00EA0DC7" w:rsidRDefault="003F0CDB" w:rsidP="00957911">
            <w:pPr>
              <w:spacing w:line="240" w:lineRule="auto"/>
              <w:jc w:val="center"/>
              <w:rPr>
                <w:rFonts w:eastAsia="Times New Roman" w:cs="Arial"/>
                <w:sz w:val="20"/>
                <w:szCs w:val="20"/>
              </w:rPr>
            </w:pPr>
          </w:p>
        </w:tc>
      </w:tr>
      <w:tr w:rsidR="003F0CDB" w:rsidRPr="00EA0DC7" w14:paraId="17C8E32B" w14:textId="77777777" w:rsidTr="00A65E63">
        <w:trPr>
          <w:trHeight w:val="80"/>
        </w:trPr>
        <w:tc>
          <w:tcPr>
            <w:tcW w:w="1985" w:type="dxa"/>
            <w:tcBorders>
              <w:left w:val="nil"/>
              <w:bottom w:val="nil"/>
              <w:right w:val="nil"/>
            </w:tcBorders>
            <w:shd w:val="clear" w:color="auto" w:fill="auto"/>
            <w:hideMark/>
          </w:tcPr>
          <w:p w14:paraId="301C461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Morgan &amp; Sprenkle (2007)</w:t>
            </w:r>
          </w:p>
        </w:tc>
        <w:tc>
          <w:tcPr>
            <w:tcW w:w="1077" w:type="dxa"/>
            <w:tcBorders>
              <w:left w:val="nil"/>
              <w:bottom w:val="nil"/>
              <w:right w:val="nil"/>
            </w:tcBorders>
            <w:shd w:val="clear" w:color="auto" w:fill="auto"/>
            <w:noWrap/>
            <w:vAlign w:val="center"/>
            <w:hideMark/>
          </w:tcPr>
          <w:p w14:paraId="47B8A2DD"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left w:val="nil"/>
              <w:bottom w:val="nil"/>
              <w:right w:val="nil"/>
            </w:tcBorders>
            <w:shd w:val="clear" w:color="auto" w:fill="auto"/>
            <w:noWrap/>
            <w:vAlign w:val="center"/>
            <w:hideMark/>
          </w:tcPr>
          <w:p w14:paraId="114CC3F7" w14:textId="77777777" w:rsidR="003F0CDB" w:rsidRPr="00EA0DC7" w:rsidRDefault="003F0CDB" w:rsidP="00957911">
            <w:pPr>
              <w:spacing w:line="240" w:lineRule="auto"/>
              <w:jc w:val="center"/>
              <w:rPr>
                <w:rFonts w:eastAsia="Times New Roman" w:cs="Arial"/>
                <w:sz w:val="20"/>
                <w:szCs w:val="20"/>
              </w:rPr>
            </w:pPr>
          </w:p>
        </w:tc>
        <w:tc>
          <w:tcPr>
            <w:tcW w:w="1134" w:type="dxa"/>
            <w:tcBorders>
              <w:left w:val="nil"/>
              <w:bottom w:val="nil"/>
              <w:right w:val="nil"/>
            </w:tcBorders>
            <w:shd w:val="clear" w:color="auto" w:fill="auto"/>
            <w:noWrap/>
            <w:vAlign w:val="center"/>
            <w:hideMark/>
          </w:tcPr>
          <w:p w14:paraId="49069FBD"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1E2AFAAA" w14:textId="77777777" w:rsidR="003F0CDB" w:rsidRPr="00EA0DC7" w:rsidRDefault="003F0CDB" w:rsidP="00957911">
            <w:pPr>
              <w:spacing w:line="240" w:lineRule="auto"/>
              <w:jc w:val="center"/>
              <w:rPr>
                <w:rFonts w:eastAsia="Times New Roman" w:cs="Arial"/>
                <w:sz w:val="20"/>
                <w:szCs w:val="20"/>
              </w:rPr>
            </w:pPr>
          </w:p>
        </w:tc>
        <w:tc>
          <w:tcPr>
            <w:tcW w:w="1361" w:type="dxa"/>
            <w:tcBorders>
              <w:left w:val="nil"/>
              <w:bottom w:val="nil"/>
              <w:right w:val="nil"/>
            </w:tcBorders>
            <w:vAlign w:val="center"/>
          </w:tcPr>
          <w:p w14:paraId="71DF1FE6" w14:textId="77777777" w:rsidR="003F0CDB" w:rsidRPr="00EA0DC7" w:rsidRDefault="003F0CDB" w:rsidP="00957911">
            <w:pPr>
              <w:spacing w:line="240" w:lineRule="auto"/>
              <w:jc w:val="center"/>
              <w:rPr>
                <w:rFonts w:eastAsia="Times New Roman" w:cs="Arial"/>
                <w:sz w:val="20"/>
                <w:szCs w:val="20"/>
              </w:rPr>
            </w:pPr>
          </w:p>
        </w:tc>
        <w:tc>
          <w:tcPr>
            <w:tcW w:w="1247" w:type="dxa"/>
            <w:tcBorders>
              <w:left w:val="nil"/>
              <w:bottom w:val="nil"/>
              <w:right w:val="nil"/>
            </w:tcBorders>
            <w:vAlign w:val="center"/>
          </w:tcPr>
          <w:p w14:paraId="17D7BA16" w14:textId="77777777" w:rsidR="003F0CDB" w:rsidRPr="00EA0DC7" w:rsidRDefault="003F0CDB" w:rsidP="00957911">
            <w:pPr>
              <w:spacing w:line="240" w:lineRule="auto"/>
              <w:jc w:val="center"/>
              <w:rPr>
                <w:rFonts w:eastAsia="Times New Roman" w:cs="Arial"/>
                <w:sz w:val="20"/>
                <w:szCs w:val="20"/>
              </w:rPr>
            </w:pPr>
          </w:p>
        </w:tc>
        <w:tc>
          <w:tcPr>
            <w:tcW w:w="1304" w:type="dxa"/>
            <w:tcBorders>
              <w:left w:val="nil"/>
              <w:bottom w:val="nil"/>
              <w:right w:val="nil"/>
            </w:tcBorders>
            <w:vAlign w:val="center"/>
          </w:tcPr>
          <w:p w14:paraId="4A0A9776" w14:textId="77777777" w:rsidR="003F0CDB" w:rsidRPr="00EA0DC7" w:rsidRDefault="003F0CDB" w:rsidP="00957911">
            <w:pPr>
              <w:spacing w:line="240" w:lineRule="auto"/>
              <w:jc w:val="center"/>
              <w:rPr>
                <w:rFonts w:eastAsia="Times New Roman" w:cs="Arial"/>
                <w:sz w:val="20"/>
                <w:szCs w:val="20"/>
              </w:rPr>
            </w:pPr>
          </w:p>
        </w:tc>
        <w:tc>
          <w:tcPr>
            <w:tcW w:w="1559" w:type="dxa"/>
            <w:tcBorders>
              <w:left w:val="nil"/>
              <w:bottom w:val="nil"/>
              <w:right w:val="nil"/>
            </w:tcBorders>
            <w:vAlign w:val="center"/>
          </w:tcPr>
          <w:p w14:paraId="13616FEC" w14:textId="77777777" w:rsidR="003F0CDB" w:rsidRPr="00EA0DC7" w:rsidRDefault="003F0CDB" w:rsidP="00957911">
            <w:pPr>
              <w:spacing w:line="240" w:lineRule="auto"/>
              <w:jc w:val="center"/>
              <w:rPr>
                <w:rFonts w:eastAsia="Times New Roman" w:cs="Arial"/>
                <w:sz w:val="20"/>
                <w:szCs w:val="20"/>
              </w:rPr>
            </w:pPr>
          </w:p>
        </w:tc>
        <w:tc>
          <w:tcPr>
            <w:tcW w:w="1701" w:type="dxa"/>
            <w:tcBorders>
              <w:left w:val="nil"/>
              <w:bottom w:val="nil"/>
              <w:right w:val="nil"/>
            </w:tcBorders>
            <w:vAlign w:val="center"/>
          </w:tcPr>
          <w:p w14:paraId="1C0F7359" w14:textId="77777777" w:rsidR="003F0CDB" w:rsidRPr="00EA0DC7" w:rsidRDefault="003F0CDB" w:rsidP="00957911">
            <w:pPr>
              <w:spacing w:line="240" w:lineRule="auto"/>
              <w:jc w:val="center"/>
              <w:rPr>
                <w:rFonts w:eastAsia="Times New Roman" w:cs="Arial"/>
                <w:sz w:val="20"/>
                <w:szCs w:val="20"/>
              </w:rPr>
            </w:pPr>
          </w:p>
        </w:tc>
      </w:tr>
      <w:tr w:rsidR="003F0CDB" w:rsidRPr="00EA0DC7" w14:paraId="53ED8100" w14:textId="77777777" w:rsidTr="00A65E63">
        <w:trPr>
          <w:trHeight w:val="283"/>
        </w:trPr>
        <w:tc>
          <w:tcPr>
            <w:tcW w:w="1985" w:type="dxa"/>
            <w:tcBorders>
              <w:top w:val="nil"/>
              <w:left w:val="nil"/>
              <w:right w:val="nil"/>
            </w:tcBorders>
            <w:shd w:val="clear" w:color="auto" w:fill="auto"/>
            <w:hideMark/>
          </w:tcPr>
          <w:p w14:paraId="10BFA730"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Inskipp &amp; Proctor (2009)</w:t>
            </w:r>
          </w:p>
        </w:tc>
        <w:tc>
          <w:tcPr>
            <w:tcW w:w="1077" w:type="dxa"/>
            <w:tcBorders>
              <w:top w:val="nil"/>
              <w:left w:val="nil"/>
              <w:right w:val="nil"/>
            </w:tcBorders>
            <w:shd w:val="clear" w:color="auto" w:fill="auto"/>
            <w:noWrap/>
            <w:vAlign w:val="center"/>
            <w:hideMark/>
          </w:tcPr>
          <w:p w14:paraId="237DA99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right w:val="nil"/>
            </w:tcBorders>
            <w:shd w:val="clear" w:color="auto" w:fill="auto"/>
            <w:noWrap/>
            <w:vAlign w:val="center"/>
            <w:hideMark/>
          </w:tcPr>
          <w:p w14:paraId="26E0C953"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right w:val="nil"/>
            </w:tcBorders>
            <w:shd w:val="clear" w:color="auto" w:fill="auto"/>
            <w:noWrap/>
            <w:vAlign w:val="center"/>
            <w:hideMark/>
          </w:tcPr>
          <w:p w14:paraId="18982E1A"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212D50B9"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right w:val="nil"/>
            </w:tcBorders>
            <w:vAlign w:val="center"/>
          </w:tcPr>
          <w:p w14:paraId="627E824D"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right w:val="nil"/>
            </w:tcBorders>
            <w:vAlign w:val="center"/>
          </w:tcPr>
          <w:p w14:paraId="2A59AD8C"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304" w:type="dxa"/>
            <w:tcBorders>
              <w:top w:val="nil"/>
              <w:left w:val="nil"/>
              <w:right w:val="nil"/>
            </w:tcBorders>
            <w:vAlign w:val="center"/>
          </w:tcPr>
          <w:p w14:paraId="4D63AB13"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right w:val="nil"/>
            </w:tcBorders>
            <w:vAlign w:val="center"/>
          </w:tcPr>
          <w:p w14:paraId="03A6E23B"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right w:val="nil"/>
            </w:tcBorders>
            <w:vAlign w:val="center"/>
          </w:tcPr>
          <w:p w14:paraId="34419B3F" w14:textId="77777777" w:rsidR="003F0CDB" w:rsidRPr="00EA0DC7" w:rsidRDefault="003F0CDB" w:rsidP="00957911">
            <w:pPr>
              <w:spacing w:line="240" w:lineRule="auto"/>
              <w:jc w:val="center"/>
              <w:rPr>
                <w:rFonts w:eastAsia="Times New Roman" w:cs="Arial"/>
                <w:sz w:val="20"/>
                <w:szCs w:val="20"/>
              </w:rPr>
            </w:pPr>
          </w:p>
        </w:tc>
      </w:tr>
      <w:tr w:rsidR="003F0CDB" w:rsidRPr="00EA0DC7" w14:paraId="168391B0" w14:textId="77777777" w:rsidTr="00A65E63">
        <w:trPr>
          <w:trHeight w:val="283"/>
        </w:trPr>
        <w:tc>
          <w:tcPr>
            <w:tcW w:w="1985" w:type="dxa"/>
            <w:tcBorders>
              <w:top w:val="nil"/>
              <w:left w:val="nil"/>
              <w:bottom w:val="single" w:sz="4" w:space="0" w:color="000000"/>
              <w:right w:val="nil"/>
            </w:tcBorders>
            <w:shd w:val="clear" w:color="auto" w:fill="auto"/>
            <w:hideMark/>
          </w:tcPr>
          <w:p w14:paraId="597AB0EB" w14:textId="77777777" w:rsidR="003F0CDB" w:rsidRPr="00EA0DC7" w:rsidRDefault="003F0CDB" w:rsidP="00957911">
            <w:pPr>
              <w:spacing w:line="240" w:lineRule="auto"/>
              <w:jc w:val="left"/>
              <w:rPr>
                <w:rFonts w:eastAsia="Times New Roman" w:cs="Arial"/>
                <w:sz w:val="20"/>
                <w:szCs w:val="20"/>
              </w:rPr>
            </w:pPr>
            <w:r w:rsidRPr="00EA0DC7">
              <w:rPr>
                <w:rFonts w:eastAsia="Times New Roman" w:cs="Arial"/>
                <w:sz w:val="20"/>
                <w:szCs w:val="20"/>
              </w:rPr>
              <w:t>Page &amp; Wosket (2015)</w:t>
            </w:r>
          </w:p>
        </w:tc>
        <w:tc>
          <w:tcPr>
            <w:tcW w:w="1077" w:type="dxa"/>
            <w:tcBorders>
              <w:top w:val="nil"/>
              <w:left w:val="nil"/>
              <w:bottom w:val="single" w:sz="4" w:space="0" w:color="000000"/>
              <w:right w:val="nil"/>
            </w:tcBorders>
            <w:shd w:val="clear" w:color="auto" w:fill="auto"/>
            <w:noWrap/>
            <w:vAlign w:val="center"/>
            <w:hideMark/>
          </w:tcPr>
          <w:p w14:paraId="52E211FE" w14:textId="77777777" w:rsidR="003F0CDB" w:rsidRPr="00EA0DC7" w:rsidRDefault="003F0CDB" w:rsidP="00957911">
            <w:pPr>
              <w:spacing w:line="240" w:lineRule="auto"/>
              <w:jc w:val="center"/>
              <w:rPr>
                <w:rFonts w:eastAsia="Times New Roman" w:cs="Arial"/>
                <w:sz w:val="20"/>
                <w:szCs w:val="20"/>
              </w:rPr>
            </w:pPr>
            <w:r w:rsidRPr="00EA0DC7">
              <w:rPr>
                <w:rFonts w:eastAsia="Times New Roman" w:cs="Arial"/>
                <w:sz w:val="20"/>
                <w:szCs w:val="20"/>
              </w:rPr>
              <w:sym w:font="Wingdings" w:char="F0FC"/>
            </w:r>
          </w:p>
        </w:tc>
        <w:tc>
          <w:tcPr>
            <w:tcW w:w="1247" w:type="dxa"/>
            <w:tcBorders>
              <w:top w:val="nil"/>
              <w:left w:val="nil"/>
              <w:bottom w:val="single" w:sz="4" w:space="0" w:color="000000"/>
              <w:right w:val="nil"/>
            </w:tcBorders>
            <w:shd w:val="clear" w:color="auto" w:fill="auto"/>
            <w:noWrap/>
            <w:vAlign w:val="center"/>
            <w:hideMark/>
          </w:tcPr>
          <w:p w14:paraId="45D92952" w14:textId="77777777" w:rsidR="003F0CDB" w:rsidRPr="00EA0DC7" w:rsidRDefault="003F0CDB" w:rsidP="00957911">
            <w:pPr>
              <w:spacing w:line="240" w:lineRule="auto"/>
              <w:jc w:val="center"/>
              <w:rPr>
                <w:rFonts w:eastAsia="Times New Roman" w:cs="Arial"/>
                <w:sz w:val="20"/>
                <w:szCs w:val="20"/>
              </w:rPr>
            </w:pPr>
          </w:p>
        </w:tc>
        <w:tc>
          <w:tcPr>
            <w:tcW w:w="1134" w:type="dxa"/>
            <w:tcBorders>
              <w:top w:val="nil"/>
              <w:left w:val="nil"/>
              <w:bottom w:val="single" w:sz="4" w:space="0" w:color="000000"/>
              <w:right w:val="nil"/>
            </w:tcBorders>
            <w:shd w:val="clear" w:color="auto" w:fill="auto"/>
            <w:noWrap/>
            <w:vAlign w:val="center"/>
            <w:hideMark/>
          </w:tcPr>
          <w:p w14:paraId="371305C8"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000000"/>
              <w:right w:val="nil"/>
            </w:tcBorders>
            <w:vAlign w:val="center"/>
          </w:tcPr>
          <w:p w14:paraId="6FD19F12" w14:textId="77777777" w:rsidR="003F0CDB" w:rsidRPr="00EA0DC7" w:rsidRDefault="003F0CDB" w:rsidP="00957911">
            <w:pPr>
              <w:spacing w:line="240" w:lineRule="auto"/>
              <w:jc w:val="center"/>
              <w:rPr>
                <w:rFonts w:eastAsia="Times New Roman" w:cs="Arial"/>
                <w:sz w:val="20"/>
                <w:szCs w:val="20"/>
              </w:rPr>
            </w:pPr>
          </w:p>
        </w:tc>
        <w:tc>
          <w:tcPr>
            <w:tcW w:w="1361" w:type="dxa"/>
            <w:tcBorders>
              <w:top w:val="nil"/>
              <w:left w:val="nil"/>
              <w:bottom w:val="single" w:sz="4" w:space="0" w:color="000000"/>
              <w:right w:val="nil"/>
            </w:tcBorders>
            <w:vAlign w:val="center"/>
          </w:tcPr>
          <w:p w14:paraId="57D07870" w14:textId="77777777" w:rsidR="003F0CDB" w:rsidRPr="00EA0DC7" w:rsidRDefault="003F0CDB" w:rsidP="00957911">
            <w:pPr>
              <w:spacing w:line="240" w:lineRule="auto"/>
              <w:jc w:val="center"/>
              <w:rPr>
                <w:rFonts w:eastAsia="Times New Roman" w:cs="Arial"/>
                <w:sz w:val="20"/>
                <w:szCs w:val="20"/>
              </w:rPr>
            </w:pPr>
          </w:p>
        </w:tc>
        <w:tc>
          <w:tcPr>
            <w:tcW w:w="1247" w:type="dxa"/>
            <w:tcBorders>
              <w:top w:val="nil"/>
              <w:left w:val="nil"/>
              <w:bottom w:val="single" w:sz="4" w:space="0" w:color="000000"/>
              <w:right w:val="nil"/>
            </w:tcBorders>
            <w:vAlign w:val="center"/>
          </w:tcPr>
          <w:p w14:paraId="73A9471D" w14:textId="77777777" w:rsidR="003F0CDB" w:rsidRPr="00EA0DC7" w:rsidRDefault="003F0CDB" w:rsidP="00957911">
            <w:pPr>
              <w:spacing w:line="240" w:lineRule="auto"/>
              <w:jc w:val="center"/>
              <w:rPr>
                <w:rFonts w:eastAsia="Times New Roman" w:cs="Arial"/>
                <w:sz w:val="20"/>
                <w:szCs w:val="20"/>
              </w:rPr>
            </w:pPr>
          </w:p>
        </w:tc>
        <w:tc>
          <w:tcPr>
            <w:tcW w:w="1304" w:type="dxa"/>
            <w:tcBorders>
              <w:top w:val="nil"/>
              <w:left w:val="nil"/>
              <w:bottom w:val="single" w:sz="4" w:space="0" w:color="000000"/>
              <w:right w:val="nil"/>
            </w:tcBorders>
            <w:vAlign w:val="center"/>
          </w:tcPr>
          <w:p w14:paraId="401A08FD" w14:textId="77777777" w:rsidR="003F0CDB" w:rsidRPr="00EA0DC7" w:rsidRDefault="003F0CDB" w:rsidP="00957911">
            <w:pPr>
              <w:spacing w:line="240" w:lineRule="auto"/>
              <w:jc w:val="center"/>
              <w:rPr>
                <w:rFonts w:eastAsia="Times New Roman" w:cs="Arial"/>
                <w:sz w:val="20"/>
                <w:szCs w:val="20"/>
              </w:rPr>
            </w:pPr>
          </w:p>
        </w:tc>
        <w:tc>
          <w:tcPr>
            <w:tcW w:w="1559" w:type="dxa"/>
            <w:tcBorders>
              <w:top w:val="nil"/>
              <w:left w:val="nil"/>
              <w:bottom w:val="single" w:sz="4" w:space="0" w:color="000000"/>
              <w:right w:val="nil"/>
            </w:tcBorders>
            <w:vAlign w:val="center"/>
          </w:tcPr>
          <w:p w14:paraId="41D7A9A7" w14:textId="77777777" w:rsidR="003F0CDB" w:rsidRPr="00EA0DC7" w:rsidRDefault="003F0CDB" w:rsidP="00957911">
            <w:pPr>
              <w:spacing w:line="240" w:lineRule="auto"/>
              <w:jc w:val="center"/>
              <w:rPr>
                <w:rFonts w:eastAsia="Times New Roman" w:cs="Arial"/>
                <w:sz w:val="20"/>
                <w:szCs w:val="20"/>
              </w:rPr>
            </w:pPr>
          </w:p>
        </w:tc>
        <w:tc>
          <w:tcPr>
            <w:tcW w:w="1701" w:type="dxa"/>
            <w:tcBorders>
              <w:top w:val="nil"/>
              <w:left w:val="nil"/>
              <w:bottom w:val="single" w:sz="4" w:space="0" w:color="000000"/>
              <w:right w:val="nil"/>
            </w:tcBorders>
            <w:vAlign w:val="center"/>
          </w:tcPr>
          <w:p w14:paraId="09943A0C" w14:textId="77777777" w:rsidR="003F0CDB" w:rsidRPr="00EA0DC7" w:rsidRDefault="003F0CDB" w:rsidP="00957911">
            <w:pPr>
              <w:spacing w:line="240" w:lineRule="auto"/>
              <w:jc w:val="center"/>
              <w:rPr>
                <w:rFonts w:eastAsia="Times New Roman" w:cs="Arial"/>
                <w:sz w:val="20"/>
                <w:szCs w:val="20"/>
              </w:rPr>
            </w:pPr>
          </w:p>
        </w:tc>
      </w:tr>
    </w:tbl>
    <w:p w14:paraId="03453EE0" w14:textId="77777777" w:rsidR="00004733" w:rsidRPr="00EA0DC7" w:rsidRDefault="00004733" w:rsidP="003F0CDB">
      <w:pPr>
        <w:rPr>
          <w:rFonts w:eastAsia="Times New Roman" w:cs="Arial"/>
          <w:szCs w:val="24"/>
        </w:rPr>
        <w:sectPr w:rsidR="00004733" w:rsidRPr="00EA0DC7" w:rsidSect="001A0398">
          <w:pgSz w:w="16838" w:h="11906" w:orient="landscape"/>
          <w:pgMar w:top="1440" w:right="1440" w:bottom="2268" w:left="1440" w:header="709" w:footer="709" w:gutter="0"/>
          <w:cols w:space="708"/>
          <w:docGrid w:linePitch="360"/>
        </w:sectPr>
      </w:pPr>
    </w:p>
    <w:p w14:paraId="2EE88F16" w14:textId="70317CDC" w:rsidR="00004733" w:rsidRPr="00EA0DC7" w:rsidRDefault="00004733" w:rsidP="00004733">
      <w:pPr>
        <w:pStyle w:val="Heading2"/>
      </w:pPr>
      <w:bookmarkStart w:id="262" w:name="_Toc24548602"/>
      <w:bookmarkStart w:id="263" w:name="_Toc24548705"/>
      <w:bookmarkStart w:id="264" w:name="_Toc47039892"/>
      <w:r w:rsidRPr="00EA0DC7">
        <w:lastRenderedPageBreak/>
        <w:t>Appendix 2M. Use of empirical evidence in supervision models</w:t>
      </w:r>
      <w:bookmarkEnd w:id="262"/>
      <w:bookmarkEnd w:id="263"/>
      <w:bookmarkEnd w:id="264"/>
    </w:p>
    <w:p w14:paraId="358FEE2C" w14:textId="2115F557" w:rsidR="00004733" w:rsidRPr="00EA0DC7" w:rsidRDefault="00004733" w:rsidP="00004733">
      <w:r w:rsidRPr="00EA0DC7">
        <w:rPr>
          <w:rFonts w:eastAsia="Times New Roman" w:cs="Arial"/>
        </w:rPr>
        <w:t>Table 2M. Empirical evidence use in models.</w:t>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2126"/>
      </w:tblGrid>
      <w:tr w:rsidR="003F0CDB" w:rsidRPr="00EA0DC7" w14:paraId="3EB18B99" w14:textId="77777777" w:rsidTr="00004733">
        <w:trPr>
          <w:trHeight w:val="639"/>
        </w:trPr>
        <w:tc>
          <w:tcPr>
            <w:tcW w:w="3969" w:type="dxa"/>
            <w:tcBorders>
              <w:top w:val="single" w:sz="4" w:space="0" w:color="auto"/>
              <w:bottom w:val="single" w:sz="4" w:space="0" w:color="auto"/>
            </w:tcBorders>
          </w:tcPr>
          <w:p w14:paraId="679CD41D" w14:textId="6DA58B2F" w:rsidR="003F0CDB" w:rsidRPr="00EA0DC7" w:rsidRDefault="003F0CDB" w:rsidP="00004733">
            <w:pPr>
              <w:spacing w:before="240" w:after="200" w:line="240" w:lineRule="auto"/>
              <w:rPr>
                <w:rFonts w:eastAsia="Times New Roman" w:cs="Arial"/>
              </w:rPr>
            </w:pPr>
          </w:p>
        </w:tc>
        <w:tc>
          <w:tcPr>
            <w:tcW w:w="1560" w:type="dxa"/>
            <w:tcBorders>
              <w:top w:val="single" w:sz="4" w:space="0" w:color="auto"/>
              <w:bottom w:val="single" w:sz="4" w:space="0" w:color="auto"/>
            </w:tcBorders>
          </w:tcPr>
          <w:p w14:paraId="0682406B" w14:textId="77777777" w:rsidR="003F0CDB" w:rsidRPr="00EA0DC7" w:rsidRDefault="003F0CDB" w:rsidP="00004733">
            <w:pPr>
              <w:spacing w:before="240" w:after="200" w:line="240" w:lineRule="auto"/>
              <w:jc w:val="center"/>
              <w:rPr>
                <w:rFonts w:eastAsia="Times New Roman" w:cs="Arial"/>
                <w:b/>
              </w:rPr>
            </w:pPr>
            <w:r w:rsidRPr="00EA0DC7">
              <w:rPr>
                <w:rFonts w:eastAsia="Times New Roman" w:cs="Arial"/>
                <w:b/>
              </w:rPr>
              <w:t>Cites empirical evidence</w:t>
            </w:r>
          </w:p>
        </w:tc>
        <w:tc>
          <w:tcPr>
            <w:tcW w:w="2126" w:type="dxa"/>
            <w:tcBorders>
              <w:top w:val="single" w:sz="4" w:space="0" w:color="auto"/>
              <w:bottom w:val="single" w:sz="4" w:space="0" w:color="auto"/>
            </w:tcBorders>
          </w:tcPr>
          <w:p w14:paraId="4DEE0137" w14:textId="77777777" w:rsidR="003F0CDB" w:rsidRPr="00EA0DC7" w:rsidRDefault="003F0CDB" w:rsidP="00004733">
            <w:pPr>
              <w:spacing w:before="240" w:after="200" w:line="240" w:lineRule="auto"/>
              <w:jc w:val="center"/>
              <w:rPr>
                <w:rFonts w:eastAsia="Times New Roman" w:cs="Arial"/>
                <w:b/>
              </w:rPr>
            </w:pPr>
            <w:r w:rsidRPr="00EA0DC7">
              <w:rPr>
                <w:rFonts w:eastAsia="Times New Roman" w:cs="Arial"/>
                <w:b/>
              </w:rPr>
              <w:t>Based on empirical evidence</w:t>
            </w:r>
          </w:p>
        </w:tc>
      </w:tr>
      <w:tr w:rsidR="003F0CDB" w:rsidRPr="00EA0DC7" w14:paraId="6F28E954" w14:textId="77777777" w:rsidTr="00004733">
        <w:trPr>
          <w:trHeight w:val="565"/>
        </w:trPr>
        <w:tc>
          <w:tcPr>
            <w:tcW w:w="3969" w:type="dxa"/>
            <w:tcBorders>
              <w:top w:val="single" w:sz="4" w:space="0" w:color="auto"/>
              <w:bottom w:val="single" w:sz="4" w:space="0" w:color="auto"/>
              <w:tl2br w:val="single" w:sz="4" w:space="0" w:color="auto"/>
            </w:tcBorders>
          </w:tcPr>
          <w:p w14:paraId="3C4546A5" w14:textId="77777777" w:rsidR="003F0CDB" w:rsidRPr="00EA0DC7" w:rsidRDefault="003F0CDB" w:rsidP="00004733">
            <w:pPr>
              <w:spacing w:before="240" w:line="240" w:lineRule="auto"/>
              <w:jc w:val="right"/>
              <w:rPr>
                <w:rFonts w:eastAsia="Times New Roman" w:cs="Arial"/>
                <w:b/>
                <w:bCs/>
              </w:rPr>
            </w:pPr>
            <w:r w:rsidRPr="00EA0DC7">
              <w:rPr>
                <w:rFonts w:eastAsia="Times New Roman" w:cs="Arial"/>
                <w:b/>
                <w:bCs/>
              </w:rPr>
              <w:t>No. of models</w:t>
            </w:r>
          </w:p>
          <w:p w14:paraId="48B40E85" w14:textId="77777777" w:rsidR="003F0CDB" w:rsidRPr="00EA0DC7" w:rsidRDefault="003F0CDB" w:rsidP="00957911">
            <w:pPr>
              <w:spacing w:after="200" w:line="240" w:lineRule="auto"/>
              <w:jc w:val="right"/>
              <w:rPr>
                <w:rFonts w:eastAsia="Times New Roman" w:cs="Arial"/>
                <w:b/>
                <w:bCs/>
              </w:rPr>
            </w:pPr>
            <w:r w:rsidRPr="00EA0DC7">
              <w:rPr>
                <w:rFonts w:eastAsia="Times New Roman" w:cs="Arial"/>
                <w:b/>
                <w:bCs/>
              </w:rPr>
              <w:t>with element</w:t>
            </w:r>
          </w:p>
          <w:p w14:paraId="3E9DD158" w14:textId="77777777" w:rsidR="003F0CDB" w:rsidRPr="00EA0DC7" w:rsidRDefault="003F0CDB" w:rsidP="00957911">
            <w:pPr>
              <w:spacing w:after="200" w:line="240" w:lineRule="auto"/>
              <w:rPr>
                <w:rFonts w:eastAsia="Times New Roman" w:cs="Arial"/>
              </w:rPr>
            </w:pPr>
            <w:r w:rsidRPr="00EA0DC7">
              <w:rPr>
                <w:rFonts w:eastAsia="Times New Roman" w:cs="Arial"/>
                <w:b/>
                <w:bCs/>
              </w:rPr>
              <w:t>Model/ approach</w:t>
            </w:r>
          </w:p>
        </w:tc>
        <w:tc>
          <w:tcPr>
            <w:tcW w:w="1560" w:type="dxa"/>
            <w:tcBorders>
              <w:top w:val="single" w:sz="4" w:space="0" w:color="auto"/>
              <w:bottom w:val="single" w:sz="4" w:space="0" w:color="auto"/>
            </w:tcBorders>
            <w:vAlign w:val="center"/>
          </w:tcPr>
          <w:p w14:paraId="4774EC5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t>46</w:t>
            </w:r>
          </w:p>
          <w:p w14:paraId="6B9AC6F9"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t>(88.46%)</w:t>
            </w:r>
          </w:p>
        </w:tc>
        <w:tc>
          <w:tcPr>
            <w:tcW w:w="2126" w:type="dxa"/>
            <w:tcBorders>
              <w:top w:val="single" w:sz="4" w:space="0" w:color="auto"/>
              <w:bottom w:val="single" w:sz="4" w:space="0" w:color="auto"/>
            </w:tcBorders>
            <w:vAlign w:val="center"/>
          </w:tcPr>
          <w:p w14:paraId="2BD03FB6"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t>0</w:t>
            </w:r>
          </w:p>
        </w:tc>
      </w:tr>
      <w:tr w:rsidR="003F0CDB" w:rsidRPr="00EA0DC7" w14:paraId="57409385" w14:textId="77777777" w:rsidTr="00004733">
        <w:tc>
          <w:tcPr>
            <w:tcW w:w="3969" w:type="dxa"/>
            <w:tcBorders>
              <w:top w:val="single" w:sz="4" w:space="0" w:color="auto"/>
            </w:tcBorders>
            <w:vAlign w:val="bottom"/>
          </w:tcPr>
          <w:p w14:paraId="0F8C2EE9" w14:textId="77777777" w:rsidR="003F0CDB" w:rsidRPr="00EA0DC7" w:rsidRDefault="003F0CDB" w:rsidP="00004733">
            <w:pPr>
              <w:spacing w:before="240" w:after="200" w:line="240" w:lineRule="auto"/>
              <w:rPr>
                <w:rFonts w:eastAsia="Times New Roman" w:cs="Arial"/>
              </w:rPr>
            </w:pPr>
            <w:r w:rsidRPr="00EA0DC7">
              <w:rPr>
                <w:rFonts w:eastAsia="Times New Roman" w:cs="Arial"/>
              </w:rPr>
              <w:t>Hogan (1964)</w:t>
            </w:r>
          </w:p>
        </w:tc>
        <w:tc>
          <w:tcPr>
            <w:tcW w:w="1560" w:type="dxa"/>
            <w:tcBorders>
              <w:top w:val="single" w:sz="4" w:space="0" w:color="auto"/>
            </w:tcBorders>
            <w:vAlign w:val="center"/>
          </w:tcPr>
          <w:p w14:paraId="0FF049A2" w14:textId="77777777" w:rsidR="003F0CDB" w:rsidRPr="00EA0DC7" w:rsidRDefault="003F0CDB" w:rsidP="00004733">
            <w:pPr>
              <w:spacing w:before="240" w:after="200" w:line="240" w:lineRule="auto"/>
              <w:jc w:val="center"/>
              <w:rPr>
                <w:rFonts w:eastAsia="Times New Roman" w:cs="Arial"/>
              </w:rPr>
            </w:pPr>
          </w:p>
        </w:tc>
        <w:tc>
          <w:tcPr>
            <w:tcW w:w="2126" w:type="dxa"/>
            <w:tcBorders>
              <w:top w:val="single" w:sz="4" w:space="0" w:color="auto"/>
            </w:tcBorders>
            <w:vAlign w:val="center"/>
          </w:tcPr>
          <w:p w14:paraId="10458D0B" w14:textId="77777777" w:rsidR="003F0CDB" w:rsidRPr="00EA0DC7" w:rsidRDefault="003F0CDB" w:rsidP="00004733">
            <w:pPr>
              <w:spacing w:before="240" w:after="200" w:line="240" w:lineRule="auto"/>
              <w:jc w:val="center"/>
              <w:rPr>
                <w:rFonts w:eastAsia="Times New Roman" w:cs="Arial"/>
              </w:rPr>
            </w:pPr>
          </w:p>
        </w:tc>
      </w:tr>
      <w:tr w:rsidR="003F0CDB" w:rsidRPr="00EA0DC7" w14:paraId="176659A7" w14:textId="77777777" w:rsidTr="00004733">
        <w:tc>
          <w:tcPr>
            <w:tcW w:w="3969" w:type="dxa"/>
            <w:vAlign w:val="bottom"/>
          </w:tcPr>
          <w:p w14:paraId="63683BD1" w14:textId="77777777" w:rsidR="003F0CDB" w:rsidRPr="00EA0DC7" w:rsidRDefault="003F0CDB" w:rsidP="00957911">
            <w:pPr>
              <w:spacing w:after="200" w:line="240" w:lineRule="auto"/>
              <w:rPr>
                <w:rFonts w:eastAsia="Times New Roman" w:cs="Arial"/>
              </w:rPr>
            </w:pPr>
            <w:r w:rsidRPr="00EA0DC7">
              <w:rPr>
                <w:rFonts w:eastAsia="Times New Roman" w:cs="Arial"/>
              </w:rPr>
              <w:t>Ekstein &amp; Wallerstein (1972)</w:t>
            </w:r>
          </w:p>
        </w:tc>
        <w:tc>
          <w:tcPr>
            <w:tcW w:w="1560" w:type="dxa"/>
            <w:vAlign w:val="center"/>
          </w:tcPr>
          <w:p w14:paraId="30CBAD59"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0C602CE" w14:textId="77777777" w:rsidR="003F0CDB" w:rsidRPr="00EA0DC7" w:rsidRDefault="003F0CDB" w:rsidP="00957911">
            <w:pPr>
              <w:spacing w:after="200" w:line="240" w:lineRule="auto"/>
              <w:jc w:val="center"/>
              <w:rPr>
                <w:rFonts w:eastAsia="Times New Roman" w:cs="Arial"/>
              </w:rPr>
            </w:pPr>
          </w:p>
        </w:tc>
      </w:tr>
      <w:tr w:rsidR="003F0CDB" w:rsidRPr="00EA0DC7" w14:paraId="31628BB1" w14:textId="77777777" w:rsidTr="00004733">
        <w:tc>
          <w:tcPr>
            <w:tcW w:w="3969" w:type="dxa"/>
            <w:vAlign w:val="bottom"/>
          </w:tcPr>
          <w:p w14:paraId="4C8A13B7" w14:textId="77777777" w:rsidR="003F0CDB" w:rsidRPr="00EA0DC7" w:rsidRDefault="003F0CDB" w:rsidP="00957911">
            <w:pPr>
              <w:spacing w:after="200" w:line="240" w:lineRule="auto"/>
              <w:rPr>
                <w:rFonts w:eastAsia="Times New Roman" w:cs="Arial"/>
              </w:rPr>
            </w:pPr>
            <w:r w:rsidRPr="00EA0DC7">
              <w:rPr>
                <w:rFonts w:eastAsia="Times New Roman" w:cs="Arial"/>
              </w:rPr>
              <w:t>Mueller &amp; Kell (1971)</w:t>
            </w:r>
          </w:p>
        </w:tc>
        <w:tc>
          <w:tcPr>
            <w:tcW w:w="1560" w:type="dxa"/>
            <w:vAlign w:val="center"/>
          </w:tcPr>
          <w:p w14:paraId="68232839"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27CAFD42" w14:textId="77777777" w:rsidR="003F0CDB" w:rsidRPr="00EA0DC7" w:rsidRDefault="003F0CDB" w:rsidP="00957911">
            <w:pPr>
              <w:spacing w:after="200" w:line="240" w:lineRule="auto"/>
              <w:jc w:val="center"/>
              <w:rPr>
                <w:rFonts w:eastAsia="Times New Roman" w:cs="Arial"/>
              </w:rPr>
            </w:pPr>
          </w:p>
        </w:tc>
      </w:tr>
      <w:tr w:rsidR="003F0CDB" w:rsidRPr="00EA0DC7" w14:paraId="1E2C0AC1" w14:textId="77777777" w:rsidTr="00004733">
        <w:tc>
          <w:tcPr>
            <w:tcW w:w="3969" w:type="dxa"/>
            <w:vAlign w:val="bottom"/>
          </w:tcPr>
          <w:p w14:paraId="2C95E06A" w14:textId="77777777" w:rsidR="003F0CDB" w:rsidRPr="00EA0DC7" w:rsidRDefault="003F0CDB" w:rsidP="00957911">
            <w:pPr>
              <w:spacing w:after="200" w:line="240" w:lineRule="auto"/>
              <w:rPr>
                <w:rFonts w:eastAsia="Times New Roman" w:cs="Arial"/>
              </w:rPr>
            </w:pPr>
            <w:r w:rsidRPr="00EA0DC7">
              <w:rPr>
                <w:rFonts w:eastAsia="Times New Roman" w:cs="Arial"/>
              </w:rPr>
              <w:t>Delaney (1972)</w:t>
            </w:r>
          </w:p>
        </w:tc>
        <w:tc>
          <w:tcPr>
            <w:tcW w:w="1560" w:type="dxa"/>
            <w:vAlign w:val="center"/>
          </w:tcPr>
          <w:p w14:paraId="0CCF178E"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7FC75C47" w14:textId="77777777" w:rsidR="003F0CDB" w:rsidRPr="00EA0DC7" w:rsidRDefault="003F0CDB" w:rsidP="00957911">
            <w:pPr>
              <w:spacing w:after="200" w:line="240" w:lineRule="auto"/>
              <w:jc w:val="center"/>
              <w:rPr>
                <w:rFonts w:eastAsia="Times New Roman" w:cs="Arial"/>
              </w:rPr>
            </w:pPr>
          </w:p>
        </w:tc>
      </w:tr>
      <w:tr w:rsidR="003F0CDB" w:rsidRPr="00EA0DC7" w14:paraId="176E6342" w14:textId="77777777" w:rsidTr="00004733">
        <w:tc>
          <w:tcPr>
            <w:tcW w:w="3969" w:type="dxa"/>
            <w:vAlign w:val="bottom"/>
          </w:tcPr>
          <w:p w14:paraId="1AA54470" w14:textId="77777777" w:rsidR="003F0CDB" w:rsidRPr="00EA0DC7" w:rsidRDefault="003F0CDB" w:rsidP="00957911">
            <w:pPr>
              <w:spacing w:after="200" w:line="240" w:lineRule="auto"/>
              <w:rPr>
                <w:rFonts w:eastAsia="Times New Roman" w:cs="Arial"/>
              </w:rPr>
            </w:pPr>
            <w:r w:rsidRPr="00EA0DC7">
              <w:rPr>
                <w:rFonts w:eastAsia="Times New Roman" w:cs="Arial"/>
              </w:rPr>
              <w:t>Ard (1973)</w:t>
            </w:r>
          </w:p>
        </w:tc>
        <w:tc>
          <w:tcPr>
            <w:tcW w:w="1560" w:type="dxa"/>
            <w:vAlign w:val="center"/>
          </w:tcPr>
          <w:p w14:paraId="513F4A9D"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041E3F48" w14:textId="77777777" w:rsidR="003F0CDB" w:rsidRPr="00EA0DC7" w:rsidRDefault="003F0CDB" w:rsidP="00957911">
            <w:pPr>
              <w:spacing w:after="200" w:line="240" w:lineRule="auto"/>
              <w:jc w:val="center"/>
              <w:rPr>
                <w:rFonts w:eastAsia="Times New Roman" w:cs="Arial"/>
              </w:rPr>
            </w:pPr>
          </w:p>
        </w:tc>
      </w:tr>
      <w:tr w:rsidR="003F0CDB" w:rsidRPr="00EA0DC7" w14:paraId="278FDE60" w14:textId="77777777" w:rsidTr="00004733">
        <w:tc>
          <w:tcPr>
            <w:tcW w:w="3969" w:type="dxa"/>
            <w:vAlign w:val="bottom"/>
          </w:tcPr>
          <w:p w14:paraId="00E29400" w14:textId="77777777" w:rsidR="003F0CDB" w:rsidRPr="00EA0DC7" w:rsidRDefault="003F0CDB" w:rsidP="00957911">
            <w:pPr>
              <w:spacing w:after="200" w:line="240" w:lineRule="auto"/>
              <w:rPr>
                <w:rFonts w:eastAsia="Times New Roman" w:cs="Arial"/>
              </w:rPr>
            </w:pPr>
            <w:r w:rsidRPr="00EA0DC7">
              <w:rPr>
                <w:rFonts w:eastAsia="Times New Roman" w:cs="Arial"/>
              </w:rPr>
              <w:t>Bernard (1979)</w:t>
            </w:r>
          </w:p>
        </w:tc>
        <w:tc>
          <w:tcPr>
            <w:tcW w:w="1560" w:type="dxa"/>
            <w:vAlign w:val="center"/>
          </w:tcPr>
          <w:p w14:paraId="0F54803F"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37C8A5DD" w14:textId="77777777" w:rsidR="003F0CDB" w:rsidRPr="00EA0DC7" w:rsidRDefault="003F0CDB" w:rsidP="00957911">
            <w:pPr>
              <w:spacing w:after="200" w:line="240" w:lineRule="auto"/>
              <w:jc w:val="center"/>
              <w:rPr>
                <w:rFonts w:eastAsia="Times New Roman" w:cs="Arial"/>
              </w:rPr>
            </w:pPr>
          </w:p>
        </w:tc>
      </w:tr>
      <w:tr w:rsidR="003F0CDB" w:rsidRPr="00EA0DC7" w14:paraId="0ECEA046" w14:textId="77777777" w:rsidTr="00004733">
        <w:tc>
          <w:tcPr>
            <w:tcW w:w="3969" w:type="dxa"/>
            <w:vAlign w:val="bottom"/>
          </w:tcPr>
          <w:p w14:paraId="5552C4D1" w14:textId="77777777" w:rsidR="003F0CDB" w:rsidRPr="00EA0DC7" w:rsidRDefault="003F0CDB" w:rsidP="00957911">
            <w:pPr>
              <w:spacing w:after="200" w:line="240" w:lineRule="auto"/>
              <w:rPr>
                <w:rFonts w:eastAsia="Times New Roman" w:cs="Arial"/>
              </w:rPr>
            </w:pPr>
            <w:r w:rsidRPr="00EA0DC7">
              <w:rPr>
                <w:rFonts w:eastAsia="Times New Roman" w:cs="Arial"/>
              </w:rPr>
              <w:t>Littrell et al. (1979)</w:t>
            </w:r>
          </w:p>
        </w:tc>
        <w:tc>
          <w:tcPr>
            <w:tcW w:w="1560" w:type="dxa"/>
            <w:vAlign w:val="center"/>
          </w:tcPr>
          <w:p w14:paraId="63556BC0"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5F139F2E" w14:textId="77777777" w:rsidR="003F0CDB" w:rsidRPr="00EA0DC7" w:rsidRDefault="003F0CDB" w:rsidP="00957911">
            <w:pPr>
              <w:spacing w:after="200" w:line="240" w:lineRule="auto"/>
              <w:jc w:val="center"/>
              <w:rPr>
                <w:rFonts w:eastAsia="Times New Roman" w:cs="Arial"/>
              </w:rPr>
            </w:pPr>
          </w:p>
        </w:tc>
      </w:tr>
      <w:tr w:rsidR="003F0CDB" w:rsidRPr="00EA0DC7" w14:paraId="1AC4BB40" w14:textId="77777777" w:rsidTr="00004733">
        <w:tc>
          <w:tcPr>
            <w:tcW w:w="3969" w:type="dxa"/>
            <w:vAlign w:val="bottom"/>
          </w:tcPr>
          <w:p w14:paraId="27E75ADF" w14:textId="77777777" w:rsidR="003F0CDB" w:rsidRPr="00EA0DC7" w:rsidRDefault="003F0CDB" w:rsidP="00957911">
            <w:pPr>
              <w:spacing w:after="200" w:line="240" w:lineRule="auto"/>
              <w:rPr>
                <w:rFonts w:eastAsia="Times New Roman" w:cs="Arial"/>
              </w:rPr>
            </w:pPr>
            <w:r w:rsidRPr="00EA0DC7">
              <w:rPr>
                <w:rFonts w:eastAsia="Times New Roman" w:cs="Arial"/>
              </w:rPr>
              <w:t>Langs (1980)</w:t>
            </w:r>
          </w:p>
        </w:tc>
        <w:tc>
          <w:tcPr>
            <w:tcW w:w="1560" w:type="dxa"/>
            <w:vAlign w:val="center"/>
          </w:tcPr>
          <w:p w14:paraId="7195F4C0"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0DB5E7E" w14:textId="77777777" w:rsidR="003F0CDB" w:rsidRPr="00EA0DC7" w:rsidRDefault="003F0CDB" w:rsidP="00957911">
            <w:pPr>
              <w:spacing w:after="200" w:line="240" w:lineRule="auto"/>
              <w:jc w:val="center"/>
              <w:rPr>
                <w:rFonts w:eastAsia="Times New Roman" w:cs="Arial"/>
              </w:rPr>
            </w:pPr>
          </w:p>
        </w:tc>
      </w:tr>
      <w:tr w:rsidR="003F0CDB" w:rsidRPr="00EA0DC7" w14:paraId="2A47EDF3" w14:textId="77777777" w:rsidTr="00004733">
        <w:tc>
          <w:tcPr>
            <w:tcW w:w="3969" w:type="dxa"/>
          </w:tcPr>
          <w:p w14:paraId="085057ED" w14:textId="77777777" w:rsidR="003F0CDB" w:rsidRPr="00EA0DC7" w:rsidRDefault="003F0CDB" w:rsidP="00957911">
            <w:pPr>
              <w:spacing w:after="200" w:line="240" w:lineRule="auto"/>
              <w:rPr>
                <w:rFonts w:eastAsia="Times New Roman" w:cs="Arial"/>
              </w:rPr>
            </w:pPr>
            <w:r w:rsidRPr="00EA0DC7">
              <w:rPr>
                <w:rFonts w:eastAsia="Times New Roman" w:cs="Arial"/>
              </w:rPr>
              <w:t>Rice (1980)</w:t>
            </w:r>
          </w:p>
        </w:tc>
        <w:tc>
          <w:tcPr>
            <w:tcW w:w="1560" w:type="dxa"/>
            <w:vAlign w:val="center"/>
          </w:tcPr>
          <w:p w14:paraId="0D49D22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640EE3D9" w14:textId="77777777" w:rsidR="003F0CDB" w:rsidRPr="00EA0DC7" w:rsidRDefault="003F0CDB" w:rsidP="00957911">
            <w:pPr>
              <w:spacing w:after="200" w:line="240" w:lineRule="auto"/>
              <w:jc w:val="center"/>
              <w:rPr>
                <w:rFonts w:eastAsia="Times New Roman" w:cs="Arial"/>
              </w:rPr>
            </w:pPr>
          </w:p>
        </w:tc>
      </w:tr>
      <w:tr w:rsidR="003F0CDB" w:rsidRPr="00EA0DC7" w14:paraId="1B0287AD" w14:textId="77777777" w:rsidTr="00004733">
        <w:tc>
          <w:tcPr>
            <w:tcW w:w="3969" w:type="dxa"/>
            <w:vAlign w:val="bottom"/>
          </w:tcPr>
          <w:p w14:paraId="24804F42" w14:textId="77777777" w:rsidR="003F0CDB" w:rsidRPr="00EA0DC7" w:rsidRDefault="003F0CDB" w:rsidP="00957911">
            <w:pPr>
              <w:spacing w:after="200" w:line="240" w:lineRule="auto"/>
              <w:rPr>
                <w:rFonts w:eastAsia="Times New Roman" w:cs="Arial"/>
              </w:rPr>
            </w:pPr>
            <w:r w:rsidRPr="00EA0DC7">
              <w:rPr>
                <w:rFonts w:eastAsia="Times New Roman" w:cs="Arial"/>
              </w:rPr>
              <w:t>Linehan (1980)</w:t>
            </w:r>
          </w:p>
        </w:tc>
        <w:tc>
          <w:tcPr>
            <w:tcW w:w="1560" w:type="dxa"/>
            <w:vAlign w:val="center"/>
          </w:tcPr>
          <w:p w14:paraId="696D517E"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1DC49A8" w14:textId="77777777" w:rsidR="003F0CDB" w:rsidRPr="00EA0DC7" w:rsidRDefault="003F0CDB" w:rsidP="00957911">
            <w:pPr>
              <w:spacing w:after="200" w:line="240" w:lineRule="auto"/>
              <w:jc w:val="center"/>
              <w:rPr>
                <w:rFonts w:eastAsia="Times New Roman" w:cs="Arial"/>
              </w:rPr>
            </w:pPr>
          </w:p>
        </w:tc>
      </w:tr>
      <w:tr w:rsidR="003F0CDB" w:rsidRPr="00EA0DC7" w14:paraId="13E01C19" w14:textId="77777777" w:rsidTr="00004733">
        <w:tc>
          <w:tcPr>
            <w:tcW w:w="3969" w:type="dxa"/>
          </w:tcPr>
          <w:p w14:paraId="4B1BC2ED" w14:textId="77777777" w:rsidR="003F0CDB" w:rsidRPr="00EA0DC7" w:rsidRDefault="003F0CDB" w:rsidP="00957911">
            <w:pPr>
              <w:spacing w:after="200" w:line="240" w:lineRule="auto"/>
              <w:rPr>
                <w:rFonts w:eastAsia="Times New Roman" w:cs="Arial"/>
              </w:rPr>
            </w:pPr>
            <w:r w:rsidRPr="00EA0DC7">
              <w:rPr>
                <w:rFonts w:eastAsia="Times New Roman" w:cs="Arial"/>
              </w:rPr>
              <w:t>Beier &amp; Young (1980)</w:t>
            </w:r>
          </w:p>
        </w:tc>
        <w:tc>
          <w:tcPr>
            <w:tcW w:w="1560" w:type="dxa"/>
            <w:vAlign w:val="center"/>
          </w:tcPr>
          <w:p w14:paraId="0311D817"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5E9BA399" w14:textId="77777777" w:rsidR="003F0CDB" w:rsidRPr="00EA0DC7" w:rsidRDefault="003F0CDB" w:rsidP="00957911">
            <w:pPr>
              <w:spacing w:after="200" w:line="240" w:lineRule="auto"/>
              <w:jc w:val="center"/>
              <w:rPr>
                <w:rFonts w:eastAsia="Times New Roman" w:cs="Arial"/>
              </w:rPr>
            </w:pPr>
          </w:p>
        </w:tc>
      </w:tr>
      <w:tr w:rsidR="003F0CDB" w:rsidRPr="00EA0DC7" w14:paraId="5261CD3E" w14:textId="77777777" w:rsidTr="00004733">
        <w:tc>
          <w:tcPr>
            <w:tcW w:w="3969" w:type="dxa"/>
            <w:vAlign w:val="bottom"/>
          </w:tcPr>
          <w:p w14:paraId="17A2AAB3" w14:textId="77777777" w:rsidR="003F0CDB" w:rsidRPr="00EA0DC7" w:rsidRDefault="003F0CDB" w:rsidP="00957911">
            <w:pPr>
              <w:spacing w:after="200" w:line="240" w:lineRule="auto"/>
              <w:rPr>
                <w:rFonts w:eastAsia="Times New Roman" w:cs="Arial"/>
              </w:rPr>
            </w:pPr>
            <w:r w:rsidRPr="00EA0DC7">
              <w:rPr>
                <w:rFonts w:eastAsia="Times New Roman" w:cs="Arial"/>
              </w:rPr>
              <w:t>Stoltenberg (1981)</w:t>
            </w:r>
          </w:p>
        </w:tc>
        <w:tc>
          <w:tcPr>
            <w:tcW w:w="1560" w:type="dxa"/>
            <w:vAlign w:val="center"/>
          </w:tcPr>
          <w:p w14:paraId="567B50AB"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53D2A070" w14:textId="77777777" w:rsidR="003F0CDB" w:rsidRPr="00EA0DC7" w:rsidRDefault="003F0CDB" w:rsidP="00957911">
            <w:pPr>
              <w:spacing w:after="200" w:line="240" w:lineRule="auto"/>
              <w:jc w:val="center"/>
              <w:rPr>
                <w:rFonts w:eastAsia="Times New Roman" w:cs="Arial"/>
              </w:rPr>
            </w:pPr>
          </w:p>
        </w:tc>
      </w:tr>
      <w:tr w:rsidR="003F0CDB" w:rsidRPr="00EA0DC7" w14:paraId="27A0BDAE" w14:textId="77777777" w:rsidTr="00004733">
        <w:tc>
          <w:tcPr>
            <w:tcW w:w="3969" w:type="dxa"/>
            <w:vAlign w:val="bottom"/>
          </w:tcPr>
          <w:p w14:paraId="0D0B943A" w14:textId="77777777" w:rsidR="003F0CDB" w:rsidRPr="00EA0DC7" w:rsidRDefault="003F0CDB" w:rsidP="00957911">
            <w:pPr>
              <w:spacing w:after="200" w:line="240" w:lineRule="auto"/>
              <w:rPr>
                <w:rFonts w:eastAsia="Times New Roman" w:cs="Arial"/>
              </w:rPr>
            </w:pPr>
            <w:r w:rsidRPr="00EA0DC7">
              <w:rPr>
                <w:rFonts w:eastAsia="Times New Roman" w:cs="Arial"/>
              </w:rPr>
              <w:t>Loganbill et al. (1982)</w:t>
            </w:r>
          </w:p>
        </w:tc>
        <w:tc>
          <w:tcPr>
            <w:tcW w:w="1560" w:type="dxa"/>
            <w:vAlign w:val="center"/>
          </w:tcPr>
          <w:p w14:paraId="10421A3D"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52F54D3B" w14:textId="77777777" w:rsidR="003F0CDB" w:rsidRPr="00EA0DC7" w:rsidRDefault="003F0CDB" w:rsidP="00957911">
            <w:pPr>
              <w:spacing w:after="200" w:line="240" w:lineRule="auto"/>
              <w:jc w:val="center"/>
              <w:rPr>
                <w:rFonts w:eastAsia="Times New Roman" w:cs="Arial"/>
              </w:rPr>
            </w:pPr>
          </w:p>
        </w:tc>
      </w:tr>
      <w:tr w:rsidR="003F0CDB" w:rsidRPr="00EA0DC7" w14:paraId="4F7B606A" w14:textId="77777777" w:rsidTr="00004733">
        <w:tc>
          <w:tcPr>
            <w:tcW w:w="3969" w:type="dxa"/>
            <w:vAlign w:val="bottom"/>
          </w:tcPr>
          <w:p w14:paraId="5C998F9B" w14:textId="77777777" w:rsidR="003F0CDB" w:rsidRPr="00EA0DC7" w:rsidRDefault="003F0CDB" w:rsidP="00957911">
            <w:pPr>
              <w:spacing w:after="200" w:line="240" w:lineRule="auto"/>
              <w:rPr>
                <w:rFonts w:eastAsia="Times New Roman" w:cs="Arial"/>
              </w:rPr>
            </w:pPr>
            <w:r w:rsidRPr="00EA0DC7">
              <w:rPr>
                <w:rFonts w:eastAsia="Times New Roman" w:cs="Arial"/>
              </w:rPr>
              <w:t>Yogev (1982)</w:t>
            </w:r>
          </w:p>
        </w:tc>
        <w:tc>
          <w:tcPr>
            <w:tcW w:w="1560" w:type="dxa"/>
            <w:vAlign w:val="center"/>
          </w:tcPr>
          <w:p w14:paraId="0A270D85"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73E637D" w14:textId="77777777" w:rsidR="003F0CDB" w:rsidRPr="00EA0DC7" w:rsidRDefault="003F0CDB" w:rsidP="00957911">
            <w:pPr>
              <w:spacing w:after="200" w:line="240" w:lineRule="auto"/>
              <w:jc w:val="center"/>
              <w:rPr>
                <w:rFonts w:eastAsia="Times New Roman" w:cs="Arial"/>
              </w:rPr>
            </w:pPr>
          </w:p>
        </w:tc>
      </w:tr>
      <w:tr w:rsidR="003F0CDB" w:rsidRPr="00EA0DC7" w14:paraId="3C136816" w14:textId="77777777" w:rsidTr="00004733">
        <w:tc>
          <w:tcPr>
            <w:tcW w:w="3969" w:type="dxa"/>
            <w:vAlign w:val="bottom"/>
          </w:tcPr>
          <w:p w14:paraId="4B2EB094" w14:textId="77777777" w:rsidR="003F0CDB" w:rsidRPr="00EA0DC7" w:rsidRDefault="003F0CDB" w:rsidP="00957911">
            <w:pPr>
              <w:spacing w:after="200" w:line="240" w:lineRule="auto"/>
              <w:rPr>
                <w:rFonts w:eastAsia="Times New Roman" w:cs="Arial"/>
              </w:rPr>
            </w:pPr>
            <w:r w:rsidRPr="00EA0DC7">
              <w:rPr>
                <w:rFonts w:eastAsia="Times New Roman" w:cs="Arial"/>
              </w:rPr>
              <w:t>Blocher (1983)</w:t>
            </w:r>
          </w:p>
        </w:tc>
        <w:tc>
          <w:tcPr>
            <w:tcW w:w="1560" w:type="dxa"/>
            <w:vAlign w:val="center"/>
          </w:tcPr>
          <w:p w14:paraId="5938F116"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7885B23B" w14:textId="77777777" w:rsidR="003F0CDB" w:rsidRPr="00EA0DC7" w:rsidRDefault="003F0CDB" w:rsidP="00957911">
            <w:pPr>
              <w:spacing w:after="200" w:line="240" w:lineRule="auto"/>
              <w:jc w:val="center"/>
              <w:rPr>
                <w:rFonts w:eastAsia="Times New Roman" w:cs="Arial"/>
              </w:rPr>
            </w:pPr>
          </w:p>
        </w:tc>
      </w:tr>
      <w:tr w:rsidR="003F0CDB" w:rsidRPr="00EA0DC7" w14:paraId="05A3796E" w14:textId="77777777" w:rsidTr="00004733">
        <w:tc>
          <w:tcPr>
            <w:tcW w:w="3969" w:type="dxa"/>
          </w:tcPr>
          <w:p w14:paraId="4F8CE823" w14:textId="77777777" w:rsidR="003F0CDB" w:rsidRPr="00EA0DC7" w:rsidRDefault="003F0CDB" w:rsidP="00957911">
            <w:pPr>
              <w:spacing w:after="200" w:line="240" w:lineRule="auto"/>
              <w:rPr>
                <w:rFonts w:eastAsia="Times New Roman" w:cs="Arial"/>
              </w:rPr>
            </w:pPr>
            <w:r w:rsidRPr="00EA0DC7">
              <w:rPr>
                <w:rFonts w:eastAsia="Times New Roman" w:cs="Arial"/>
              </w:rPr>
              <w:t>Bordin (1983)</w:t>
            </w:r>
          </w:p>
        </w:tc>
        <w:tc>
          <w:tcPr>
            <w:tcW w:w="1560" w:type="dxa"/>
            <w:vAlign w:val="center"/>
          </w:tcPr>
          <w:p w14:paraId="6BB25FE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35151A6C" w14:textId="77777777" w:rsidR="003F0CDB" w:rsidRPr="00EA0DC7" w:rsidRDefault="003F0CDB" w:rsidP="00957911">
            <w:pPr>
              <w:spacing w:after="200" w:line="240" w:lineRule="auto"/>
              <w:jc w:val="center"/>
              <w:rPr>
                <w:rFonts w:eastAsia="Times New Roman" w:cs="Arial"/>
              </w:rPr>
            </w:pPr>
          </w:p>
        </w:tc>
      </w:tr>
      <w:tr w:rsidR="003F0CDB" w:rsidRPr="00EA0DC7" w14:paraId="2360CBF7" w14:textId="77777777" w:rsidTr="00004733">
        <w:tc>
          <w:tcPr>
            <w:tcW w:w="3969" w:type="dxa"/>
            <w:vAlign w:val="bottom"/>
          </w:tcPr>
          <w:p w14:paraId="6B761C6B" w14:textId="77777777" w:rsidR="003F0CDB" w:rsidRPr="00EA0DC7" w:rsidRDefault="003F0CDB" w:rsidP="00957911">
            <w:pPr>
              <w:spacing w:after="200" w:line="240" w:lineRule="auto"/>
              <w:rPr>
                <w:rFonts w:eastAsia="Times New Roman" w:cs="Arial"/>
              </w:rPr>
            </w:pPr>
            <w:r w:rsidRPr="00EA0DC7">
              <w:rPr>
                <w:rFonts w:eastAsia="Times New Roman" w:cs="Arial"/>
              </w:rPr>
              <w:t>Hosford &amp; Barmann (1983)</w:t>
            </w:r>
          </w:p>
        </w:tc>
        <w:tc>
          <w:tcPr>
            <w:tcW w:w="1560" w:type="dxa"/>
            <w:vAlign w:val="center"/>
          </w:tcPr>
          <w:p w14:paraId="2D2D1C33"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369F9696" w14:textId="77777777" w:rsidR="003F0CDB" w:rsidRPr="00EA0DC7" w:rsidRDefault="003F0CDB" w:rsidP="00957911">
            <w:pPr>
              <w:spacing w:after="200" w:line="240" w:lineRule="auto"/>
              <w:jc w:val="center"/>
              <w:rPr>
                <w:rFonts w:eastAsia="Times New Roman" w:cs="Arial"/>
              </w:rPr>
            </w:pPr>
          </w:p>
        </w:tc>
      </w:tr>
      <w:tr w:rsidR="003F0CDB" w:rsidRPr="00EA0DC7" w14:paraId="30B8B6BB" w14:textId="77777777" w:rsidTr="00004733">
        <w:tc>
          <w:tcPr>
            <w:tcW w:w="3969" w:type="dxa"/>
            <w:tcBorders>
              <w:bottom w:val="single" w:sz="4" w:space="0" w:color="auto"/>
            </w:tcBorders>
            <w:vAlign w:val="bottom"/>
          </w:tcPr>
          <w:p w14:paraId="537D838B" w14:textId="77777777" w:rsidR="003F0CDB" w:rsidRPr="00EA0DC7" w:rsidRDefault="003F0CDB" w:rsidP="00957911">
            <w:pPr>
              <w:spacing w:after="200" w:line="240" w:lineRule="auto"/>
              <w:rPr>
                <w:rFonts w:eastAsia="Times New Roman" w:cs="Arial"/>
              </w:rPr>
            </w:pPr>
            <w:r w:rsidRPr="00EA0DC7">
              <w:rPr>
                <w:rFonts w:eastAsia="Times New Roman" w:cs="Arial"/>
              </w:rPr>
              <w:t>Patterson (1983)</w:t>
            </w:r>
          </w:p>
        </w:tc>
        <w:tc>
          <w:tcPr>
            <w:tcW w:w="1560" w:type="dxa"/>
            <w:tcBorders>
              <w:bottom w:val="single" w:sz="4" w:space="0" w:color="auto"/>
            </w:tcBorders>
            <w:vAlign w:val="center"/>
          </w:tcPr>
          <w:p w14:paraId="112C49E9" w14:textId="77777777" w:rsidR="003F0CDB" w:rsidRPr="00EA0DC7" w:rsidRDefault="003F0CDB" w:rsidP="00957911">
            <w:pPr>
              <w:spacing w:after="200" w:line="240" w:lineRule="auto"/>
              <w:jc w:val="center"/>
              <w:rPr>
                <w:rFonts w:eastAsia="Times New Roman" w:cs="Arial"/>
              </w:rPr>
            </w:pPr>
          </w:p>
        </w:tc>
        <w:tc>
          <w:tcPr>
            <w:tcW w:w="2126" w:type="dxa"/>
            <w:tcBorders>
              <w:bottom w:val="single" w:sz="4" w:space="0" w:color="auto"/>
            </w:tcBorders>
            <w:vAlign w:val="center"/>
          </w:tcPr>
          <w:p w14:paraId="6B1C1E06" w14:textId="77777777" w:rsidR="003F0CDB" w:rsidRPr="00EA0DC7" w:rsidRDefault="003F0CDB" w:rsidP="00957911">
            <w:pPr>
              <w:spacing w:after="200" w:line="240" w:lineRule="auto"/>
              <w:jc w:val="center"/>
              <w:rPr>
                <w:rFonts w:eastAsia="Times New Roman" w:cs="Arial"/>
              </w:rPr>
            </w:pPr>
          </w:p>
        </w:tc>
      </w:tr>
      <w:tr w:rsidR="00004733" w:rsidRPr="00EA0DC7" w14:paraId="2AC2275A" w14:textId="77777777" w:rsidTr="00004733">
        <w:tc>
          <w:tcPr>
            <w:tcW w:w="3969" w:type="dxa"/>
            <w:tcBorders>
              <w:top w:val="single" w:sz="4" w:space="0" w:color="auto"/>
              <w:bottom w:val="single" w:sz="4" w:space="0" w:color="auto"/>
            </w:tcBorders>
            <w:vAlign w:val="center"/>
          </w:tcPr>
          <w:p w14:paraId="5F6336BD" w14:textId="0076A14C"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lastRenderedPageBreak/>
              <w:t>Model/ approach</w:t>
            </w:r>
          </w:p>
        </w:tc>
        <w:tc>
          <w:tcPr>
            <w:tcW w:w="1560" w:type="dxa"/>
            <w:tcBorders>
              <w:top w:val="single" w:sz="4" w:space="0" w:color="auto"/>
              <w:bottom w:val="single" w:sz="4" w:space="0" w:color="auto"/>
            </w:tcBorders>
            <w:vAlign w:val="center"/>
          </w:tcPr>
          <w:p w14:paraId="7C37E8C4" w14:textId="6216853F"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t>Cites empirical evidence</w:t>
            </w:r>
          </w:p>
        </w:tc>
        <w:tc>
          <w:tcPr>
            <w:tcW w:w="2126" w:type="dxa"/>
            <w:tcBorders>
              <w:top w:val="single" w:sz="4" w:space="0" w:color="auto"/>
              <w:bottom w:val="single" w:sz="4" w:space="0" w:color="auto"/>
            </w:tcBorders>
            <w:vAlign w:val="center"/>
          </w:tcPr>
          <w:p w14:paraId="07E9ADEE" w14:textId="1502BB46"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t>Based on empirical evidence</w:t>
            </w:r>
          </w:p>
        </w:tc>
      </w:tr>
      <w:tr w:rsidR="003F0CDB" w:rsidRPr="00EA0DC7" w14:paraId="39B4178C" w14:textId="77777777" w:rsidTr="00004733">
        <w:tc>
          <w:tcPr>
            <w:tcW w:w="3969" w:type="dxa"/>
            <w:tcBorders>
              <w:top w:val="single" w:sz="4" w:space="0" w:color="auto"/>
            </w:tcBorders>
            <w:vAlign w:val="bottom"/>
          </w:tcPr>
          <w:p w14:paraId="3946E2CD" w14:textId="77777777" w:rsidR="003F0CDB" w:rsidRPr="00EA0DC7" w:rsidRDefault="003F0CDB" w:rsidP="00004733">
            <w:pPr>
              <w:spacing w:before="240" w:after="200" w:line="240" w:lineRule="auto"/>
              <w:rPr>
                <w:rFonts w:eastAsia="Times New Roman" w:cs="Arial"/>
              </w:rPr>
            </w:pPr>
            <w:r w:rsidRPr="00EA0DC7">
              <w:rPr>
                <w:rFonts w:eastAsia="Times New Roman" w:cs="Arial"/>
              </w:rPr>
              <w:t>Wessler &amp; Ellis (1983)</w:t>
            </w:r>
          </w:p>
        </w:tc>
        <w:tc>
          <w:tcPr>
            <w:tcW w:w="1560" w:type="dxa"/>
            <w:tcBorders>
              <w:top w:val="single" w:sz="4" w:space="0" w:color="auto"/>
            </w:tcBorders>
            <w:vAlign w:val="center"/>
          </w:tcPr>
          <w:p w14:paraId="6F779528" w14:textId="77777777" w:rsidR="003F0CDB" w:rsidRPr="00EA0DC7" w:rsidRDefault="003F0CDB" w:rsidP="00004733">
            <w:pPr>
              <w:spacing w:before="240" w:after="200" w:line="240" w:lineRule="auto"/>
              <w:jc w:val="center"/>
              <w:rPr>
                <w:rFonts w:eastAsia="Times New Roman" w:cs="Arial"/>
              </w:rPr>
            </w:pPr>
            <w:r w:rsidRPr="00EA0DC7">
              <w:rPr>
                <w:rFonts w:eastAsia="Times New Roman" w:cs="Arial"/>
              </w:rPr>
              <w:sym w:font="Wingdings" w:char="F0FC"/>
            </w:r>
          </w:p>
        </w:tc>
        <w:tc>
          <w:tcPr>
            <w:tcW w:w="2126" w:type="dxa"/>
            <w:tcBorders>
              <w:top w:val="single" w:sz="4" w:space="0" w:color="auto"/>
            </w:tcBorders>
            <w:vAlign w:val="center"/>
          </w:tcPr>
          <w:p w14:paraId="59A212B2" w14:textId="77777777" w:rsidR="003F0CDB" w:rsidRPr="00EA0DC7" w:rsidRDefault="003F0CDB" w:rsidP="00004733">
            <w:pPr>
              <w:spacing w:before="240" w:after="200" w:line="240" w:lineRule="auto"/>
              <w:jc w:val="center"/>
              <w:rPr>
                <w:rFonts w:eastAsia="Times New Roman" w:cs="Arial"/>
              </w:rPr>
            </w:pPr>
          </w:p>
        </w:tc>
      </w:tr>
      <w:tr w:rsidR="003F0CDB" w:rsidRPr="00EA0DC7" w14:paraId="06A8C3B4" w14:textId="77777777" w:rsidTr="00004733">
        <w:tc>
          <w:tcPr>
            <w:tcW w:w="3969" w:type="dxa"/>
            <w:vAlign w:val="bottom"/>
          </w:tcPr>
          <w:p w14:paraId="4CF82A61" w14:textId="77777777" w:rsidR="003F0CDB" w:rsidRPr="00EA0DC7" w:rsidRDefault="003F0CDB" w:rsidP="00957911">
            <w:pPr>
              <w:spacing w:after="200" w:line="240" w:lineRule="auto"/>
              <w:rPr>
                <w:rFonts w:eastAsia="Times New Roman" w:cs="Arial"/>
              </w:rPr>
            </w:pPr>
            <w:r w:rsidRPr="00EA0DC7">
              <w:rPr>
                <w:rFonts w:eastAsia="Times New Roman" w:cs="Arial"/>
              </w:rPr>
              <w:t>Connell (1984)</w:t>
            </w:r>
          </w:p>
        </w:tc>
        <w:tc>
          <w:tcPr>
            <w:tcW w:w="1560" w:type="dxa"/>
            <w:vAlign w:val="center"/>
          </w:tcPr>
          <w:p w14:paraId="677EA0E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7FEEC92D" w14:textId="77777777" w:rsidR="003F0CDB" w:rsidRPr="00EA0DC7" w:rsidRDefault="003F0CDB" w:rsidP="00957911">
            <w:pPr>
              <w:spacing w:after="200" w:line="240" w:lineRule="auto"/>
              <w:jc w:val="center"/>
              <w:rPr>
                <w:rFonts w:eastAsia="Times New Roman" w:cs="Arial"/>
              </w:rPr>
            </w:pPr>
          </w:p>
        </w:tc>
      </w:tr>
      <w:tr w:rsidR="003F0CDB" w:rsidRPr="00EA0DC7" w14:paraId="7777AEC0" w14:textId="77777777" w:rsidTr="00004733">
        <w:tc>
          <w:tcPr>
            <w:tcW w:w="3969" w:type="dxa"/>
            <w:vAlign w:val="bottom"/>
          </w:tcPr>
          <w:p w14:paraId="136889B7" w14:textId="77777777" w:rsidR="003F0CDB" w:rsidRPr="00EA0DC7" w:rsidRDefault="003F0CDB" w:rsidP="00957911">
            <w:pPr>
              <w:spacing w:after="200" w:line="240" w:lineRule="auto"/>
              <w:rPr>
                <w:rFonts w:eastAsia="Times New Roman" w:cs="Arial"/>
              </w:rPr>
            </w:pPr>
            <w:r w:rsidRPr="00EA0DC7">
              <w:rPr>
                <w:rFonts w:eastAsia="Times New Roman" w:cs="Arial"/>
              </w:rPr>
              <w:t>Grater (1985)</w:t>
            </w:r>
          </w:p>
        </w:tc>
        <w:tc>
          <w:tcPr>
            <w:tcW w:w="1560" w:type="dxa"/>
            <w:vAlign w:val="center"/>
          </w:tcPr>
          <w:p w14:paraId="2C77E33C"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E553FA7" w14:textId="77777777" w:rsidR="003F0CDB" w:rsidRPr="00EA0DC7" w:rsidRDefault="003F0CDB" w:rsidP="00957911">
            <w:pPr>
              <w:spacing w:after="200" w:line="240" w:lineRule="auto"/>
              <w:jc w:val="center"/>
              <w:rPr>
                <w:rFonts w:eastAsia="Times New Roman" w:cs="Arial"/>
              </w:rPr>
            </w:pPr>
          </w:p>
        </w:tc>
      </w:tr>
      <w:tr w:rsidR="003F0CDB" w:rsidRPr="00EA0DC7" w14:paraId="4EA436FD" w14:textId="77777777" w:rsidTr="00004733">
        <w:tc>
          <w:tcPr>
            <w:tcW w:w="3969" w:type="dxa"/>
            <w:vAlign w:val="bottom"/>
          </w:tcPr>
          <w:p w14:paraId="7BD15779" w14:textId="77777777" w:rsidR="003F0CDB" w:rsidRPr="00EA0DC7" w:rsidRDefault="003F0CDB" w:rsidP="00957911">
            <w:pPr>
              <w:spacing w:after="200" w:line="240" w:lineRule="auto"/>
              <w:rPr>
                <w:rFonts w:eastAsia="Times New Roman" w:cs="Arial"/>
              </w:rPr>
            </w:pPr>
            <w:r w:rsidRPr="00EA0DC7">
              <w:rPr>
                <w:rFonts w:eastAsia="Times New Roman" w:cs="Arial"/>
              </w:rPr>
              <w:t>Friedmand &amp; Kaslow (1986)</w:t>
            </w:r>
          </w:p>
        </w:tc>
        <w:tc>
          <w:tcPr>
            <w:tcW w:w="1560" w:type="dxa"/>
            <w:vAlign w:val="center"/>
          </w:tcPr>
          <w:p w14:paraId="2915ACAD"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3F8E3C18" w14:textId="77777777" w:rsidR="003F0CDB" w:rsidRPr="00EA0DC7" w:rsidRDefault="003F0CDB" w:rsidP="00957911">
            <w:pPr>
              <w:spacing w:after="200" w:line="240" w:lineRule="auto"/>
              <w:jc w:val="center"/>
              <w:rPr>
                <w:rFonts w:eastAsia="Times New Roman" w:cs="Arial"/>
              </w:rPr>
            </w:pPr>
          </w:p>
        </w:tc>
      </w:tr>
      <w:tr w:rsidR="003F0CDB" w:rsidRPr="00EA0DC7" w14:paraId="4D81F22D" w14:textId="77777777" w:rsidTr="00004733">
        <w:tc>
          <w:tcPr>
            <w:tcW w:w="3969" w:type="dxa"/>
            <w:vAlign w:val="bottom"/>
          </w:tcPr>
          <w:p w14:paraId="0CDE72B0" w14:textId="77777777" w:rsidR="003F0CDB" w:rsidRPr="00EA0DC7" w:rsidRDefault="003F0CDB" w:rsidP="00957911">
            <w:pPr>
              <w:spacing w:after="200" w:line="240" w:lineRule="auto"/>
              <w:rPr>
                <w:rFonts w:eastAsia="Times New Roman" w:cs="Arial"/>
              </w:rPr>
            </w:pPr>
            <w:r w:rsidRPr="00EA0DC7">
              <w:rPr>
                <w:rFonts w:eastAsia="Times New Roman" w:cs="Arial"/>
              </w:rPr>
              <w:t>Hess (1986)</w:t>
            </w:r>
          </w:p>
        </w:tc>
        <w:tc>
          <w:tcPr>
            <w:tcW w:w="1560" w:type="dxa"/>
            <w:vAlign w:val="center"/>
          </w:tcPr>
          <w:p w14:paraId="4CE27732"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70387EA" w14:textId="77777777" w:rsidR="003F0CDB" w:rsidRPr="00EA0DC7" w:rsidRDefault="003F0CDB" w:rsidP="00957911">
            <w:pPr>
              <w:spacing w:after="200" w:line="240" w:lineRule="auto"/>
              <w:jc w:val="center"/>
              <w:rPr>
                <w:rFonts w:eastAsia="Times New Roman" w:cs="Arial"/>
              </w:rPr>
            </w:pPr>
          </w:p>
        </w:tc>
      </w:tr>
      <w:tr w:rsidR="003F0CDB" w:rsidRPr="00EA0DC7" w14:paraId="6C2F1AC6" w14:textId="77777777" w:rsidTr="00004733">
        <w:tc>
          <w:tcPr>
            <w:tcW w:w="3969" w:type="dxa"/>
            <w:vAlign w:val="bottom"/>
          </w:tcPr>
          <w:p w14:paraId="0D347DD8" w14:textId="77777777" w:rsidR="003F0CDB" w:rsidRPr="00EA0DC7" w:rsidRDefault="003F0CDB" w:rsidP="00957911">
            <w:pPr>
              <w:spacing w:after="200" w:line="240" w:lineRule="auto"/>
              <w:rPr>
                <w:rFonts w:eastAsia="Times New Roman" w:cs="Arial"/>
              </w:rPr>
            </w:pPr>
            <w:r w:rsidRPr="00EA0DC7">
              <w:rPr>
                <w:rFonts w:eastAsia="Times New Roman" w:cs="Arial"/>
              </w:rPr>
              <w:t>Stoltenberg &amp; Delworth (1987)</w:t>
            </w:r>
          </w:p>
        </w:tc>
        <w:tc>
          <w:tcPr>
            <w:tcW w:w="1560" w:type="dxa"/>
            <w:vAlign w:val="center"/>
          </w:tcPr>
          <w:p w14:paraId="31CC849D"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E0836E8" w14:textId="77777777" w:rsidR="003F0CDB" w:rsidRPr="00EA0DC7" w:rsidRDefault="003F0CDB" w:rsidP="00957911">
            <w:pPr>
              <w:spacing w:after="200" w:line="240" w:lineRule="auto"/>
              <w:jc w:val="center"/>
              <w:rPr>
                <w:rFonts w:eastAsia="Times New Roman" w:cs="Arial"/>
              </w:rPr>
            </w:pPr>
          </w:p>
        </w:tc>
      </w:tr>
      <w:tr w:rsidR="003F0CDB" w:rsidRPr="00EA0DC7" w14:paraId="5824E7B1" w14:textId="77777777" w:rsidTr="00004733">
        <w:tc>
          <w:tcPr>
            <w:tcW w:w="3969" w:type="dxa"/>
            <w:vAlign w:val="bottom"/>
          </w:tcPr>
          <w:p w14:paraId="66231C7B" w14:textId="77777777" w:rsidR="003F0CDB" w:rsidRPr="00EA0DC7" w:rsidRDefault="003F0CDB" w:rsidP="00957911">
            <w:pPr>
              <w:spacing w:after="200" w:line="240" w:lineRule="auto"/>
              <w:rPr>
                <w:rFonts w:eastAsia="Times New Roman" w:cs="Arial"/>
              </w:rPr>
            </w:pPr>
            <w:r w:rsidRPr="00EA0DC7">
              <w:rPr>
                <w:rFonts w:eastAsia="Times New Roman" w:cs="Arial"/>
              </w:rPr>
              <w:t>Ault-Riche (1988)</w:t>
            </w:r>
          </w:p>
        </w:tc>
        <w:tc>
          <w:tcPr>
            <w:tcW w:w="1560" w:type="dxa"/>
            <w:vAlign w:val="center"/>
          </w:tcPr>
          <w:p w14:paraId="6C0892F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FFA15D9" w14:textId="77777777" w:rsidR="003F0CDB" w:rsidRPr="00EA0DC7" w:rsidRDefault="003F0CDB" w:rsidP="00957911">
            <w:pPr>
              <w:spacing w:after="200" w:line="240" w:lineRule="auto"/>
              <w:jc w:val="center"/>
              <w:rPr>
                <w:rFonts w:eastAsia="Times New Roman" w:cs="Arial"/>
              </w:rPr>
            </w:pPr>
          </w:p>
        </w:tc>
      </w:tr>
      <w:tr w:rsidR="003F0CDB" w:rsidRPr="00EA0DC7" w14:paraId="1BDA080B" w14:textId="77777777" w:rsidTr="00004733">
        <w:tc>
          <w:tcPr>
            <w:tcW w:w="3969" w:type="dxa"/>
            <w:vAlign w:val="bottom"/>
          </w:tcPr>
          <w:p w14:paraId="1AD9648B" w14:textId="77777777" w:rsidR="003F0CDB" w:rsidRPr="00EA0DC7" w:rsidRDefault="003F0CDB" w:rsidP="00957911">
            <w:pPr>
              <w:spacing w:after="200" w:line="240" w:lineRule="auto"/>
              <w:rPr>
                <w:rFonts w:eastAsia="Times New Roman" w:cs="Arial"/>
              </w:rPr>
            </w:pPr>
            <w:r w:rsidRPr="00EA0DC7">
              <w:rPr>
                <w:rFonts w:eastAsia="Times New Roman" w:cs="Arial"/>
              </w:rPr>
              <w:t>Watkins (1990)</w:t>
            </w:r>
          </w:p>
        </w:tc>
        <w:tc>
          <w:tcPr>
            <w:tcW w:w="1560" w:type="dxa"/>
            <w:vAlign w:val="center"/>
          </w:tcPr>
          <w:p w14:paraId="20F2E9E9"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22045914" w14:textId="77777777" w:rsidR="003F0CDB" w:rsidRPr="00EA0DC7" w:rsidRDefault="003F0CDB" w:rsidP="00957911">
            <w:pPr>
              <w:spacing w:after="200" w:line="240" w:lineRule="auto"/>
              <w:jc w:val="center"/>
              <w:rPr>
                <w:rFonts w:eastAsia="Times New Roman" w:cs="Arial"/>
              </w:rPr>
            </w:pPr>
          </w:p>
        </w:tc>
      </w:tr>
      <w:tr w:rsidR="003F0CDB" w:rsidRPr="00EA0DC7" w14:paraId="57B5704A" w14:textId="77777777" w:rsidTr="00004733">
        <w:tc>
          <w:tcPr>
            <w:tcW w:w="3969" w:type="dxa"/>
            <w:vAlign w:val="bottom"/>
          </w:tcPr>
          <w:p w14:paraId="1673552E" w14:textId="77777777" w:rsidR="003F0CDB" w:rsidRPr="00EA0DC7" w:rsidRDefault="003F0CDB" w:rsidP="00957911">
            <w:pPr>
              <w:spacing w:after="200" w:line="240" w:lineRule="auto"/>
              <w:rPr>
                <w:rFonts w:eastAsia="Times New Roman" w:cs="Arial"/>
              </w:rPr>
            </w:pPr>
            <w:r w:rsidRPr="00EA0DC7">
              <w:rPr>
                <w:rFonts w:eastAsia="Times New Roman" w:cs="Arial"/>
              </w:rPr>
              <w:t>Wetchler (1990)</w:t>
            </w:r>
          </w:p>
        </w:tc>
        <w:tc>
          <w:tcPr>
            <w:tcW w:w="1560" w:type="dxa"/>
            <w:vAlign w:val="center"/>
          </w:tcPr>
          <w:p w14:paraId="61978E9D"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E471320" w14:textId="77777777" w:rsidR="003F0CDB" w:rsidRPr="00EA0DC7" w:rsidRDefault="003F0CDB" w:rsidP="00957911">
            <w:pPr>
              <w:spacing w:after="200" w:line="240" w:lineRule="auto"/>
              <w:jc w:val="center"/>
              <w:rPr>
                <w:rFonts w:eastAsia="Times New Roman" w:cs="Arial"/>
              </w:rPr>
            </w:pPr>
          </w:p>
        </w:tc>
      </w:tr>
      <w:tr w:rsidR="003F0CDB" w:rsidRPr="00EA0DC7" w14:paraId="7D338A1B" w14:textId="77777777" w:rsidTr="00004733">
        <w:tc>
          <w:tcPr>
            <w:tcW w:w="3969" w:type="dxa"/>
            <w:vAlign w:val="bottom"/>
          </w:tcPr>
          <w:p w14:paraId="66A1B387" w14:textId="77777777" w:rsidR="003F0CDB" w:rsidRPr="00EA0DC7" w:rsidRDefault="003F0CDB" w:rsidP="00957911">
            <w:pPr>
              <w:spacing w:after="200" w:line="240" w:lineRule="auto"/>
              <w:rPr>
                <w:rFonts w:eastAsia="Times New Roman" w:cs="Arial"/>
              </w:rPr>
            </w:pPr>
            <w:r w:rsidRPr="00EA0DC7">
              <w:rPr>
                <w:rFonts w:eastAsia="Times New Roman" w:cs="Arial"/>
              </w:rPr>
              <w:t>Mead (1990)</w:t>
            </w:r>
          </w:p>
        </w:tc>
        <w:tc>
          <w:tcPr>
            <w:tcW w:w="1560" w:type="dxa"/>
            <w:vAlign w:val="center"/>
          </w:tcPr>
          <w:p w14:paraId="64712A6B"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647525AF" w14:textId="77777777" w:rsidR="003F0CDB" w:rsidRPr="00EA0DC7" w:rsidRDefault="003F0CDB" w:rsidP="00957911">
            <w:pPr>
              <w:spacing w:after="200" w:line="240" w:lineRule="auto"/>
              <w:jc w:val="center"/>
              <w:rPr>
                <w:rFonts w:eastAsia="Times New Roman" w:cs="Arial"/>
              </w:rPr>
            </w:pPr>
          </w:p>
        </w:tc>
      </w:tr>
      <w:tr w:rsidR="003F0CDB" w:rsidRPr="00EA0DC7" w14:paraId="1836D311" w14:textId="77777777" w:rsidTr="00004733">
        <w:tc>
          <w:tcPr>
            <w:tcW w:w="3969" w:type="dxa"/>
            <w:vAlign w:val="bottom"/>
          </w:tcPr>
          <w:p w14:paraId="3D461E5A" w14:textId="77777777" w:rsidR="003F0CDB" w:rsidRPr="00EA0DC7" w:rsidRDefault="003F0CDB" w:rsidP="00957911">
            <w:pPr>
              <w:spacing w:after="200" w:line="240" w:lineRule="auto"/>
              <w:rPr>
                <w:rFonts w:eastAsia="Times New Roman" w:cs="Arial"/>
              </w:rPr>
            </w:pPr>
            <w:r w:rsidRPr="00EA0DC7">
              <w:rPr>
                <w:rFonts w:eastAsia="Times New Roman" w:cs="Arial"/>
              </w:rPr>
              <w:t>Hawkins &amp; Shohet (1993)</w:t>
            </w:r>
          </w:p>
        </w:tc>
        <w:tc>
          <w:tcPr>
            <w:tcW w:w="1560" w:type="dxa"/>
            <w:vAlign w:val="center"/>
          </w:tcPr>
          <w:p w14:paraId="460735F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DAD30D3" w14:textId="77777777" w:rsidR="003F0CDB" w:rsidRPr="00EA0DC7" w:rsidRDefault="003F0CDB" w:rsidP="00957911">
            <w:pPr>
              <w:spacing w:after="200" w:line="240" w:lineRule="auto"/>
              <w:jc w:val="center"/>
              <w:rPr>
                <w:rFonts w:eastAsia="Times New Roman" w:cs="Arial"/>
              </w:rPr>
            </w:pPr>
          </w:p>
        </w:tc>
      </w:tr>
      <w:tr w:rsidR="003F0CDB" w:rsidRPr="00EA0DC7" w14:paraId="33C23409" w14:textId="77777777" w:rsidTr="00004733">
        <w:tc>
          <w:tcPr>
            <w:tcW w:w="3969" w:type="dxa"/>
            <w:vAlign w:val="bottom"/>
          </w:tcPr>
          <w:p w14:paraId="0A4BE070" w14:textId="77777777" w:rsidR="003F0CDB" w:rsidRPr="00EA0DC7" w:rsidRDefault="003F0CDB" w:rsidP="00957911">
            <w:pPr>
              <w:spacing w:after="200" w:line="240" w:lineRule="auto"/>
              <w:rPr>
                <w:rFonts w:eastAsia="Times New Roman" w:cs="Arial"/>
              </w:rPr>
            </w:pPr>
            <w:r w:rsidRPr="00EA0DC7">
              <w:rPr>
                <w:rFonts w:eastAsia="Times New Roman" w:cs="Arial"/>
              </w:rPr>
              <w:t>Rodenhauser (1994)</w:t>
            </w:r>
          </w:p>
        </w:tc>
        <w:tc>
          <w:tcPr>
            <w:tcW w:w="1560" w:type="dxa"/>
            <w:vAlign w:val="center"/>
          </w:tcPr>
          <w:p w14:paraId="1BEDD114"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D7A9C13" w14:textId="77777777" w:rsidR="003F0CDB" w:rsidRPr="00EA0DC7" w:rsidRDefault="003F0CDB" w:rsidP="00957911">
            <w:pPr>
              <w:spacing w:after="200" w:line="240" w:lineRule="auto"/>
              <w:jc w:val="center"/>
              <w:rPr>
                <w:rFonts w:eastAsia="Times New Roman" w:cs="Arial"/>
              </w:rPr>
            </w:pPr>
          </w:p>
        </w:tc>
      </w:tr>
      <w:tr w:rsidR="003F0CDB" w:rsidRPr="00EA0DC7" w14:paraId="5AC2917C" w14:textId="77777777" w:rsidTr="00004733">
        <w:tc>
          <w:tcPr>
            <w:tcW w:w="3969" w:type="dxa"/>
            <w:vAlign w:val="bottom"/>
          </w:tcPr>
          <w:p w14:paraId="3C52FA69" w14:textId="77777777" w:rsidR="003F0CDB" w:rsidRPr="00EA0DC7" w:rsidRDefault="003F0CDB" w:rsidP="00957911">
            <w:pPr>
              <w:spacing w:after="200" w:line="240" w:lineRule="auto"/>
              <w:rPr>
                <w:rFonts w:eastAsia="Times New Roman" w:cs="Arial"/>
              </w:rPr>
            </w:pPr>
            <w:r w:rsidRPr="00EA0DC7">
              <w:rPr>
                <w:rFonts w:eastAsia="Times New Roman" w:cs="Arial"/>
              </w:rPr>
              <w:t>Thomas (1994)</w:t>
            </w:r>
          </w:p>
        </w:tc>
        <w:tc>
          <w:tcPr>
            <w:tcW w:w="1560" w:type="dxa"/>
            <w:vAlign w:val="center"/>
          </w:tcPr>
          <w:p w14:paraId="565D7060"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59ACF1BC" w14:textId="77777777" w:rsidR="003F0CDB" w:rsidRPr="00EA0DC7" w:rsidRDefault="003F0CDB" w:rsidP="00957911">
            <w:pPr>
              <w:spacing w:after="200" w:line="240" w:lineRule="auto"/>
              <w:jc w:val="center"/>
              <w:rPr>
                <w:rFonts w:eastAsia="Times New Roman" w:cs="Arial"/>
              </w:rPr>
            </w:pPr>
          </w:p>
        </w:tc>
      </w:tr>
      <w:tr w:rsidR="003F0CDB" w:rsidRPr="00EA0DC7" w14:paraId="2E71E107" w14:textId="77777777" w:rsidTr="00004733">
        <w:tc>
          <w:tcPr>
            <w:tcW w:w="3969" w:type="dxa"/>
            <w:vAlign w:val="bottom"/>
          </w:tcPr>
          <w:p w14:paraId="75543A3B" w14:textId="77777777" w:rsidR="003F0CDB" w:rsidRPr="00EA0DC7" w:rsidRDefault="003F0CDB" w:rsidP="00957911">
            <w:pPr>
              <w:spacing w:after="200" w:line="240" w:lineRule="auto"/>
              <w:rPr>
                <w:rFonts w:eastAsia="Times New Roman" w:cs="Arial"/>
              </w:rPr>
            </w:pPr>
            <w:r w:rsidRPr="00EA0DC7">
              <w:rPr>
                <w:rFonts w:eastAsia="Times New Roman" w:cs="Arial"/>
              </w:rPr>
              <w:t>Rigazio-DiGilio &amp; Anderson (1994)</w:t>
            </w:r>
          </w:p>
        </w:tc>
        <w:tc>
          <w:tcPr>
            <w:tcW w:w="1560" w:type="dxa"/>
            <w:vAlign w:val="center"/>
          </w:tcPr>
          <w:p w14:paraId="3B4AD0C3"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40378EE6" w14:textId="77777777" w:rsidR="003F0CDB" w:rsidRPr="00EA0DC7" w:rsidRDefault="003F0CDB" w:rsidP="00957911">
            <w:pPr>
              <w:spacing w:after="200" w:line="240" w:lineRule="auto"/>
              <w:jc w:val="center"/>
              <w:rPr>
                <w:rFonts w:eastAsia="Times New Roman" w:cs="Arial"/>
              </w:rPr>
            </w:pPr>
          </w:p>
        </w:tc>
      </w:tr>
      <w:tr w:rsidR="003F0CDB" w:rsidRPr="00EA0DC7" w14:paraId="432458CA" w14:textId="77777777" w:rsidTr="00004733">
        <w:tc>
          <w:tcPr>
            <w:tcW w:w="3969" w:type="dxa"/>
            <w:vAlign w:val="bottom"/>
          </w:tcPr>
          <w:p w14:paraId="61D28A5B" w14:textId="77777777" w:rsidR="003F0CDB" w:rsidRPr="00EA0DC7" w:rsidRDefault="003F0CDB" w:rsidP="00957911">
            <w:pPr>
              <w:spacing w:after="200" w:line="240" w:lineRule="auto"/>
              <w:rPr>
                <w:rFonts w:eastAsia="Times New Roman" w:cs="Arial"/>
              </w:rPr>
            </w:pPr>
            <w:r w:rsidRPr="00EA0DC7">
              <w:rPr>
                <w:rFonts w:eastAsia="Times New Roman" w:cs="Arial"/>
              </w:rPr>
              <w:t>Holloway (1995)</w:t>
            </w:r>
          </w:p>
        </w:tc>
        <w:tc>
          <w:tcPr>
            <w:tcW w:w="1560" w:type="dxa"/>
            <w:vAlign w:val="center"/>
          </w:tcPr>
          <w:p w14:paraId="6512A377"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7160757" w14:textId="77777777" w:rsidR="003F0CDB" w:rsidRPr="00EA0DC7" w:rsidRDefault="003F0CDB" w:rsidP="00957911">
            <w:pPr>
              <w:spacing w:after="200" w:line="240" w:lineRule="auto"/>
              <w:jc w:val="center"/>
              <w:rPr>
                <w:rFonts w:eastAsia="Times New Roman" w:cs="Arial"/>
              </w:rPr>
            </w:pPr>
          </w:p>
        </w:tc>
      </w:tr>
      <w:tr w:rsidR="003F0CDB" w:rsidRPr="00EA0DC7" w14:paraId="552F3621" w14:textId="77777777" w:rsidTr="00004733">
        <w:tc>
          <w:tcPr>
            <w:tcW w:w="3969" w:type="dxa"/>
            <w:vAlign w:val="bottom"/>
          </w:tcPr>
          <w:p w14:paraId="646F2276" w14:textId="77777777" w:rsidR="003F0CDB" w:rsidRPr="00EA0DC7" w:rsidRDefault="003F0CDB" w:rsidP="00957911">
            <w:pPr>
              <w:spacing w:after="200" w:line="240" w:lineRule="auto"/>
              <w:rPr>
                <w:rFonts w:eastAsia="Times New Roman" w:cs="Arial"/>
              </w:rPr>
            </w:pPr>
            <w:r w:rsidRPr="00EA0DC7">
              <w:rPr>
                <w:rFonts w:eastAsia="Times New Roman" w:cs="Arial"/>
              </w:rPr>
              <w:t>Hipp &amp; Munson (1995)</w:t>
            </w:r>
          </w:p>
        </w:tc>
        <w:tc>
          <w:tcPr>
            <w:tcW w:w="1560" w:type="dxa"/>
            <w:vAlign w:val="center"/>
          </w:tcPr>
          <w:p w14:paraId="1689E3FC"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42FBE93A" w14:textId="77777777" w:rsidR="003F0CDB" w:rsidRPr="00EA0DC7" w:rsidRDefault="003F0CDB" w:rsidP="00957911">
            <w:pPr>
              <w:spacing w:after="200" w:line="240" w:lineRule="auto"/>
              <w:jc w:val="center"/>
              <w:rPr>
                <w:rFonts w:eastAsia="Times New Roman" w:cs="Arial"/>
              </w:rPr>
            </w:pPr>
          </w:p>
        </w:tc>
      </w:tr>
      <w:tr w:rsidR="003F0CDB" w:rsidRPr="00EA0DC7" w14:paraId="17E6FE8D" w14:textId="77777777" w:rsidTr="00004733">
        <w:tc>
          <w:tcPr>
            <w:tcW w:w="3969" w:type="dxa"/>
            <w:vAlign w:val="bottom"/>
          </w:tcPr>
          <w:p w14:paraId="0F3C6496" w14:textId="77777777" w:rsidR="003F0CDB" w:rsidRPr="00EA0DC7" w:rsidRDefault="003F0CDB" w:rsidP="00957911">
            <w:pPr>
              <w:spacing w:after="200" w:line="240" w:lineRule="auto"/>
              <w:rPr>
                <w:rFonts w:eastAsia="Times New Roman" w:cs="Arial"/>
              </w:rPr>
            </w:pPr>
            <w:r w:rsidRPr="00EA0DC7">
              <w:rPr>
                <w:rFonts w:eastAsia="Times New Roman" w:cs="Arial"/>
              </w:rPr>
              <w:t>Carroll (1996)</w:t>
            </w:r>
          </w:p>
        </w:tc>
        <w:tc>
          <w:tcPr>
            <w:tcW w:w="1560" w:type="dxa"/>
            <w:vAlign w:val="center"/>
          </w:tcPr>
          <w:p w14:paraId="1AEB84BE"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585033FB" w14:textId="77777777" w:rsidR="003F0CDB" w:rsidRPr="00EA0DC7" w:rsidRDefault="003F0CDB" w:rsidP="00957911">
            <w:pPr>
              <w:spacing w:after="200" w:line="240" w:lineRule="auto"/>
              <w:jc w:val="center"/>
              <w:rPr>
                <w:rFonts w:eastAsia="Times New Roman" w:cs="Arial"/>
              </w:rPr>
            </w:pPr>
          </w:p>
        </w:tc>
      </w:tr>
      <w:tr w:rsidR="003F0CDB" w:rsidRPr="00EA0DC7" w14:paraId="1643FF2F" w14:textId="77777777" w:rsidTr="00004733">
        <w:tc>
          <w:tcPr>
            <w:tcW w:w="3969" w:type="dxa"/>
            <w:vAlign w:val="bottom"/>
          </w:tcPr>
          <w:p w14:paraId="13C01CF3" w14:textId="77777777" w:rsidR="003F0CDB" w:rsidRPr="00EA0DC7" w:rsidRDefault="003F0CDB" w:rsidP="00957911">
            <w:pPr>
              <w:spacing w:after="200" w:line="240" w:lineRule="auto"/>
              <w:rPr>
                <w:rFonts w:eastAsia="Times New Roman" w:cs="Arial"/>
              </w:rPr>
            </w:pPr>
            <w:r w:rsidRPr="00EA0DC7">
              <w:rPr>
                <w:rFonts w:eastAsia="Times New Roman" w:cs="Arial"/>
              </w:rPr>
              <w:t>Carroll (1996)</w:t>
            </w:r>
          </w:p>
        </w:tc>
        <w:tc>
          <w:tcPr>
            <w:tcW w:w="1560" w:type="dxa"/>
            <w:vAlign w:val="center"/>
          </w:tcPr>
          <w:p w14:paraId="4C2352D2"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22D1324" w14:textId="77777777" w:rsidR="003F0CDB" w:rsidRPr="00EA0DC7" w:rsidRDefault="003F0CDB" w:rsidP="00957911">
            <w:pPr>
              <w:spacing w:after="200" w:line="240" w:lineRule="auto"/>
              <w:jc w:val="center"/>
              <w:rPr>
                <w:rFonts w:eastAsia="Times New Roman" w:cs="Arial"/>
              </w:rPr>
            </w:pPr>
          </w:p>
        </w:tc>
      </w:tr>
      <w:tr w:rsidR="003F0CDB" w:rsidRPr="00EA0DC7" w14:paraId="4FB6DB37" w14:textId="77777777" w:rsidTr="00004733">
        <w:tc>
          <w:tcPr>
            <w:tcW w:w="3969" w:type="dxa"/>
            <w:vAlign w:val="bottom"/>
          </w:tcPr>
          <w:p w14:paraId="49A15CE8" w14:textId="77777777" w:rsidR="003F0CDB" w:rsidRPr="00EA0DC7" w:rsidRDefault="003F0CDB" w:rsidP="00957911">
            <w:pPr>
              <w:spacing w:after="200" w:line="240" w:lineRule="auto"/>
              <w:rPr>
                <w:rFonts w:eastAsia="Times New Roman" w:cs="Arial"/>
              </w:rPr>
            </w:pPr>
            <w:r w:rsidRPr="00EA0DC7">
              <w:rPr>
                <w:rFonts w:eastAsia="Times New Roman" w:cs="Arial"/>
              </w:rPr>
              <w:t>Haber (1996)</w:t>
            </w:r>
          </w:p>
        </w:tc>
        <w:tc>
          <w:tcPr>
            <w:tcW w:w="1560" w:type="dxa"/>
            <w:vAlign w:val="center"/>
          </w:tcPr>
          <w:p w14:paraId="4E760EEA"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22710A9" w14:textId="77777777" w:rsidR="003F0CDB" w:rsidRPr="00EA0DC7" w:rsidRDefault="003F0CDB" w:rsidP="00957911">
            <w:pPr>
              <w:spacing w:after="200" w:line="240" w:lineRule="auto"/>
              <w:jc w:val="center"/>
              <w:rPr>
                <w:rFonts w:eastAsia="Times New Roman" w:cs="Arial"/>
              </w:rPr>
            </w:pPr>
          </w:p>
        </w:tc>
      </w:tr>
      <w:tr w:rsidR="003F0CDB" w:rsidRPr="00EA0DC7" w14:paraId="78DE3F28" w14:textId="77777777" w:rsidTr="00004733">
        <w:tc>
          <w:tcPr>
            <w:tcW w:w="3969" w:type="dxa"/>
            <w:vAlign w:val="bottom"/>
          </w:tcPr>
          <w:p w14:paraId="3504B32F" w14:textId="77777777" w:rsidR="003F0CDB" w:rsidRPr="00EA0DC7" w:rsidRDefault="003F0CDB" w:rsidP="00957911">
            <w:pPr>
              <w:spacing w:after="200" w:line="240" w:lineRule="auto"/>
              <w:rPr>
                <w:rFonts w:eastAsia="Times New Roman" w:cs="Arial"/>
              </w:rPr>
            </w:pPr>
            <w:r w:rsidRPr="00EA0DC7">
              <w:rPr>
                <w:rFonts w:eastAsia="Times New Roman" w:cs="Arial"/>
              </w:rPr>
              <w:t>Liese &amp; Beck (1997)</w:t>
            </w:r>
          </w:p>
        </w:tc>
        <w:tc>
          <w:tcPr>
            <w:tcW w:w="1560" w:type="dxa"/>
            <w:vAlign w:val="center"/>
          </w:tcPr>
          <w:p w14:paraId="105AE2A0"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09B4D1B8" w14:textId="77777777" w:rsidR="003F0CDB" w:rsidRPr="00EA0DC7" w:rsidRDefault="003F0CDB" w:rsidP="00957911">
            <w:pPr>
              <w:spacing w:after="200" w:line="240" w:lineRule="auto"/>
              <w:jc w:val="center"/>
              <w:rPr>
                <w:rFonts w:eastAsia="Times New Roman" w:cs="Arial"/>
              </w:rPr>
            </w:pPr>
          </w:p>
        </w:tc>
      </w:tr>
      <w:tr w:rsidR="003F0CDB" w:rsidRPr="00EA0DC7" w14:paraId="0EE72A69" w14:textId="77777777" w:rsidTr="00004733">
        <w:tc>
          <w:tcPr>
            <w:tcW w:w="3969" w:type="dxa"/>
            <w:vAlign w:val="bottom"/>
          </w:tcPr>
          <w:p w14:paraId="0129CE08" w14:textId="77777777" w:rsidR="003F0CDB" w:rsidRPr="00EA0DC7" w:rsidRDefault="003F0CDB" w:rsidP="00957911">
            <w:pPr>
              <w:spacing w:after="200" w:line="240" w:lineRule="auto"/>
              <w:rPr>
                <w:rFonts w:eastAsia="Times New Roman" w:cs="Arial"/>
              </w:rPr>
            </w:pPr>
            <w:r w:rsidRPr="00EA0DC7">
              <w:rPr>
                <w:rFonts w:eastAsia="Times New Roman" w:cs="Arial"/>
              </w:rPr>
              <w:t>Ward &amp; House (1998)</w:t>
            </w:r>
          </w:p>
        </w:tc>
        <w:tc>
          <w:tcPr>
            <w:tcW w:w="1560" w:type="dxa"/>
            <w:vAlign w:val="center"/>
          </w:tcPr>
          <w:p w14:paraId="3BD1BCFB"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784BCC3D" w14:textId="77777777" w:rsidR="003F0CDB" w:rsidRPr="00EA0DC7" w:rsidRDefault="003F0CDB" w:rsidP="00957911">
            <w:pPr>
              <w:spacing w:after="200" w:line="240" w:lineRule="auto"/>
              <w:jc w:val="center"/>
              <w:rPr>
                <w:rFonts w:eastAsia="Times New Roman" w:cs="Arial"/>
              </w:rPr>
            </w:pPr>
          </w:p>
        </w:tc>
      </w:tr>
      <w:tr w:rsidR="003F0CDB" w:rsidRPr="00EA0DC7" w14:paraId="38A766EA" w14:textId="77777777" w:rsidTr="00004733">
        <w:tc>
          <w:tcPr>
            <w:tcW w:w="3969" w:type="dxa"/>
            <w:vAlign w:val="bottom"/>
          </w:tcPr>
          <w:p w14:paraId="5552C780" w14:textId="77777777" w:rsidR="003F0CDB" w:rsidRPr="00EA0DC7" w:rsidRDefault="003F0CDB" w:rsidP="00957911">
            <w:pPr>
              <w:spacing w:after="200" w:line="240" w:lineRule="auto"/>
              <w:rPr>
                <w:rFonts w:eastAsia="Times New Roman" w:cs="Arial"/>
              </w:rPr>
            </w:pPr>
            <w:r w:rsidRPr="00EA0DC7">
              <w:rPr>
                <w:rFonts w:eastAsia="Times New Roman" w:cs="Arial"/>
              </w:rPr>
              <w:t>Bob (1999)</w:t>
            </w:r>
          </w:p>
        </w:tc>
        <w:tc>
          <w:tcPr>
            <w:tcW w:w="1560" w:type="dxa"/>
            <w:vAlign w:val="center"/>
          </w:tcPr>
          <w:p w14:paraId="63BC4CAB"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49D62DC9" w14:textId="77777777" w:rsidR="003F0CDB" w:rsidRPr="00EA0DC7" w:rsidRDefault="003F0CDB" w:rsidP="00957911">
            <w:pPr>
              <w:spacing w:after="200" w:line="240" w:lineRule="auto"/>
              <w:jc w:val="center"/>
              <w:rPr>
                <w:rFonts w:eastAsia="Times New Roman" w:cs="Arial"/>
              </w:rPr>
            </w:pPr>
          </w:p>
        </w:tc>
      </w:tr>
      <w:tr w:rsidR="003F0CDB" w:rsidRPr="00EA0DC7" w14:paraId="42EA0DFF" w14:textId="77777777" w:rsidTr="00004733">
        <w:tc>
          <w:tcPr>
            <w:tcW w:w="3969" w:type="dxa"/>
            <w:vAlign w:val="bottom"/>
          </w:tcPr>
          <w:p w14:paraId="0923F242" w14:textId="77777777" w:rsidR="003F0CDB" w:rsidRPr="00EA0DC7" w:rsidRDefault="003F0CDB" w:rsidP="00957911">
            <w:pPr>
              <w:spacing w:after="200" w:line="240" w:lineRule="auto"/>
              <w:rPr>
                <w:rFonts w:eastAsia="Times New Roman" w:cs="Arial"/>
              </w:rPr>
            </w:pPr>
            <w:r w:rsidRPr="00EA0DC7">
              <w:rPr>
                <w:rFonts w:eastAsia="Times New Roman" w:cs="Arial"/>
              </w:rPr>
              <w:t>Nelson &amp; Johnson (1999)</w:t>
            </w:r>
          </w:p>
        </w:tc>
        <w:tc>
          <w:tcPr>
            <w:tcW w:w="1560" w:type="dxa"/>
            <w:vAlign w:val="center"/>
          </w:tcPr>
          <w:p w14:paraId="431179E2"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107DBDE1" w14:textId="77777777" w:rsidR="003F0CDB" w:rsidRPr="00EA0DC7" w:rsidRDefault="003F0CDB" w:rsidP="00957911">
            <w:pPr>
              <w:spacing w:after="200" w:line="240" w:lineRule="auto"/>
              <w:jc w:val="center"/>
              <w:rPr>
                <w:rFonts w:eastAsia="Times New Roman" w:cs="Arial"/>
              </w:rPr>
            </w:pPr>
          </w:p>
        </w:tc>
      </w:tr>
      <w:tr w:rsidR="003F0CDB" w:rsidRPr="00EA0DC7" w14:paraId="13CB1CFA" w14:textId="77777777" w:rsidTr="00004733">
        <w:tc>
          <w:tcPr>
            <w:tcW w:w="3969" w:type="dxa"/>
            <w:vAlign w:val="bottom"/>
          </w:tcPr>
          <w:p w14:paraId="2827BE63" w14:textId="77777777" w:rsidR="003F0CDB" w:rsidRPr="00EA0DC7" w:rsidRDefault="003F0CDB" w:rsidP="00957911">
            <w:pPr>
              <w:spacing w:after="200" w:line="240" w:lineRule="auto"/>
              <w:rPr>
                <w:rFonts w:eastAsia="Times New Roman" w:cs="Arial"/>
              </w:rPr>
            </w:pPr>
            <w:r w:rsidRPr="00EA0DC7">
              <w:rPr>
                <w:rFonts w:eastAsia="Times New Roman" w:cs="Arial"/>
              </w:rPr>
              <w:t>Edwards &amp; Chen (1999)</w:t>
            </w:r>
          </w:p>
        </w:tc>
        <w:tc>
          <w:tcPr>
            <w:tcW w:w="1560" w:type="dxa"/>
            <w:vAlign w:val="center"/>
          </w:tcPr>
          <w:p w14:paraId="17BFB223"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302197D9" w14:textId="77777777" w:rsidR="003F0CDB" w:rsidRPr="00EA0DC7" w:rsidRDefault="003F0CDB" w:rsidP="00957911">
            <w:pPr>
              <w:spacing w:after="200" w:line="240" w:lineRule="auto"/>
              <w:jc w:val="center"/>
              <w:rPr>
                <w:rFonts w:eastAsia="Times New Roman" w:cs="Arial"/>
              </w:rPr>
            </w:pPr>
          </w:p>
        </w:tc>
      </w:tr>
      <w:tr w:rsidR="003F0CDB" w:rsidRPr="00EA0DC7" w14:paraId="4E562189" w14:textId="77777777" w:rsidTr="00004733">
        <w:tc>
          <w:tcPr>
            <w:tcW w:w="3969" w:type="dxa"/>
            <w:vAlign w:val="bottom"/>
          </w:tcPr>
          <w:p w14:paraId="72235EAF" w14:textId="77777777" w:rsidR="003F0CDB" w:rsidRPr="00EA0DC7" w:rsidRDefault="003F0CDB" w:rsidP="00957911">
            <w:pPr>
              <w:spacing w:after="200" w:line="240" w:lineRule="auto"/>
              <w:rPr>
                <w:rFonts w:eastAsia="Times New Roman" w:cs="Arial"/>
              </w:rPr>
            </w:pPr>
            <w:r w:rsidRPr="00EA0DC7">
              <w:rPr>
                <w:rFonts w:eastAsia="Times New Roman" w:cs="Arial"/>
              </w:rPr>
              <w:t>Granello (2000)</w:t>
            </w:r>
          </w:p>
        </w:tc>
        <w:tc>
          <w:tcPr>
            <w:tcW w:w="1560" w:type="dxa"/>
            <w:vAlign w:val="center"/>
          </w:tcPr>
          <w:p w14:paraId="51F464CC"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7CBBE74" w14:textId="77777777" w:rsidR="003F0CDB" w:rsidRPr="00EA0DC7" w:rsidRDefault="003F0CDB" w:rsidP="00957911">
            <w:pPr>
              <w:spacing w:after="200" w:line="240" w:lineRule="auto"/>
              <w:jc w:val="center"/>
              <w:rPr>
                <w:rFonts w:eastAsia="Times New Roman" w:cs="Arial"/>
              </w:rPr>
            </w:pPr>
          </w:p>
        </w:tc>
      </w:tr>
      <w:tr w:rsidR="003F0CDB" w:rsidRPr="00EA0DC7" w14:paraId="581FE2D7" w14:textId="77777777" w:rsidTr="00004733">
        <w:tc>
          <w:tcPr>
            <w:tcW w:w="3969" w:type="dxa"/>
            <w:tcBorders>
              <w:bottom w:val="single" w:sz="4" w:space="0" w:color="auto"/>
            </w:tcBorders>
            <w:vAlign w:val="bottom"/>
          </w:tcPr>
          <w:p w14:paraId="595163DA" w14:textId="77777777" w:rsidR="003F0CDB" w:rsidRPr="00EA0DC7" w:rsidRDefault="003F0CDB" w:rsidP="00957911">
            <w:pPr>
              <w:spacing w:after="200" w:line="240" w:lineRule="auto"/>
              <w:rPr>
                <w:rFonts w:eastAsia="Times New Roman" w:cs="Arial"/>
              </w:rPr>
            </w:pPr>
            <w:r w:rsidRPr="00EA0DC7">
              <w:rPr>
                <w:rFonts w:eastAsia="Times New Roman" w:cs="Arial"/>
              </w:rPr>
              <w:t>Gilbert &amp; Evans (2000)</w:t>
            </w:r>
          </w:p>
        </w:tc>
        <w:tc>
          <w:tcPr>
            <w:tcW w:w="1560" w:type="dxa"/>
            <w:tcBorders>
              <w:bottom w:val="single" w:sz="4" w:space="0" w:color="auto"/>
            </w:tcBorders>
            <w:vAlign w:val="center"/>
          </w:tcPr>
          <w:p w14:paraId="22708F4B"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tcBorders>
              <w:bottom w:val="single" w:sz="4" w:space="0" w:color="auto"/>
            </w:tcBorders>
            <w:vAlign w:val="center"/>
          </w:tcPr>
          <w:p w14:paraId="5335F5B4" w14:textId="77777777" w:rsidR="003F0CDB" w:rsidRPr="00EA0DC7" w:rsidRDefault="003F0CDB" w:rsidP="00957911">
            <w:pPr>
              <w:spacing w:after="200" w:line="240" w:lineRule="auto"/>
              <w:jc w:val="center"/>
              <w:rPr>
                <w:rFonts w:eastAsia="Times New Roman" w:cs="Arial"/>
              </w:rPr>
            </w:pPr>
          </w:p>
        </w:tc>
      </w:tr>
      <w:tr w:rsidR="00004733" w:rsidRPr="00EA0DC7" w14:paraId="2B21DD25" w14:textId="77777777" w:rsidTr="00004733">
        <w:tc>
          <w:tcPr>
            <w:tcW w:w="3969" w:type="dxa"/>
            <w:tcBorders>
              <w:top w:val="single" w:sz="4" w:space="0" w:color="auto"/>
              <w:bottom w:val="single" w:sz="4" w:space="0" w:color="auto"/>
            </w:tcBorders>
            <w:vAlign w:val="center"/>
          </w:tcPr>
          <w:p w14:paraId="61A74312" w14:textId="3B8D684B"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lastRenderedPageBreak/>
              <w:t>Model/ approach</w:t>
            </w:r>
          </w:p>
        </w:tc>
        <w:tc>
          <w:tcPr>
            <w:tcW w:w="1560" w:type="dxa"/>
            <w:tcBorders>
              <w:top w:val="single" w:sz="4" w:space="0" w:color="auto"/>
              <w:bottom w:val="single" w:sz="4" w:space="0" w:color="auto"/>
            </w:tcBorders>
            <w:vAlign w:val="center"/>
          </w:tcPr>
          <w:p w14:paraId="68C50432" w14:textId="3AE6C9A8"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t>Cites empirical evidence</w:t>
            </w:r>
          </w:p>
        </w:tc>
        <w:tc>
          <w:tcPr>
            <w:tcW w:w="2126" w:type="dxa"/>
            <w:tcBorders>
              <w:top w:val="single" w:sz="4" w:space="0" w:color="auto"/>
              <w:bottom w:val="single" w:sz="4" w:space="0" w:color="auto"/>
            </w:tcBorders>
            <w:vAlign w:val="center"/>
          </w:tcPr>
          <w:p w14:paraId="693ED943" w14:textId="42D305A7" w:rsidR="00004733" w:rsidRPr="00EA0DC7" w:rsidRDefault="00004733" w:rsidP="00004733">
            <w:pPr>
              <w:spacing w:before="240" w:after="240" w:line="240" w:lineRule="auto"/>
              <w:jc w:val="center"/>
              <w:rPr>
                <w:rFonts w:eastAsia="Times New Roman" w:cs="Arial"/>
              </w:rPr>
            </w:pPr>
            <w:r w:rsidRPr="00EA0DC7">
              <w:rPr>
                <w:rFonts w:eastAsia="Times New Roman" w:cs="Arial"/>
                <w:b/>
                <w:bCs/>
              </w:rPr>
              <w:t>Based on empirical evidence</w:t>
            </w:r>
          </w:p>
        </w:tc>
      </w:tr>
      <w:tr w:rsidR="003F0CDB" w:rsidRPr="00EA0DC7" w14:paraId="1A185CD3" w14:textId="77777777" w:rsidTr="00004733">
        <w:tc>
          <w:tcPr>
            <w:tcW w:w="3969" w:type="dxa"/>
            <w:tcBorders>
              <w:top w:val="single" w:sz="4" w:space="0" w:color="auto"/>
            </w:tcBorders>
            <w:vAlign w:val="bottom"/>
          </w:tcPr>
          <w:p w14:paraId="5A4E33E3" w14:textId="77777777" w:rsidR="003F0CDB" w:rsidRPr="00EA0DC7" w:rsidRDefault="003F0CDB" w:rsidP="00957911">
            <w:pPr>
              <w:spacing w:after="200" w:line="240" w:lineRule="auto"/>
              <w:rPr>
                <w:rFonts w:eastAsia="Times New Roman" w:cs="Arial"/>
              </w:rPr>
            </w:pPr>
            <w:r w:rsidRPr="00EA0DC7">
              <w:rPr>
                <w:rFonts w:eastAsia="Times New Roman" w:cs="Arial"/>
              </w:rPr>
              <w:t xml:space="preserve">Scaife (2001) </w:t>
            </w:r>
          </w:p>
        </w:tc>
        <w:tc>
          <w:tcPr>
            <w:tcW w:w="1560" w:type="dxa"/>
            <w:tcBorders>
              <w:top w:val="single" w:sz="4" w:space="0" w:color="auto"/>
            </w:tcBorders>
            <w:vAlign w:val="center"/>
          </w:tcPr>
          <w:p w14:paraId="052966E2"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tcBorders>
              <w:top w:val="single" w:sz="4" w:space="0" w:color="auto"/>
            </w:tcBorders>
            <w:vAlign w:val="center"/>
          </w:tcPr>
          <w:p w14:paraId="205C904B" w14:textId="77777777" w:rsidR="003F0CDB" w:rsidRPr="00EA0DC7" w:rsidRDefault="003F0CDB" w:rsidP="00957911">
            <w:pPr>
              <w:spacing w:after="200" w:line="240" w:lineRule="auto"/>
              <w:jc w:val="center"/>
              <w:rPr>
                <w:rFonts w:eastAsia="Times New Roman" w:cs="Arial"/>
              </w:rPr>
            </w:pPr>
          </w:p>
        </w:tc>
      </w:tr>
      <w:tr w:rsidR="003F0CDB" w:rsidRPr="00EA0DC7" w14:paraId="3167101C" w14:textId="77777777" w:rsidTr="00004733">
        <w:tc>
          <w:tcPr>
            <w:tcW w:w="3969" w:type="dxa"/>
            <w:vAlign w:val="bottom"/>
          </w:tcPr>
          <w:p w14:paraId="33ADBA62" w14:textId="77777777" w:rsidR="003F0CDB" w:rsidRPr="00EA0DC7" w:rsidRDefault="003F0CDB" w:rsidP="00957911">
            <w:pPr>
              <w:spacing w:after="200" w:line="240" w:lineRule="auto"/>
              <w:rPr>
                <w:rFonts w:eastAsia="Times New Roman" w:cs="Arial"/>
              </w:rPr>
            </w:pPr>
            <w:r w:rsidRPr="00EA0DC7">
              <w:rPr>
                <w:rFonts w:eastAsia="Times New Roman" w:cs="Arial"/>
              </w:rPr>
              <w:t>Frawley-O'Dea &amp; Sarnat (2001)</w:t>
            </w:r>
          </w:p>
        </w:tc>
        <w:tc>
          <w:tcPr>
            <w:tcW w:w="1560" w:type="dxa"/>
            <w:vAlign w:val="center"/>
          </w:tcPr>
          <w:p w14:paraId="2AD41021"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47B8341" w14:textId="77777777" w:rsidR="003F0CDB" w:rsidRPr="00EA0DC7" w:rsidRDefault="003F0CDB" w:rsidP="00957911">
            <w:pPr>
              <w:spacing w:after="200" w:line="240" w:lineRule="auto"/>
              <w:jc w:val="center"/>
              <w:rPr>
                <w:rFonts w:eastAsia="Times New Roman" w:cs="Arial"/>
              </w:rPr>
            </w:pPr>
          </w:p>
        </w:tc>
      </w:tr>
      <w:tr w:rsidR="003F0CDB" w:rsidRPr="00EA0DC7" w14:paraId="654D2EF5" w14:textId="77777777" w:rsidTr="00004733">
        <w:tc>
          <w:tcPr>
            <w:tcW w:w="3969" w:type="dxa"/>
            <w:vAlign w:val="bottom"/>
          </w:tcPr>
          <w:p w14:paraId="59E1BE30" w14:textId="77777777" w:rsidR="003F0CDB" w:rsidRPr="00EA0DC7" w:rsidRDefault="003F0CDB" w:rsidP="00957911">
            <w:pPr>
              <w:spacing w:after="200" w:line="240" w:lineRule="auto"/>
              <w:rPr>
                <w:rFonts w:eastAsia="Times New Roman" w:cs="Arial"/>
              </w:rPr>
            </w:pPr>
            <w:r w:rsidRPr="00EA0DC7">
              <w:rPr>
                <w:rFonts w:eastAsia="Times New Roman" w:cs="Arial"/>
              </w:rPr>
              <w:t>Lee &amp; Everett (2004)</w:t>
            </w:r>
          </w:p>
        </w:tc>
        <w:tc>
          <w:tcPr>
            <w:tcW w:w="1560" w:type="dxa"/>
            <w:vAlign w:val="center"/>
          </w:tcPr>
          <w:p w14:paraId="444A243C"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6B5CE1BE" w14:textId="77777777" w:rsidR="003F0CDB" w:rsidRPr="00EA0DC7" w:rsidRDefault="003F0CDB" w:rsidP="00957911">
            <w:pPr>
              <w:spacing w:after="200" w:line="240" w:lineRule="auto"/>
              <w:jc w:val="center"/>
              <w:rPr>
                <w:rFonts w:eastAsia="Times New Roman" w:cs="Arial"/>
              </w:rPr>
            </w:pPr>
          </w:p>
        </w:tc>
      </w:tr>
      <w:tr w:rsidR="003F0CDB" w:rsidRPr="00EA0DC7" w14:paraId="0471165D" w14:textId="77777777" w:rsidTr="00004733">
        <w:tc>
          <w:tcPr>
            <w:tcW w:w="3969" w:type="dxa"/>
            <w:vAlign w:val="bottom"/>
          </w:tcPr>
          <w:p w14:paraId="0D981584" w14:textId="77777777" w:rsidR="003F0CDB" w:rsidRPr="00EA0DC7" w:rsidRDefault="003F0CDB" w:rsidP="00957911">
            <w:pPr>
              <w:spacing w:after="200" w:line="240" w:lineRule="auto"/>
              <w:rPr>
                <w:rFonts w:eastAsia="Times New Roman" w:cs="Arial"/>
              </w:rPr>
            </w:pPr>
            <w:r w:rsidRPr="00EA0DC7">
              <w:rPr>
                <w:rFonts w:eastAsia="Times New Roman" w:cs="Arial"/>
              </w:rPr>
              <w:t>Ladany et al. (2005)</w:t>
            </w:r>
          </w:p>
        </w:tc>
        <w:tc>
          <w:tcPr>
            <w:tcW w:w="1560" w:type="dxa"/>
            <w:vAlign w:val="center"/>
          </w:tcPr>
          <w:p w14:paraId="1E7E2ABE"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693A80EE" w14:textId="77777777" w:rsidR="003F0CDB" w:rsidRPr="00EA0DC7" w:rsidRDefault="003F0CDB" w:rsidP="00957911">
            <w:pPr>
              <w:spacing w:after="200" w:line="240" w:lineRule="auto"/>
              <w:jc w:val="center"/>
              <w:rPr>
                <w:rFonts w:eastAsia="Times New Roman" w:cs="Arial"/>
              </w:rPr>
            </w:pPr>
          </w:p>
        </w:tc>
      </w:tr>
      <w:tr w:rsidR="003F0CDB" w:rsidRPr="00EA0DC7" w14:paraId="5EDE97F4" w14:textId="77777777" w:rsidTr="00004733">
        <w:tc>
          <w:tcPr>
            <w:tcW w:w="3969" w:type="dxa"/>
            <w:vAlign w:val="bottom"/>
          </w:tcPr>
          <w:p w14:paraId="0173907B" w14:textId="77777777" w:rsidR="003F0CDB" w:rsidRPr="00EA0DC7" w:rsidRDefault="003F0CDB" w:rsidP="00957911">
            <w:pPr>
              <w:spacing w:after="200" w:line="240" w:lineRule="auto"/>
              <w:rPr>
                <w:rFonts w:eastAsia="Times New Roman" w:cs="Arial"/>
              </w:rPr>
            </w:pPr>
            <w:r w:rsidRPr="00EA0DC7">
              <w:rPr>
                <w:rFonts w:eastAsia="Times New Roman" w:cs="Arial"/>
              </w:rPr>
              <w:t>Armstrong &amp; Freeston (2006)</w:t>
            </w:r>
          </w:p>
        </w:tc>
        <w:tc>
          <w:tcPr>
            <w:tcW w:w="1560" w:type="dxa"/>
            <w:vAlign w:val="center"/>
          </w:tcPr>
          <w:p w14:paraId="497A75FB"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7A0CF9F8" w14:textId="77777777" w:rsidR="003F0CDB" w:rsidRPr="00EA0DC7" w:rsidRDefault="003F0CDB" w:rsidP="00957911">
            <w:pPr>
              <w:spacing w:after="200" w:line="240" w:lineRule="auto"/>
              <w:jc w:val="center"/>
              <w:rPr>
                <w:rFonts w:eastAsia="Times New Roman" w:cs="Arial"/>
              </w:rPr>
            </w:pPr>
          </w:p>
        </w:tc>
      </w:tr>
      <w:tr w:rsidR="003F0CDB" w:rsidRPr="00EA0DC7" w14:paraId="4F65CDC9" w14:textId="77777777" w:rsidTr="00004733">
        <w:tc>
          <w:tcPr>
            <w:tcW w:w="3969" w:type="dxa"/>
            <w:vAlign w:val="bottom"/>
          </w:tcPr>
          <w:p w14:paraId="1C784508" w14:textId="77777777" w:rsidR="003F0CDB" w:rsidRPr="00EA0DC7" w:rsidRDefault="003F0CDB" w:rsidP="00957911">
            <w:pPr>
              <w:spacing w:after="200" w:line="240" w:lineRule="auto"/>
              <w:rPr>
                <w:rFonts w:eastAsia="Times New Roman" w:cs="Arial"/>
              </w:rPr>
            </w:pPr>
            <w:r w:rsidRPr="00EA0DC7">
              <w:rPr>
                <w:rFonts w:eastAsia="Times New Roman" w:cs="Arial"/>
              </w:rPr>
              <w:t>Morgan &amp; Sprenkle (2007)</w:t>
            </w:r>
          </w:p>
        </w:tc>
        <w:tc>
          <w:tcPr>
            <w:tcW w:w="1560" w:type="dxa"/>
            <w:vAlign w:val="center"/>
          </w:tcPr>
          <w:p w14:paraId="4CFD1222"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vAlign w:val="center"/>
          </w:tcPr>
          <w:p w14:paraId="23AD6E1B" w14:textId="77777777" w:rsidR="003F0CDB" w:rsidRPr="00EA0DC7" w:rsidRDefault="003F0CDB" w:rsidP="00957911">
            <w:pPr>
              <w:spacing w:after="200" w:line="240" w:lineRule="auto"/>
              <w:jc w:val="center"/>
              <w:rPr>
                <w:rFonts w:eastAsia="Times New Roman" w:cs="Arial"/>
              </w:rPr>
            </w:pPr>
          </w:p>
        </w:tc>
      </w:tr>
      <w:tr w:rsidR="003F0CDB" w:rsidRPr="00EA0DC7" w14:paraId="7B60C7F4" w14:textId="77777777" w:rsidTr="00004733">
        <w:tc>
          <w:tcPr>
            <w:tcW w:w="3969" w:type="dxa"/>
            <w:vAlign w:val="bottom"/>
          </w:tcPr>
          <w:p w14:paraId="0F9478E8" w14:textId="77777777" w:rsidR="003F0CDB" w:rsidRPr="00EA0DC7" w:rsidRDefault="003F0CDB" w:rsidP="00957911">
            <w:pPr>
              <w:spacing w:after="200" w:line="240" w:lineRule="auto"/>
              <w:rPr>
                <w:rFonts w:eastAsia="Times New Roman" w:cs="Arial"/>
              </w:rPr>
            </w:pPr>
            <w:r w:rsidRPr="00EA0DC7">
              <w:rPr>
                <w:rFonts w:eastAsia="Times New Roman" w:cs="Arial"/>
              </w:rPr>
              <w:t>Inskipp &amp; Proctor (2009)</w:t>
            </w:r>
          </w:p>
        </w:tc>
        <w:tc>
          <w:tcPr>
            <w:tcW w:w="1560" w:type="dxa"/>
            <w:vAlign w:val="center"/>
          </w:tcPr>
          <w:p w14:paraId="4DEF0A70" w14:textId="77777777" w:rsidR="003F0CDB" w:rsidRPr="00EA0DC7" w:rsidRDefault="003F0CDB" w:rsidP="00957911">
            <w:pPr>
              <w:spacing w:after="200" w:line="240" w:lineRule="auto"/>
              <w:jc w:val="center"/>
              <w:rPr>
                <w:rFonts w:eastAsia="Times New Roman" w:cs="Arial"/>
              </w:rPr>
            </w:pPr>
          </w:p>
        </w:tc>
        <w:tc>
          <w:tcPr>
            <w:tcW w:w="2126" w:type="dxa"/>
            <w:vAlign w:val="center"/>
          </w:tcPr>
          <w:p w14:paraId="66704054" w14:textId="77777777" w:rsidR="003F0CDB" w:rsidRPr="00EA0DC7" w:rsidRDefault="003F0CDB" w:rsidP="00957911">
            <w:pPr>
              <w:spacing w:after="200" w:line="240" w:lineRule="auto"/>
              <w:jc w:val="center"/>
              <w:rPr>
                <w:rFonts w:eastAsia="Times New Roman" w:cs="Arial"/>
              </w:rPr>
            </w:pPr>
          </w:p>
        </w:tc>
      </w:tr>
      <w:tr w:rsidR="003F0CDB" w:rsidRPr="00EA0DC7" w14:paraId="1848511E" w14:textId="77777777" w:rsidTr="00004733">
        <w:tc>
          <w:tcPr>
            <w:tcW w:w="3969" w:type="dxa"/>
            <w:tcBorders>
              <w:bottom w:val="single" w:sz="4" w:space="0" w:color="auto"/>
            </w:tcBorders>
            <w:vAlign w:val="bottom"/>
          </w:tcPr>
          <w:p w14:paraId="4AE3DBFE" w14:textId="77777777" w:rsidR="003F0CDB" w:rsidRPr="00EA0DC7" w:rsidRDefault="003F0CDB" w:rsidP="00957911">
            <w:pPr>
              <w:spacing w:after="200" w:line="240" w:lineRule="auto"/>
              <w:rPr>
                <w:rFonts w:eastAsia="Times New Roman" w:cs="Arial"/>
              </w:rPr>
            </w:pPr>
            <w:r w:rsidRPr="00EA0DC7">
              <w:rPr>
                <w:rFonts w:eastAsia="Times New Roman" w:cs="Arial"/>
              </w:rPr>
              <w:t>Page &amp; Wosket (2015)</w:t>
            </w:r>
          </w:p>
        </w:tc>
        <w:tc>
          <w:tcPr>
            <w:tcW w:w="1560" w:type="dxa"/>
            <w:tcBorders>
              <w:bottom w:val="single" w:sz="4" w:space="0" w:color="auto"/>
            </w:tcBorders>
            <w:vAlign w:val="center"/>
          </w:tcPr>
          <w:p w14:paraId="227B7EF6" w14:textId="77777777" w:rsidR="003F0CDB" w:rsidRPr="00EA0DC7" w:rsidRDefault="003F0CDB" w:rsidP="00957911">
            <w:pPr>
              <w:spacing w:after="200" w:line="240" w:lineRule="auto"/>
              <w:jc w:val="center"/>
              <w:rPr>
                <w:rFonts w:eastAsia="Times New Roman" w:cs="Arial"/>
              </w:rPr>
            </w:pPr>
            <w:r w:rsidRPr="00EA0DC7">
              <w:rPr>
                <w:rFonts w:eastAsia="Times New Roman" w:cs="Arial"/>
              </w:rPr>
              <w:sym w:font="Wingdings" w:char="F0FC"/>
            </w:r>
          </w:p>
        </w:tc>
        <w:tc>
          <w:tcPr>
            <w:tcW w:w="2126" w:type="dxa"/>
            <w:tcBorders>
              <w:bottom w:val="single" w:sz="4" w:space="0" w:color="auto"/>
            </w:tcBorders>
            <w:vAlign w:val="center"/>
          </w:tcPr>
          <w:p w14:paraId="76C2551E" w14:textId="77777777" w:rsidR="003F0CDB" w:rsidRPr="00EA0DC7" w:rsidRDefault="003F0CDB" w:rsidP="00957911">
            <w:pPr>
              <w:spacing w:after="200" w:line="240" w:lineRule="auto"/>
              <w:jc w:val="center"/>
              <w:rPr>
                <w:rFonts w:eastAsia="Times New Roman" w:cs="Arial"/>
              </w:rPr>
            </w:pPr>
          </w:p>
        </w:tc>
      </w:tr>
    </w:tbl>
    <w:p w14:paraId="2C5A506E" w14:textId="46F45092" w:rsidR="00E512D0" w:rsidRDefault="00E512D0" w:rsidP="00074885">
      <w:pPr>
        <w:tabs>
          <w:tab w:val="left" w:pos="3450"/>
        </w:tabs>
        <w:rPr>
          <w:rFonts w:eastAsia="Times New Roman" w:cs="Arial"/>
          <w:szCs w:val="24"/>
        </w:rPr>
      </w:pPr>
    </w:p>
    <w:p w14:paraId="25C3C02A" w14:textId="77777777" w:rsidR="00E512D0" w:rsidRDefault="00E512D0">
      <w:pPr>
        <w:spacing w:line="276" w:lineRule="auto"/>
        <w:jc w:val="left"/>
        <w:rPr>
          <w:rFonts w:eastAsia="Times New Roman" w:cs="Arial"/>
          <w:szCs w:val="24"/>
        </w:rPr>
      </w:pPr>
      <w:r>
        <w:rPr>
          <w:rFonts w:eastAsia="Times New Roman" w:cs="Arial"/>
          <w:szCs w:val="24"/>
        </w:rPr>
        <w:br w:type="page"/>
      </w:r>
    </w:p>
    <w:p w14:paraId="7EF381B7" w14:textId="77777777" w:rsidR="00B6013E" w:rsidRDefault="00B6013E" w:rsidP="00F411C8">
      <w:pPr>
        <w:pStyle w:val="Heading2"/>
        <w:sectPr w:rsidR="00B6013E" w:rsidSect="00004733">
          <w:headerReference w:type="default" r:id="rId31"/>
          <w:pgSz w:w="11906" w:h="16838"/>
          <w:pgMar w:top="1440" w:right="1440" w:bottom="1440" w:left="2268" w:header="709" w:footer="709" w:gutter="0"/>
          <w:cols w:space="708"/>
          <w:docGrid w:linePitch="360"/>
        </w:sectPr>
      </w:pPr>
    </w:p>
    <w:p w14:paraId="4E9DD670" w14:textId="1AC2A518" w:rsidR="00F411C8" w:rsidRDefault="004E47A5" w:rsidP="0055551C">
      <w:pPr>
        <w:pStyle w:val="Heading2"/>
      </w:pPr>
      <w:bookmarkStart w:id="265" w:name="_Toc47039893"/>
      <w:commentRangeStart w:id="266"/>
      <w:r w:rsidRPr="007C0175">
        <w:lastRenderedPageBreak/>
        <w:t>Appendix 2N.</w:t>
      </w:r>
      <w:r w:rsidR="007C0175" w:rsidRPr="007C0175">
        <w:t xml:space="preserve"> Details of the content, supervisor and supervisee clusters</w:t>
      </w:r>
      <w:bookmarkEnd w:id="265"/>
    </w:p>
    <w:p w14:paraId="5EF258EE" w14:textId="03D79E25" w:rsidR="007C0175" w:rsidRPr="007C0175" w:rsidRDefault="00F411C8" w:rsidP="0055551C">
      <w:pPr>
        <w:spacing w:line="240" w:lineRule="auto"/>
      </w:pPr>
      <w:r>
        <w:t xml:space="preserve">Table 2N.1 </w:t>
      </w:r>
      <w:r w:rsidR="007C0175">
        <w:t>Content clusters</w:t>
      </w:r>
    </w:p>
    <w:tbl>
      <w:tblPr>
        <w:tblStyle w:val="TableGrid"/>
        <w:tblpPr w:leftFromText="180" w:rightFromText="180" w:vertAnchor="text" w:horzAnchor="margin" w:tblpYSpec="center"/>
        <w:tblW w:w="13215" w:type="dxa"/>
        <w:tblLook w:val="04A0" w:firstRow="1" w:lastRow="0" w:firstColumn="1" w:lastColumn="0" w:noHBand="0" w:noVBand="1"/>
      </w:tblPr>
      <w:tblGrid>
        <w:gridCol w:w="4420"/>
        <w:gridCol w:w="4420"/>
        <w:gridCol w:w="4375"/>
      </w:tblGrid>
      <w:tr w:rsidR="0055551C" w:rsidRPr="00F171F4" w14:paraId="1FF10848" w14:textId="77777777" w:rsidTr="0055551C">
        <w:trPr>
          <w:trHeight w:val="1152"/>
        </w:trPr>
        <w:tc>
          <w:tcPr>
            <w:tcW w:w="4420" w:type="dxa"/>
            <w:tcBorders>
              <w:left w:val="nil"/>
              <w:right w:val="nil"/>
            </w:tcBorders>
          </w:tcPr>
          <w:p w14:paraId="7C8C76D1"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Unfocused</w:t>
            </w:r>
          </w:p>
          <w:p w14:paraId="33B735C0"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16; 30.8%)</w:t>
            </w:r>
          </w:p>
        </w:tc>
        <w:tc>
          <w:tcPr>
            <w:tcW w:w="4420" w:type="dxa"/>
            <w:tcBorders>
              <w:left w:val="nil"/>
              <w:right w:val="nil"/>
            </w:tcBorders>
          </w:tcPr>
          <w:p w14:paraId="1695CA1D"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Fidelity</w:t>
            </w:r>
          </w:p>
          <w:p w14:paraId="0B777954"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19; 36.5%)</w:t>
            </w:r>
          </w:p>
        </w:tc>
        <w:tc>
          <w:tcPr>
            <w:tcW w:w="4375" w:type="dxa"/>
            <w:tcBorders>
              <w:left w:val="nil"/>
              <w:right w:val="nil"/>
            </w:tcBorders>
          </w:tcPr>
          <w:p w14:paraId="0176473D"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Enhanced Fidelity</w:t>
            </w:r>
          </w:p>
          <w:p w14:paraId="319799B8" w14:textId="77777777" w:rsidR="0055551C" w:rsidRPr="0055551C" w:rsidRDefault="0055551C" w:rsidP="0055551C">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17; 32.7%)</w:t>
            </w:r>
          </w:p>
        </w:tc>
      </w:tr>
      <w:tr w:rsidR="0055551C" w:rsidRPr="00F171F4" w14:paraId="279624E1" w14:textId="77777777" w:rsidTr="0055551C">
        <w:trPr>
          <w:trHeight w:val="3149"/>
        </w:trPr>
        <w:tc>
          <w:tcPr>
            <w:tcW w:w="4420" w:type="dxa"/>
            <w:tcBorders>
              <w:left w:val="nil"/>
              <w:right w:val="nil"/>
            </w:tcBorders>
          </w:tcPr>
          <w:p w14:paraId="7CD7685D"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56.2%</w:t>
            </w:r>
            <w:r w:rsidRPr="00F171F4">
              <w:rPr>
                <w:rFonts w:asciiTheme="minorBidi" w:hAnsiTheme="minorBidi"/>
                <w:szCs w:val="24"/>
              </w:rPr>
              <w:t xml:space="preserve"> suggested reporting on therapy sessions</w:t>
            </w:r>
          </w:p>
          <w:p w14:paraId="6ECBB4CD" w14:textId="77777777" w:rsidR="0055551C" w:rsidRPr="00F171F4" w:rsidRDefault="0055551C" w:rsidP="0055551C">
            <w:pPr>
              <w:spacing w:line="276" w:lineRule="auto"/>
              <w:rPr>
                <w:rFonts w:asciiTheme="minorBidi" w:hAnsiTheme="minorBidi"/>
                <w:szCs w:val="24"/>
              </w:rPr>
            </w:pPr>
          </w:p>
        </w:tc>
        <w:tc>
          <w:tcPr>
            <w:tcW w:w="4420" w:type="dxa"/>
            <w:tcBorders>
              <w:left w:val="nil"/>
              <w:right w:val="nil"/>
            </w:tcBorders>
          </w:tcPr>
          <w:p w14:paraId="17E40C32"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w:t>
            </w:r>
            <w:r w:rsidRPr="00F171F4">
              <w:rPr>
                <w:rFonts w:asciiTheme="minorBidi" w:hAnsiTheme="minorBidi"/>
                <w:szCs w:val="24"/>
              </w:rPr>
              <w:t xml:space="preserve"> suggested reporting on therapy sessions</w:t>
            </w:r>
          </w:p>
          <w:p w14:paraId="22B4870C"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w:t>
            </w:r>
            <w:r w:rsidRPr="00F171F4">
              <w:rPr>
                <w:rFonts w:asciiTheme="minorBidi" w:hAnsiTheme="minorBidi"/>
                <w:szCs w:val="24"/>
              </w:rPr>
              <w:t xml:space="preserve"> suggested recording of therapy sessions</w:t>
            </w:r>
          </w:p>
          <w:p w14:paraId="02ADA9A2"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52.6%</w:t>
            </w:r>
            <w:r w:rsidRPr="00F171F4">
              <w:rPr>
                <w:rFonts w:asciiTheme="minorBidi" w:hAnsiTheme="minorBidi"/>
                <w:szCs w:val="24"/>
              </w:rPr>
              <w:t xml:space="preserve"> focus on live supervision</w:t>
            </w:r>
          </w:p>
        </w:tc>
        <w:tc>
          <w:tcPr>
            <w:tcW w:w="4375" w:type="dxa"/>
            <w:tcBorders>
              <w:left w:val="nil"/>
              <w:right w:val="nil"/>
            </w:tcBorders>
          </w:tcPr>
          <w:p w14:paraId="5B517042"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76.5% suggested reporting on</w:t>
            </w:r>
            <w:r w:rsidRPr="00F171F4">
              <w:rPr>
                <w:rFonts w:asciiTheme="minorBidi" w:hAnsiTheme="minorBidi"/>
                <w:szCs w:val="24"/>
              </w:rPr>
              <w:t xml:space="preserve"> therapy sessions</w:t>
            </w:r>
          </w:p>
          <w:p w14:paraId="5E4C8DF6"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88.2% suggested rec</w:t>
            </w:r>
            <w:r w:rsidRPr="00F171F4">
              <w:rPr>
                <w:rFonts w:asciiTheme="minorBidi" w:hAnsiTheme="minorBidi"/>
                <w:szCs w:val="24"/>
              </w:rPr>
              <w:t>or</w:t>
            </w:r>
            <w:r>
              <w:rPr>
                <w:rFonts w:asciiTheme="minorBidi" w:hAnsiTheme="minorBidi"/>
                <w:szCs w:val="24"/>
              </w:rPr>
              <w:t>ding of</w:t>
            </w:r>
            <w:r w:rsidRPr="00F171F4">
              <w:rPr>
                <w:rFonts w:asciiTheme="minorBidi" w:hAnsiTheme="minorBidi"/>
                <w:szCs w:val="24"/>
              </w:rPr>
              <w:t xml:space="preserve"> therapy sessions</w:t>
            </w:r>
          </w:p>
          <w:p w14:paraId="39EEFC1F"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58.8%</w:t>
            </w:r>
            <w:r w:rsidRPr="00F171F4">
              <w:rPr>
                <w:rFonts w:asciiTheme="minorBidi" w:hAnsiTheme="minorBidi"/>
                <w:szCs w:val="24"/>
              </w:rPr>
              <w:t xml:space="preserve"> focus on live supervision</w:t>
            </w:r>
          </w:p>
          <w:p w14:paraId="204AFE5D"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 xml:space="preserve">100% </w:t>
            </w:r>
            <w:r w:rsidRPr="00F171F4">
              <w:rPr>
                <w:rFonts w:asciiTheme="minorBidi" w:hAnsiTheme="minorBidi"/>
                <w:szCs w:val="24"/>
              </w:rPr>
              <w:t>suggested discussion of theories and reading of the literature</w:t>
            </w:r>
          </w:p>
          <w:p w14:paraId="780D0C19" w14:textId="77777777" w:rsidR="0055551C" w:rsidRPr="00F171F4" w:rsidRDefault="0055551C"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88.2%</w:t>
            </w:r>
            <w:r w:rsidRPr="00F171F4">
              <w:rPr>
                <w:rFonts w:asciiTheme="minorBidi" w:hAnsiTheme="minorBidi"/>
                <w:szCs w:val="24"/>
              </w:rPr>
              <w:t xml:space="preserve"> suggested the use of role play</w:t>
            </w:r>
          </w:p>
        </w:tc>
      </w:tr>
    </w:tbl>
    <w:p w14:paraId="483B1D0E" w14:textId="77777777" w:rsidR="00447909" w:rsidRDefault="00447909" w:rsidP="005C7F23">
      <w:pPr>
        <w:sectPr w:rsidR="00447909" w:rsidSect="00447909">
          <w:pgSz w:w="16838" w:h="11906" w:orient="landscape"/>
          <w:pgMar w:top="1440" w:right="1440" w:bottom="2268" w:left="1440" w:header="709" w:footer="709" w:gutter="0"/>
          <w:cols w:space="708"/>
          <w:docGrid w:linePitch="360"/>
        </w:sectPr>
      </w:pPr>
    </w:p>
    <w:p w14:paraId="017A58D4" w14:textId="0D3DA121" w:rsidR="007C0175" w:rsidRDefault="00F411C8" w:rsidP="0055551C">
      <w:pPr>
        <w:spacing w:line="240" w:lineRule="auto"/>
      </w:pPr>
      <w:r>
        <w:lastRenderedPageBreak/>
        <w:t xml:space="preserve">Table 2N.2 </w:t>
      </w:r>
      <w:r w:rsidR="007C0175">
        <w:t>Supervisor clusters</w:t>
      </w:r>
    </w:p>
    <w:tbl>
      <w:tblPr>
        <w:tblStyle w:val="TableGrid"/>
        <w:tblW w:w="13116" w:type="dxa"/>
        <w:tblLook w:val="04A0" w:firstRow="1" w:lastRow="0" w:firstColumn="1" w:lastColumn="0" w:noHBand="0" w:noVBand="1"/>
      </w:tblPr>
      <w:tblGrid>
        <w:gridCol w:w="3279"/>
        <w:gridCol w:w="3279"/>
        <w:gridCol w:w="3279"/>
        <w:gridCol w:w="3279"/>
      </w:tblGrid>
      <w:tr w:rsidR="007C0175" w:rsidRPr="00F171F4" w14:paraId="55C34CAD" w14:textId="77777777" w:rsidTr="0055551C">
        <w:trPr>
          <w:trHeight w:val="1271"/>
        </w:trPr>
        <w:tc>
          <w:tcPr>
            <w:tcW w:w="3279" w:type="dxa"/>
            <w:tcBorders>
              <w:left w:val="nil"/>
              <w:bottom w:val="single" w:sz="4" w:space="0" w:color="auto"/>
              <w:right w:val="nil"/>
            </w:tcBorders>
          </w:tcPr>
          <w:p w14:paraId="129D861F"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Unfocused</w:t>
            </w:r>
          </w:p>
          <w:p w14:paraId="402F05FD"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26; 50%)</w:t>
            </w:r>
          </w:p>
        </w:tc>
        <w:tc>
          <w:tcPr>
            <w:tcW w:w="3279" w:type="dxa"/>
            <w:tcBorders>
              <w:left w:val="nil"/>
              <w:bottom w:val="single" w:sz="4" w:space="0" w:color="auto"/>
              <w:right w:val="nil"/>
            </w:tcBorders>
          </w:tcPr>
          <w:p w14:paraId="670593A0"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Supervisor as an authority figure</w:t>
            </w:r>
          </w:p>
          <w:p w14:paraId="5BFD3D5C"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11; 21.2%)</w:t>
            </w:r>
          </w:p>
        </w:tc>
        <w:tc>
          <w:tcPr>
            <w:tcW w:w="3279" w:type="dxa"/>
            <w:tcBorders>
              <w:left w:val="nil"/>
              <w:bottom w:val="single" w:sz="4" w:space="0" w:color="auto"/>
              <w:right w:val="nil"/>
            </w:tcBorders>
          </w:tcPr>
          <w:p w14:paraId="1D27E344" w14:textId="77777777" w:rsidR="007C0175" w:rsidRPr="0055551C" w:rsidRDefault="007C0175" w:rsidP="00857F64">
            <w:pPr>
              <w:jc w:val="center"/>
              <w:rPr>
                <w:rFonts w:asciiTheme="minorBidi" w:hAnsiTheme="minorBidi"/>
                <w:b/>
                <w:szCs w:val="24"/>
                <w:lang w:val="pt-PT"/>
              </w:rPr>
            </w:pPr>
            <w:r w:rsidRPr="0055551C">
              <w:rPr>
                <w:rFonts w:asciiTheme="minorBidi" w:hAnsiTheme="minorBidi"/>
                <w:b/>
                <w:szCs w:val="24"/>
                <w:lang w:val="pt-PT"/>
              </w:rPr>
              <w:t>Supervisor as a multitasker</w:t>
            </w:r>
          </w:p>
          <w:p w14:paraId="1E467050" w14:textId="77777777" w:rsidR="007C0175" w:rsidRPr="0055551C" w:rsidRDefault="007C0175" w:rsidP="00857F64">
            <w:pPr>
              <w:jc w:val="center"/>
              <w:rPr>
                <w:rFonts w:asciiTheme="minorBidi" w:hAnsiTheme="minorBidi"/>
                <w:b/>
                <w:szCs w:val="24"/>
                <w:lang w:val="pt-PT"/>
              </w:rPr>
            </w:pPr>
            <w:r w:rsidRPr="0055551C">
              <w:rPr>
                <w:rFonts w:asciiTheme="minorBidi" w:hAnsiTheme="minorBidi"/>
                <w:b/>
                <w:szCs w:val="24"/>
                <w:lang w:val="pt-PT"/>
              </w:rPr>
              <w:t>(</w:t>
            </w:r>
            <w:r w:rsidRPr="0055551C">
              <w:rPr>
                <w:rFonts w:asciiTheme="minorBidi" w:hAnsiTheme="minorBidi"/>
                <w:b/>
                <w:i/>
                <w:iCs/>
                <w:szCs w:val="24"/>
                <w:lang w:val="pt-PT"/>
              </w:rPr>
              <w:t>n</w:t>
            </w:r>
            <w:r w:rsidRPr="0055551C">
              <w:rPr>
                <w:rFonts w:asciiTheme="minorBidi" w:hAnsiTheme="minorBidi"/>
                <w:b/>
                <w:szCs w:val="24"/>
                <w:lang w:val="pt-PT"/>
              </w:rPr>
              <w:t xml:space="preserve"> = 9; 17.3%)</w:t>
            </w:r>
          </w:p>
        </w:tc>
        <w:tc>
          <w:tcPr>
            <w:tcW w:w="3279" w:type="dxa"/>
            <w:tcBorders>
              <w:left w:val="nil"/>
              <w:bottom w:val="single" w:sz="4" w:space="0" w:color="auto"/>
              <w:right w:val="nil"/>
            </w:tcBorders>
          </w:tcPr>
          <w:p w14:paraId="0F4F60EB"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Supervisor as an individual</w:t>
            </w:r>
          </w:p>
          <w:p w14:paraId="7345BF28"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6; 11.5%)</w:t>
            </w:r>
          </w:p>
        </w:tc>
      </w:tr>
      <w:tr w:rsidR="007C0175" w:rsidRPr="00F171F4" w14:paraId="3D613706" w14:textId="77777777" w:rsidTr="0055551C">
        <w:trPr>
          <w:trHeight w:val="2445"/>
        </w:trPr>
        <w:tc>
          <w:tcPr>
            <w:tcW w:w="3279" w:type="dxa"/>
            <w:tcBorders>
              <w:top w:val="single" w:sz="4" w:space="0" w:color="auto"/>
              <w:left w:val="nil"/>
              <w:right w:val="nil"/>
            </w:tcBorders>
          </w:tcPr>
          <w:p w14:paraId="40617F76"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Little</w:t>
            </w:r>
            <w:r w:rsidRPr="00F171F4">
              <w:rPr>
                <w:rFonts w:asciiTheme="minorBidi" w:hAnsiTheme="minorBidi"/>
                <w:szCs w:val="24"/>
              </w:rPr>
              <w:t xml:space="preserve"> focus on any element</w:t>
            </w:r>
          </w:p>
        </w:tc>
        <w:tc>
          <w:tcPr>
            <w:tcW w:w="3279" w:type="dxa"/>
            <w:tcBorders>
              <w:top w:val="single" w:sz="4" w:space="0" w:color="auto"/>
              <w:left w:val="nil"/>
              <w:right w:val="nil"/>
            </w:tcBorders>
          </w:tcPr>
          <w:p w14:paraId="776399F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90.9%</w:t>
            </w:r>
            <w:r w:rsidRPr="00F171F4">
              <w:rPr>
                <w:rFonts w:asciiTheme="minorBidi" w:hAnsiTheme="minorBidi"/>
                <w:szCs w:val="24"/>
              </w:rPr>
              <w:t xml:space="preserve"> focus on supervisor is an authority figure/expert</w:t>
            </w:r>
          </w:p>
        </w:tc>
        <w:tc>
          <w:tcPr>
            <w:tcW w:w="3279" w:type="dxa"/>
            <w:tcBorders>
              <w:top w:val="single" w:sz="4" w:space="0" w:color="auto"/>
              <w:left w:val="nil"/>
              <w:right w:val="nil"/>
            </w:tcBorders>
          </w:tcPr>
          <w:p w14:paraId="4315CF13"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w:t>
            </w:r>
            <w:r w:rsidRPr="00F171F4">
              <w:rPr>
                <w:rFonts w:asciiTheme="minorBidi" w:hAnsiTheme="minorBidi"/>
                <w:szCs w:val="24"/>
              </w:rPr>
              <w:t xml:space="preserve"> focus on supervisor taking on a variety of roles</w:t>
            </w:r>
          </w:p>
        </w:tc>
        <w:tc>
          <w:tcPr>
            <w:tcW w:w="3279" w:type="dxa"/>
            <w:tcBorders>
              <w:top w:val="single" w:sz="4" w:space="0" w:color="auto"/>
              <w:left w:val="nil"/>
              <w:right w:val="nil"/>
            </w:tcBorders>
          </w:tcPr>
          <w:p w14:paraId="36B5F6FA"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83.3%</w:t>
            </w:r>
            <w:r w:rsidRPr="00F171F4">
              <w:rPr>
                <w:rFonts w:asciiTheme="minorBidi" w:hAnsiTheme="minorBidi"/>
                <w:szCs w:val="24"/>
              </w:rPr>
              <w:t xml:space="preserve"> focus on supervisor is an authority figure/expert</w:t>
            </w:r>
          </w:p>
          <w:p w14:paraId="7DD09DF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 discuss</w:t>
            </w:r>
            <w:r w:rsidRPr="00F171F4">
              <w:rPr>
                <w:rFonts w:asciiTheme="minorBidi" w:hAnsiTheme="minorBidi"/>
                <w:szCs w:val="24"/>
              </w:rPr>
              <w:t xml:space="preserve"> supervisor’s culture</w:t>
            </w:r>
          </w:p>
          <w:p w14:paraId="474857E8"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 discuss</w:t>
            </w:r>
            <w:r w:rsidRPr="00F171F4">
              <w:rPr>
                <w:rFonts w:asciiTheme="minorBidi" w:hAnsiTheme="minorBidi"/>
                <w:szCs w:val="24"/>
              </w:rPr>
              <w:t xml:space="preserve"> supervisor’s gender</w:t>
            </w:r>
          </w:p>
        </w:tc>
      </w:tr>
    </w:tbl>
    <w:p w14:paraId="5B1BF275" w14:textId="77777777" w:rsidR="00B6013E" w:rsidRDefault="00B6013E" w:rsidP="0055551C"/>
    <w:p w14:paraId="47366B8F" w14:textId="77777777" w:rsidR="00B6013E" w:rsidRDefault="00B6013E" w:rsidP="0055551C"/>
    <w:p w14:paraId="3CDA3662" w14:textId="77777777" w:rsidR="00B6013E" w:rsidRDefault="00B6013E" w:rsidP="0055551C"/>
    <w:p w14:paraId="3E0740D8" w14:textId="77777777" w:rsidR="00B6013E" w:rsidRDefault="00B6013E" w:rsidP="0055551C"/>
    <w:p w14:paraId="48822DFC" w14:textId="77777777" w:rsidR="00B6013E" w:rsidRDefault="00B6013E" w:rsidP="0055551C"/>
    <w:p w14:paraId="4CA95AE1" w14:textId="77777777" w:rsidR="00447909" w:rsidRDefault="00447909" w:rsidP="0055551C">
      <w:pPr>
        <w:spacing w:line="240" w:lineRule="auto"/>
        <w:sectPr w:rsidR="00447909" w:rsidSect="004C54F0">
          <w:pgSz w:w="16838" w:h="11906" w:orient="landscape"/>
          <w:pgMar w:top="2268" w:right="1440" w:bottom="1440" w:left="1440" w:header="709" w:footer="709" w:gutter="0"/>
          <w:cols w:space="708"/>
          <w:docGrid w:linePitch="360"/>
        </w:sectPr>
      </w:pPr>
    </w:p>
    <w:p w14:paraId="404452C2" w14:textId="500AE2BD" w:rsidR="007C0175" w:rsidRDefault="00F411C8" w:rsidP="0055551C">
      <w:pPr>
        <w:spacing w:line="240" w:lineRule="auto"/>
      </w:pPr>
      <w:r>
        <w:lastRenderedPageBreak/>
        <w:t xml:space="preserve">Table 2N.3 </w:t>
      </w:r>
      <w:r w:rsidR="007C0175">
        <w:t>Supervisee clusters</w:t>
      </w:r>
    </w:p>
    <w:tbl>
      <w:tblPr>
        <w:tblStyle w:val="TableGrid"/>
        <w:tblW w:w="13087" w:type="dxa"/>
        <w:tblLook w:val="04A0" w:firstRow="1" w:lastRow="0" w:firstColumn="1" w:lastColumn="0" w:noHBand="0" w:noVBand="1"/>
      </w:tblPr>
      <w:tblGrid>
        <w:gridCol w:w="4377"/>
        <w:gridCol w:w="4377"/>
        <w:gridCol w:w="4333"/>
      </w:tblGrid>
      <w:tr w:rsidR="007C0175" w:rsidRPr="00F171F4" w14:paraId="2F299261" w14:textId="77777777" w:rsidTr="0055551C">
        <w:trPr>
          <w:trHeight w:val="1626"/>
        </w:trPr>
        <w:tc>
          <w:tcPr>
            <w:tcW w:w="4377" w:type="dxa"/>
            <w:tcBorders>
              <w:left w:val="nil"/>
              <w:right w:val="nil"/>
            </w:tcBorders>
          </w:tcPr>
          <w:p w14:paraId="30E74805"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Unfocused</w:t>
            </w:r>
          </w:p>
          <w:p w14:paraId="33C2B42B"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20; 38.5%)</w:t>
            </w:r>
          </w:p>
        </w:tc>
        <w:tc>
          <w:tcPr>
            <w:tcW w:w="4377" w:type="dxa"/>
            <w:tcBorders>
              <w:left w:val="nil"/>
              <w:right w:val="nil"/>
            </w:tcBorders>
          </w:tcPr>
          <w:p w14:paraId="4F86B2FB"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Supervisee as an individual</w:t>
            </w:r>
          </w:p>
          <w:p w14:paraId="7D8D2D75"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20; 38.5%)</w:t>
            </w:r>
          </w:p>
        </w:tc>
        <w:tc>
          <w:tcPr>
            <w:tcW w:w="4333" w:type="dxa"/>
            <w:tcBorders>
              <w:left w:val="nil"/>
              <w:right w:val="nil"/>
            </w:tcBorders>
          </w:tcPr>
          <w:p w14:paraId="2C15DF63"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Supervisee as an individual in context</w:t>
            </w:r>
          </w:p>
          <w:p w14:paraId="5E27926F" w14:textId="77777777" w:rsidR="007C0175" w:rsidRPr="0055551C" w:rsidRDefault="007C0175" w:rsidP="00857F64">
            <w:pPr>
              <w:jc w:val="center"/>
              <w:rPr>
                <w:rFonts w:asciiTheme="minorBidi" w:hAnsiTheme="minorBidi"/>
                <w:b/>
                <w:szCs w:val="24"/>
              </w:rPr>
            </w:pPr>
            <w:r w:rsidRPr="0055551C">
              <w:rPr>
                <w:rFonts w:asciiTheme="minorBidi" w:hAnsiTheme="minorBidi"/>
                <w:b/>
                <w:szCs w:val="24"/>
              </w:rPr>
              <w:t>(</w:t>
            </w:r>
            <w:r w:rsidRPr="0055551C">
              <w:rPr>
                <w:rFonts w:asciiTheme="minorBidi" w:hAnsiTheme="minorBidi"/>
                <w:b/>
                <w:i/>
                <w:iCs/>
                <w:szCs w:val="24"/>
              </w:rPr>
              <w:t>n</w:t>
            </w:r>
            <w:r w:rsidRPr="0055551C">
              <w:rPr>
                <w:rFonts w:asciiTheme="minorBidi" w:hAnsiTheme="minorBidi"/>
                <w:b/>
                <w:szCs w:val="24"/>
              </w:rPr>
              <w:t xml:space="preserve"> = 12; 23.1%)</w:t>
            </w:r>
          </w:p>
        </w:tc>
      </w:tr>
      <w:tr w:rsidR="007C0175" w:rsidRPr="00F171F4" w14:paraId="27F0DAE4" w14:textId="77777777" w:rsidTr="0055551C">
        <w:trPr>
          <w:trHeight w:val="3125"/>
        </w:trPr>
        <w:tc>
          <w:tcPr>
            <w:tcW w:w="4377" w:type="dxa"/>
            <w:tcBorders>
              <w:left w:val="nil"/>
              <w:right w:val="nil"/>
            </w:tcBorders>
          </w:tcPr>
          <w:p w14:paraId="68E155D9"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Little</w:t>
            </w:r>
            <w:r w:rsidRPr="00F171F4">
              <w:rPr>
                <w:rFonts w:asciiTheme="minorBidi" w:hAnsiTheme="minorBidi"/>
                <w:szCs w:val="24"/>
              </w:rPr>
              <w:t xml:space="preserve"> focus on any element</w:t>
            </w:r>
          </w:p>
        </w:tc>
        <w:tc>
          <w:tcPr>
            <w:tcW w:w="4377" w:type="dxa"/>
            <w:tcBorders>
              <w:left w:val="nil"/>
              <w:right w:val="nil"/>
            </w:tcBorders>
          </w:tcPr>
          <w:p w14:paraId="27A75208"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w:t>
            </w:r>
            <w:r w:rsidRPr="00F171F4">
              <w:rPr>
                <w:rFonts w:asciiTheme="minorBidi" w:hAnsiTheme="minorBidi"/>
                <w:szCs w:val="24"/>
              </w:rPr>
              <w:t xml:space="preserve"> focus on supervisee development</w:t>
            </w:r>
          </w:p>
          <w:p w14:paraId="5902BB78" w14:textId="77777777" w:rsidR="007C0175"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55% discuss</w:t>
            </w:r>
            <w:r w:rsidRPr="00F171F4">
              <w:rPr>
                <w:rFonts w:asciiTheme="minorBidi" w:hAnsiTheme="minorBidi"/>
                <w:szCs w:val="24"/>
              </w:rPr>
              <w:t xml:space="preserve"> supervisee anxi</w:t>
            </w:r>
            <w:r>
              <w:rPr>
                <w:rFonts w:asciiTheme="minorBidi" w:hAnsiTheme="minorBidi"/>
                <w:szCs w:val="24"/>
              </w:rPr>
              <w:t>ety</w:t>
            </w:r>
          </w:p>
          <w:p w14:paraId="58DEDE2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 xml:space="preserve">45% discuss </w:t>
            </w:r>
            <w:r w:rsidRPr="00F171F4">
              <w:rPr>
                <w:rFonts w:asciiTheme="minorBidi" w:hAnsiTheme="minorBidi"/>
                <w:szCs w:val="24"/>
              </w:rPr>
              <w:t>supervisee autonomy vs. dependency</w:t>
            </w:r>
          </w:p>
          <w:p w14:paraId="78FC9BA2" w14:textId="77777777" w:rsidR="007C0175" w:rsidRPr="00F171F4" w:rsidRDefault="007C0175" w:rsidP="0055551C">
            <w:pPr>
              <w:pStyle w:val="ListParagraph"/>
              <w:spacing w:line="276" w:lineRule="auto"/>
              <w:ind w:left="397"/>
              <w:rPr>
                <w:rFonts w:asciiTheme="minorBidi" w:hAnsiTheme="minorBidi"/>
                <w:szCs w:val="24"/>
              </w:rPr>
            </w:pPr>
          </w:p>
        </w:tc>
        <w:tc>
          <w:tcPr>
            <w:tcW w:w="4333" w:type="dxa"/>
            <w:tcBorders>
              <w:left w:val="nil"/>
              <w:right w:val="nil"/>
            </w:tcBorders>
          </w:tcPr>
          <w:p w14:paraId="0DEB9B87"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75%</w:t>
            </w:r>
            <w:r w:rsidRPr="00F171F4">
              <w:rPr>
                <w:rFonts w:asciiTheme="minorBidi" w:hAnsiTheme="minorBidi"/>
                <w:szCs w:val="24"/>
              </w:rPr>
              <w:t xml:space="preserve"> focus on supervisee development</w:t>
            </w:r>
          </w:p>
          <w:p w14:paraId="22BA3F5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50%</w:t>
            </w:r>
            <w:r w:rsidRPr="00F171F4">
              <w:rPr>
                <w:rFonts w:asciiTheme="minorBidi" w:hAnsiTheme="minorBidi"/>
                <w:szCs w:val="24"/>
              </w:rPr>
              <w:t xml:space="preserve"> d</w:t>
            </w:r>
            <w:r>
              <w:rPr>
                <w:rFonts w:asciiTheme="minorBidi" w:hAnsiTheme="minorBidi"/>
                <w:szCs w:val="24"/>
              </w:rPr>
              <w:t>iscuss supervisee anxiety</w:t>
            </w:r>
          </w:p>
          <w:p w14:paraId="5E1BE5E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 discuss supervisee</w:t>
            </w:r>
            <w:r w:rsidRPr="00F171F4">
              <w:rPr>
                <w:rFonts w:asciiTheme="minorBidi" w:hAnsiTheme="minorBidi"/>
                <w:szCs w:val="24"/>
              </w:rPr>
              <w:t xml:space="preserve"> culture</w:t>
            </w:r>
          </w:p>
          <w:p w14:paraId="6F4EF8AC"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100% discuss supervisee</w:t>
            </w:r>
            <w:r w:rsidRPr="00F171F4">
              <w:rPr>
                <w:rFonts w:asciiTheme="minorBidi" w:hAnsiTheme="minorBidi"/>
                <w:szCs w:val="24"/>
              </w:rPr>
              <w:t xml:space="preserve"> gender</w:t>
            </w:r>
          </w:p>
          <w:p w14:paraId="43A6DC10"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58.3%</w:t>
            </w:r>
            <w:r w:rsidRPr="00F171F4">
              <w:rPr>
                <w:rFonts w:asciiTheme="minorBidi" w:hAnsiTheme="minorBidi"/>
                <w:szCs w:val="24"/>
              </w:rPr>
              <w:t xml:space="preserve"> discuss</w:t>
            </w:r>
            <w:r>
              <w:rPr>
                <w:rFonts w:asciiTheme="minorBidi" w:hAnsiTheme="minorBidi"/>
                <w:szCs w:val="24"/>
              </w:rPr>
              <w:t xml:space="preserve"> </w:t>
            </w:r>
            <w:r w:rsidRPr="00F171F4">
              <w:rPr>
                <w:rFonts w:asciiTheme="minorBidi" w:hAnsiTheme="minorBidi"/>
                <w:szCs w:val="24"/>
              </w:rPr>
              <w:t>supervisee awareness of self and/or others</w:t>
            </w:r>
          </w:p>
          <w:p w14:paraId="73553C22" w14:textId="77777777" w:rsidR="007C0175" w:rsidRPr="00F171F4" w:rsidRDefault="007C0175" w:rsidP="0055551C">
            <w:pPr>
              <w:pStyle w:val="ListParagraph"/>
              <w:numPr>
                <w:ilvl w:val="0"/>
                <w:numId w:val="77"/>
              </w:numPr>
              <w:spacing w:after="0" w:line="276" w:lineRule="auto"/>
              <w:jc w:val="left"/>
              <w:rPr>
                <w:rFonts w:asciiTheme="minorBidi" w:hAnsiTheme="minorBidi"/>
                <w:szCs w:val="24"/>
              </w:rPr>
            </w:pPr>
            <w:r>
              <w:rPr>
                <w:rFonts w:asciiTheme="minorBidi" w:hAnsiTheme="minorBidi"/>
                <w:szCs w:val="24"/>
              </w:rPr>
              <w:t xml:space="preserve">41.7% discuss </w:t>
            </w:r>
            <w:r w:rsidRPr="00F171F4">
              <w:rPr>
                <w:rFonts w:asciiTheme="minorBidi" w:hAnsiTheme="minorBidi"/>
                <w:szCs w:val="24"/>
              </w:rPr>
              <w:t>supervisee’s own learning styles</w:t>
            </w:r>
          </w:p>
        </w:tc>
      </w:tr>
    </w:tbl>
    <w:commentRangeEnd w:id="266"/>
    <w:p w14:paraId="4419E9A2" w14:textId="77777777" w:rsidR="00447909" w:rsidRDefault="004D1109" w:rsidP="0055551C">
      <w:pPr>
        <w:tabs>
          <w:tab w:val="left" w:pos="1875"/>
        </w:tabs>
        <w:sectPr w:rsidR="00447909" w:rsidSect="00447909">
          <w:pgSz w:w="16838" w:h="11906" w:orient="landscape"/>
          <w:pgMar w:top="1440" w:right="1440" w:bottom="2268" w:left="1440" w:header="709" w:footer="709" w:gutter="0"/>
          <w:cols w:space="708"/>
          <w:docGrid w:linePitch="360"/>
        </w:sectPr>
      </w:pPr>
      <w:r>
        <w:rPr>
          <w:rStyle w:val="CommentReference"/>
          <w:rFonts w:eastAsiaTheme="minorHAnsi"/>
          <w:lang w:eastAsia="en-US"/>
        </w:rPr>
        <w:commentReference w:id="266"/>
      </w:r>
    </w:p>
    <w:p w14:paraId="3713CAE6" w14:textId="2D318E52" w:rsidR="009755A4" w:rsidRPr="0055551C" w:rsidRDefault="009755A4" w:rsidP="00447909">
      <w:pPr>
        <w:pStyle w:val="Heading2"/>
        <w:numPr>
          <w:ilvl w:val="0"/>
          <w:numId w:val="0"/>
        </w:numPr>
        <w:rPr>
          <w:lang w:eastAsia="en-US"/>
        </w:rPr>
      </w:pPr>
      <w:bookmarkStart w:id="267" w:name="_Toc47039894"/>
      <w:bookmarkStart w:id="268" w:name="_Toc23881312"/>
      <w:bookmarkStart w:id="269" w:name="_Toc24548603"/>
      <w:bookmarkStart w:id="270" w:name="_Toc24548706"/>
      <w:bookmarkEnd w:id="56"/>
      <w:commentRangeStart w:id="271"/>
      <w:r w:rsidRPr="009755A4">
        <w:rPr>
          <w:lang w:eastAsia="en-US"/>
        </w:rPr>
        <w:lastRenderedPageBreak/>
        <w:t>Appendix 3</w:t>
      </w:r>
      <w:r w:rsidRPr="0055551C">
        <w:rPr>
          <w:lang w:eastAsia="en-US"/>
        </w:rPr>
        <w:t xml:space="preserve">A. Downs and Black Checklist for measuring study quality </w:t>
      </w:r>
      <w:r w:rsidR="00E22872">
        <w:rPr>
          <w:lang w:eastAsia="en-US"/>
        </w:rPr>
        <w:t>(adapted from Downs and Black, 1998).</w:t>
      </w:r>
      <w:bookmarkEnd w:id="267"/>
    </w:p>
    <w:p w14:paraId="0D5B9DF8" w14:textId="77777777" w:rsidR="009755A4" w:rsidRDefault="009755A4" w:rsidP="0055551C">
      <w:pPr>
        <w:pStyle w:val="Heading3"/>
      </w:pPr>
      <w:r>
        <w:t xml:space="preserve">Reporting </w:t>
      </w:r>
    </w:p>
    <w:p w14:paraId="0EC7E05B" w14:textId="1C0E0CB5" w:rsidR="009755A4" w:rsidRDefault="009755A4" w:rsidP="009755A4">
      <w:r>
        <w:t xml:space="preserve">1. Is the hypothesis/aim/objective of the study clearly described? </w:t>
      </w:r>
    </w:p>
    <w:p w14:paraId="39B4D9A0" w14:textId="07061C6E" w:rsidR="007E67BA" w:rsidRDefault="007E67BA" w:rsidP="009755A4">
      <w:r>
        <w:t>Yes = 1, no = 0</w:t>
      </w:r>
    </w:p>
    <w:p w14:paraId="24F6AB72" w14:textId="3013D718" w:rsidR="009755A4" w:rsidRDefault="009755A4" w:rsidP="009755A4">
      <w:r>
        <w:t xml:space="preserve">2. Are the main outcomes to be measured clearly described in the Introduction or Methods section? If the main outcomes are first mentioned in the Results section, the question should be answered no. </w:t>
      </w:r>
    </w:p>
    <w:p w14:paraId="042F75BC" w14:textId="410DA6A4" w:rsidR="007E67BA" w:rsidRDefault="007E67BA" w:rsidP="009755A4">
      <w:r>
        <w:t>Yes = 1, no = 0</w:t>
      </w:r>
    </w:p>
    <w:p w14:paraId="1CCECBA0" w14:textId="48FBE56D" w:rsidR="009755A4" w:rsidRDefault="009755A4" w:rsidP="009755A4">
      <w:pPr>
        <w:rPr>
          <w:i/>
        </w:rPr>
      </w:pPr>
      <w:r>
        <w:t xml:space="preserve">3. Are the characteristics of the patients included in the study clearly described? </w:t>
      </w:r>
      <w:r w:rsidRPr="0055551C">
        <w:rPr>
          <w:i/>
        </w:rPr>
        <w:t xml:space="preserve">In cohort studies and trials, inclusion and/or exclusion criteria should be given. In case-control studies, a case-definition and the source for controls should be given. </w:t>
      </w:r>
    </w:p>
    <w:p w14:paraId="029D6815" w14:textId="6BC56A01" w:rsidR="007E67BA" w:rsidRPr="009755A4" w:rsidRDefault="007E67BA" w:rsidP="009755A4">
      <w:r>
        <w:t>Yes = 1, no = 0</w:t>
      </w:r>
    </w:p>
    <w:p w14:paraId="29D3F0F0" w14:textId="6F71B2F7" w:rsidR="009755A4" w:rsidRDefault="009755A4" w:rsidP="009755A4">
      <w:pPr>
        <w:rPr>
          <w:i/>
        </w:rPr>
      </w:pPr>
      <w:r>
        <w:t xml:space="preserve">4. Are the interventions of interest clearly described? </w:t>
      </w:r>
      <w:r w:rsidRPr="0055551C">
        <w:rPr>
          <w:i/>
        </w:rPr>
        <w:t xml:space="preserve">Treatments and placebo (where relevant) that are to be compared should be clearly described. </w:t>
      </w:r>
    </w:p>
    <w:p w14:paraId="77EB9068" w14:textId="7E76F840" w:rsidR="007E67BA" w:rsidRPr="007E67BA" w:rsidRDefault="007E67BA" w:rsidP="009755A4">
      <w:r>
        <w:t>Yes = 1, no = 0</w:t>
      </w:r>
    </w:p>
    <w:p w14:paraId="42CEDFAF" w14:textId="2FB1B5F4" w:rsidR="009755A4" w:rsidRDefault="009755A4" w:rsidP="009755A4">
      <w:r>
        <w:t xml:space="preserve">5. Are the distributions of principal confounders in each group of subjects to be compared clearly described? </w:t>
      </w:r>
    </w:p>
    <w:p w14:paraId="4F9E16A6" w14:textId="75E06893" w:rsidR="007E67BA" w:rsidRDefault="007E67BA" w:rsidP="009755A4">
      <w:r>
        <w:t>Yes = 2, partially = 1, no = 0</w:t>
      </w:r>
    </w:p>
    <w:p w14:paraId="4E234E81" w14:textId="43E1CB82" w:rsidR="009755A4" w:rsidRDefault="009755A4" w:rsidP="009755A4">
      <w:r>
        <w:lastRenderedPageBreak/>
        <w:t xml:space="preserve">6. Are the main findings of the study clearly described? </w:t>
      </w:r>
      <w:r w:rsidRPr="0055551C">
        <w:rPr>
          <w:i/>
        </w:rPr>
        <w:t>Simple outcome data (including denominators and numerators) should be reported for all major findings so that the reader can check the major analyses and conclusions. (This question does not cover statistical tests which are considered below).</w:t>
      </w:r>
      <w:r>
        <w:t xml:space="preserve"> </w:t>
      </w:r>
    </w:p>
    <w:p w14:paraId="48491C02" w14:textId="7BA9F48E" w:rsidR="007E67BA" w:rsidRDefault="007E67BA" w:rsidP="009755A4">
      <w:r>
        <w:t>Yes = 1, no = 0</w:t>
      </w:r>
    </w:p>
    <w:p w14:paraId="5BC0BF1E" w14:textId="59174B6B" w:rsidR="009755A4" w:rsidRDefault="009755A4" w:rsidP="009755A4">
      <w:pPr>
        <w:rPr>
          <w:i/>
        </w:rPr>
      </w:pPr>
      <w:r>
        <w:t xml:space="preserve">7. Does the study provide estimates of the random variability in the data for the main outcomes? </w:t>
      </w:r>
      <w:r w:rsidRPr="0055551C">
        <w:rPr>
          <w:i/>
        </w:rPr>
        <w:t>In non 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 should be answered yes.</w:t>
      </w:r>
    </w:p>
    <w:p w14:paraId="6DB5223B" w14:textId="0CC7E507" w:rsidR="007E67BA" w:rsidRPr="007E67BA" w:rsidRDefault="007E67BA" w:rsidP="009755A4">
      <w:r>
        <w:t>Yes = 1, no = 0</w:t>
      </w:r>
    </w:p>
    <w:p w14:paraId="0C70CD33" w14:textId="7029DF1D" w:rsidR="009755A4" w:rsidRDefault="009755A4" w:rsidP="009755A4">
      <w:pPr>
        <w:rPr>
          <w:i/>
        </w:rPr>
      </w:pPr>
      <w:r>
        <w:t xml:space="preserve">8. Have all important adverse events that may be a consequence of the intervention been reported? </w:t>
      </w:r>
      <w:r w:rsidRPr="0055551C">
        <w:rPr>
          <w:i/>
        </w:rPr>
        <w:t xml:space="preserve">This should be answered yes if the study demonstrates that there was a comprehensive attempt to measure adverse events. </w:t>
      </w:r>
    </w:p>
    <w:p w14:paraId="11614D0E" w14:textId="63CFD135" w:rsidR="007E67BA" w:rsidRDefault="007E67BA" w:rsidP="009755A4">
      <w:r>
        <w:t>Yes = 1, no = 0</w:t>
      </w:r>
    </w:p>
    <w:p w14:paraId="5E7CD533" w14:textId="05D8B84F" w:rsidR="009755A4" w:rsidRDefault="009755A4" w:rsidP="009755A4">
      <w:pPr>
        <w:rPr>
          <w:i/>
        </w:rPr>
      </w:pPr>
      <w:r>
        <w:t xml:space="preserve">9. Have the characteristics of patients lost to follow-up been described? </w:t>
      </w:r>
      <w:r w:rsidRPr="0055551C">
        <w:rPr>
          <w:i/>
        </w:rPr>
        <w:t>This should be answered yes where there were no losses to follow-up or where losses to follow-up were so s</w:t>
      </w:r>
      <w:r w:rsidRPr="009755A4">
        <w:rPr>
          <w:i/>
        </w:rPr>
        <w:t>mall that findings would be unaff</w:t>
      </w:r>
      <w:r w:rsidRPr="0055551C">
        <w:rPr>
          <w:i/>
        </w:rPr>
        <w:t xml:space="preserve">ected by their inclusion. This should be answered no where a study does not report the number of patients lost to follow-up. </w:t>
      </w:r>
    </w:p>
    <w:p w14:paraId="66236758" w14:textId="570F8938" w:rsidR="007E67BA" w:rsidRPr="007E67BA" w:rsidRDefault="007E67BA" w:rsidP="009755A4">
      <w:r>
        <w:t>Yes = 1, no = 0</w:t>
      </w:r>
    </w:p>
    <w:p w14:paraId="760BDDCA" w14:textId="103953D4" w:rsidR="009755A4" w:rsidRDefault="009755A4" w:rsidP="009755A4">
      <w:r>
        <w:lastRenderedPageBreak/>
        <w:t>10. Have actual probability values been reported (e.g. 0.035 rather than&lt;0.05) for the main outcomes except where the probability value is less than 0.001?</w:t>
      </w:r>
    </w:p>
    <w:p w14:paraId="0251B394" w14:textId="329ED971" w:rsidR="007E67BA" w:rsidRDefault="007E67BA" w:rsidP="009755A4">
      <w:r>
        <w:t>Yes = 1, no = 0</w:t>
      </w:r>
    </w:p>
    <w:p w14:paraId="40488D89" w14:textId="77777777" w:rsidR="009755A4" w:rsidRDefault="009755A4" w:rsidP="0055551C">
      <w:pPr>
        <w:pStyle w:val="Heading3"/>
      </w:pPr>
      <w:r>
        <w:t>External validity</w:t>
      </w:r>
    </w:p>
    <w:p w14:paraId="3A6AA40D" w14:textId="77777777" w:rsidR="009755A4" w:rsidRDefault="009755A4" w:rsidP="009755A4">
      <w:r>
        <w:t>All the following criteria attempt to address the representativeness of the findings of the study and whether they may be generalised to the population from which the study subjects were derived.</w:t>
      </w:r>
    </w:p>
    <w:p w14:paraId="14B93B96" w14:textId="42318CF4" w:rsidR="009755A4" w:rsidRDefault="009755A4" w:rsidP="009755A4">
      <w:pPr>
        <w:rPr>
          <w:i/>
        </w:rPr>
      </w:pPr>
      <w:r>
        <w:t xml:space="preserve">11. Were the subjects asked to participate in the study representative of the entire population from which they were recruited? </w:t>
      </w:r>
      <w:r w:rsidRPr="0055551C">
        <w:rPr>
          <w:i/>
        </w:rPr>
        <w:t xml:space="preserve">The study must identify the source population for patients and describe how the patients were selected. Patients would be representative if they comprised the entire source population, an unselected sample of consecutive patients, or a random sample. Random sampling is only feasible where a list of all members of the relevant population exists. Where a study does not report the proportion of the source population from which the patients are derived, the question should be answered as unable to determine. </w:t>
      </w:r>
    </w:p>
    <w:p w14:paraId="01F94BBB" w14:textId="2CC0A387" w:rsidR="007E67BA" w:rsidRPr="007E67BA" w:rsidRDefault="007E67BA" w:rsidP="009755A4">
      <w:r>
        <w:t>Yes = 1, no = 0, unable to determine = 0</w:t>
      </w:r>
    </w:p>
    <w:p w14:paraId="212F9A33" w14:textId="7DB286FD" w:rsidR="009755A4" w:rsidRDefault="009755A4" w:rsidP="009755A4">
      <w:pPr>
        <w:rPr>
          <w:i/>
        </w:rPr>
      </w:pPr>
      <w:r>
        <w:t>12. Were those subjects who were prepared to participate representative of the entire population from which they were recruite</w:t>
      </w:r>
      <w:r w:rsidRPr="009755A4">
        <w:t>d?</w:t>
      </w:r>
      <w:r w:rsidRPr="0055551C">
        <w:rPr>
          <w:i/>
        </w:rPr>
        <w:t xml:space="preserve"> The proportion of those asked who agreed should be stated. Validation that the sample was representative would include demonstrating that the distribution of the main confounding factors was the same in the study sample and the source population. </w:t>
      </w:r>
    </w:p>
    <w:p w14:paraId="44F1A467" w14:textId="42ED65F1" w:rsidR="007E67BA" w:rsidRPr="007E67BA" w:rsidRDefault="007E67BA" w:rsidP="009755A4">
      <w:r>
        <w:lastRenderedPageBreak/>
        <w:t>Yes = 1, no = 0, unable to determine = 0</w:t>
      </w:r>
    </w:p>
    <w:p w14:paraId="3A3B4C8D" w14:textId="25C2BA94" w:rsidR="009755A4" w:rsidRDefault="009755A4" w:rsidP="009755A4">
      <w:pPr>
        <w:rPr>
          <w:i/>
        </w:rPr>
      </w:pPr>
      <w:r>
        <w:t xml:space="preserve">13. Were the staff, places, and facilities where the patients were treated, representative of the treatment the majority of patients receive? </w:t>
      </w:r>
      <w:r w:rsidRPr="0055551C">
        <w:rPr>
          <w:i/>
        </w:rPr>
        <w:t xml:space="preserve">For the question to be answered yes the study should demonstrate that the intervention was representative of that in use in the source population. The question should be answered no if, for example, the intervention was undertaken in a specialist centre unrepresentative of the hospitals most of the source population would attend. </w:t>
      </w:r>
    </w:p>
    <w:p w14:paraId="3A7C7989" w14:textId="37C8C570" w:rsidR="00E22872" w:rsidRPr="00E22872" w:rsidRDefault="00E22872" w:rsidP="009755A4">
      <w:r>
        <w:t>Yes = 1, no = 0, unable to determine = 0</w:t>
      </w:r>
    </w:p>
    <w:p w14:paraId="0FF495A4" w14:textId="77777777" w:rsidR="009755A4" w:rsidRDefault="009755A4" w:rsidP="0055551C">
      <w:pPr>
        <w:pStyle w:val="Heading3"/>
      </w:pPr>
      <w:r>
        <w:t xml:space="preserve">Internal validity - bias </w:t>
      </w:r>
    </w:p>
    <w:p w14:paraId="351D74F1" w14:textId="04EF1987" w:rsidR="009755A4" w:rsidRDefault="009755A4" w:rsidP="009755A4">
      <w:pPr>
        <w:rPr>
          <w:i/>
        </w:rPr>
      </w:pPr>
      <w:r>
        <w:t xml:space="preserve">14. Was an attempt made to blind study subjects to the </w:t>
      </w:r>
      <w:r w:rsidR="00C44FE0">
        <w:t>intervention they have received</w:t>
      </w:r>
      <w:r>
        <w:t xml:space="preserve">? </w:t>
      </w:r>
      <w:r w:rsidRPr="0055551C">
        <w:rPr>
          <w:i/>
        </w:rPr>
        <w:t xml:space="preserve">For studies where the patients would have no way of knowing which intervention they received, this should be answered yes. </w:t>
      </w:r>
    </w:p>
    <w:p w14:paraId="45E8EA19" w14:textId="6C0A72ED" w:rsidR="00E22872" w:rsidRPr="00E22872" w:rsidRDefault="00E22872" w:rsidP="009755A4">
      <w:r>
        <w:t>Yes = 1, no = 0, unable to determine = 0</w:t>
      </w:r>
    </w:p>
    <w:p w14:paraId="461C1C84" w14:textId="01E907DC" w:rsidR="009755A4" w:rsidRDefault="009755A4" w:rsidP="009755A4">
      <w:r>
        <w:t>15. Was an attempt made to blind those measuring the main outcomes of the intervention?</w:t>
      </w:r>
    </w:p>
    <w:p w14:paraId="63DF3D37" w14:textId="10A449FB" w:rsidR="00E22872" w:rsidRDefault="00E22872" w:rsidP="009755A4">
      <w:r>
        <w:t>Yes = 1, no = 0, unable to determine = 0</w:t>
      </w:r>
    </w:p>
    <w:p w14:paraId="3F7EBB0F" w14:textId="0877814A" w:rsidR="009755A4" w:rsidRDefault="009755A4" w:rsidP="009755A4">
      <w:r>
        <w:t xml:space="preserve">16. If any of the results of the study were based on “data dredging”, was this made clear? </w:t>
      </w:r>
      <w:r w:rsidRPr="0055551C">
        <w:rPr>
          <w:i/>
        </w:rPr>
        <w:t>Any analyses that had not been planned at the outset of the study should be clearly indicated. If no retrospective unplanned subgroup analyses were reported, then answer yes.</w:t>
      </w:r>
      <w:r>
        <w:t xml:space="preserve"> </w:t>
      </w:r>
    </w:p>
    <w:p w14:paraId="6BA7A5A2" w14:textId="125F8F71" w:rsidR="00E22872" w:rsidRDefault="00E22872" w:rsidP="009755A4">
      <w:r>
        <w:t>Yes = 1, no = 0, unable to determine = 0</w:t>
      </w:r>
    </w:p>
    <w:p w14:paraId="7BDB16BF" w14:textId="48BCAC6B" w:rsidR="009755A4" w:rsidRDefault="009755A4" w:rsidP="009755A4">
      <w:pPr>
        <w:rPr>
          <w:i/>
        </w:rPr>
      </w:pPr>
      <w:r>
        <w:lastRenderedPageBreak/>
        <w:t xml:space="preserve">17. In trials and cohort studies, do the analyses adjust for different lengths of follow-up of patients, or in case-control studies, is the time period between the intervention and outcome the same for cases and controls? </w:t>
      </w:r>
      <w:r w:rsidRPr="0055551C">
        <w:rPr>
          <w:i/>
        </w:rPr>
        <w:t>Where follow-up was the same for all study patients the answer should yes. If di</w:t>
      </w:r>
      <w:r>
        <w:rPr>
          <w:i/>
        </w:rPr>
        <w:t>ff</w:t>
      </w:r>
      <w:r w:rsidRPr="0055551C">
        <w:rPr>
          <w:i/>
        </w:rPr>
        <w:t>erent lengths of follow-up were adjusted for by, for example, survival analysis the answer should be yes. Studies where di</w:t>
      </w:r>
      <w:r>
        <w:rPr>
          <w:i/>
        </w:rPr>
        <w:t>ff</w:t>
      </w:r>
      <w:r w:rsidRPr="0055551C">
        <w:rPr>
          <w:i/>
        </w:rPr>
        <w:t xml:space="preserve">erences in follow-up are ignored should be answered no. </w:t>
      </w:r>
    </w:p>
    <w:p w14:paraId="092F5A71" w14:textId="2AC99C95" w:rsidR="00E22872" w:rsidRPr="00E22872" w:rsidRDefault="00E22872" w:rsidP="009755A4">
      <w:r>
        <w:t>Yes = 1, no = 0, unable to determine = 0</w:t>
      </w:r>
    </w:p>
    <w:p w14:paraId="1F049799" w14:textId="79988784" w:rsidR="009755A4" w:rsidRDefault="009755A4" w:rsidP="009755A4">
      <w:pPr>
        <w:rPr>
          <w:i/>
        </w:rPr>
      </w:pPr>
      <w:r>
        <w:t xml:space="preserve">18. Were the statistical tests used to assess the main outcomes appropriate? </w:t>
      </w:r>
      <w:r w:rsidRPr="0055551C">
        <w:rPr>
          <w:i/>
        </w:rPr>
        <w:t xml:space="preserve">The statistical techniques used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 </w:t>
      </w:r>
    </w:p>
    <w:p w14:paraId="6B93BBB3" w14:textId="2FC56FEE" w:rsidR="00E22872" w:rsidRPr="00E22872" w:rsidRDefault="00E22872" w:rsidP="009755A4">
      <w:r>
        <w:t>Yes = 1, no = 0, unable to determine = 0</w:t>
      </w:r>
    </w:p>
    <w:p w14:paraId="0E3885F4" w14:textId="358E201F" w:rsidR="009755A4" w:rsidRDefault="009755A4" w:rsidP="009755A4">
      <w:pPr>
        <w:rPr>
          <w:i/>
        </w:rPr>
      </w:pPr>
      <w:r>
        <w:t xml:space="preserve">19. Was compliance with the intervention/s reliable? </w:t>
      </w:r>
      <w:r w:rsidRPr="0055551C">
        <w:rPr>
          <w:i/>
        </w:rPr>
        <w:t>Where there was non compliance with the allocated treatment or where there was contamination of one group, the question should be answered no. For studies where the e</w:t>
      </w:r>
      <w:r w:rsidR="0055551C">
        <w:rPr>
          <w:i/>
        </w:rPr>
        <w:t>ff</w:t>
      </w:r>
      <w:r w:rsidRPr="0055551C">
        <w:rPr>
          <w:i/>
        </w:rPr>
        <w:t>ect of any misclassification was likely to bias any association to the null, the question should be answered yes.</w:t>
      </w:r>
    </w:p>
    <w:p w14:paraId="5F71C0EA" w14:textId="77777777" w:rsidR="00E22872" w:rsidRDefault="00E22872" w:rsidP="009755A4">
      <w:r>
        <w:t>Yes = 1, no = 0, unable to determine = 0</w:t>
      </w:r>
    </w:p>
    <w:p w14:paraId="29778C0D" w14:textId="0177BB46" w:rsidR="009755A4" w:rsidRDefault="009755A4" w:rsidP="009755A4">
      <w:pPr>
        <w:rPr>
          <w:i/>
        </w:rPr>
      </w:pPr>
      <w:r>
        <w:lastRenderedPageBreak/>
        <w:t>20. Were the main outcome measures used accurate (valid and reliable</w:t>
      </w:r>
      <w:r w:rsidRPr="0055551C">
        <w:rPr>
          <w:i/>
        </w:rPr>
        <w:t>)? For studies where the outcome measures are clearly described, the question should be answered yes. For studies which refer to other work or that demonstrates the outcome measures are accurate, the question should be answered as yes.</w:t>
      </w:r>
    </w:p>
    <w:p w14:paraId="69581C9C" w14:textId="23C6EB5F" w:rsidR="00E22872" w:rsidRPr="00E22872" w:rsidRDefault="00E22872" w:rsidP="009755A4">
      <w:r>
        <w:t>Yes = 1, no = 0, unable to determine = 0</w:t>
      </w:r>
    </w:p>
    <w:p w14:paraId="6A44A137" w14:textId="2E8886E3" w:rsidR="009755A4" w:rsidRDefault="009755A4" w:rsidP="0055551C">
      <w:pPr>
        <w:pStyle w:val="Heading3"/>
      </w:pPr>
      <w:r>
        <w:t xml:space="preserve">Internal validity - confounding (selection bias) </w:t>
      </w:r>
    </w:p>
    <w:p w14:paraId="65E9BAA8" w14:textId="478E6AE6" w:rsidR="009755A4" w:rsidRDefault="009755A4" w:rsidP="009755A4">
      <w:pPr>
        <w:rPr>
          <w:i/>
        </w:rPr>
      </w:pPr>
      <w:r>
        <w:t xml:space="preserve">21. Were the patients in different intervention groups (trials and cohort studies) or were the cases and controls (case-control studies) recruited from the same population? </w:t>
      </w:r>
      <w:r w:rsidRPr="0055551C">
        <w:rPr>
          <w:i/>
        </w:rPr>
        <w:t>For example, patients for all comparison groups should be selected from the same hospital. The question should be answered unable to determine for cohort and casecontrol studies where there is no information concerning the source of patients included in the study.</w:t>
      </w:r>
    </w:p>
    <w:p w14:paraId="3DA7C9BA" w14:textId="5840D857" w:rsidR="00E22872" w:rsidRPr="00E22872" w:rsidRDefault="00E22872" w:rsidP="009755A4">
      <w:r>
        <w:t>Yes = 1, no = 0, unable to determine = 0</w:t>
      </w:r>
    </w:p>
    <w:p w14:paraId="39BBFD60" w14:textId="7D93B181" w:rsidR="00E22872" w:rsidRDefault="009755A4" w:rsidP="009755A4">
      <w:pPr>
        <w:rPr>
          <w:i/>
        </w:rPr>
      </w:pPr>
      <w:r>
        <w:t>22. Were study subjects in di</w:t>
      </w:r>
      <w:r w:rsidR="00AF4EF7">
        <w:t>ff</w:t>
      </w:r>
      <w:r>
        <w:t xml:space="preserve">erent intervention groups (trials and cohort studies) or were the cases and controls (case-control studies) recruited over the same period of time? </w:t>
      </w:r>
      <w:r w:rsidRPr="0055551C">
        <w:rPr>
          <w:i/>
        </w:rPr>
        <w:t xml:space="preserve">For a study which does not specify the time period over which patients were recruited, the question should be answered as unable to determine. </w:t>
      </w:r>
    </w:p>
    <w:p w14:paraId="09F1209B" w14:textId="717D743C" w:rsidR="00E22872" w:rsidRPr="00E22872" w:rsidRDefault="00E22872" w:rsidP="009755A4">
      <w:r>
        <w:t>Yes = 1, no = 0, unable to determine = 0</w:t>
      </w:r>
    </w:p>
    <w:p w14:paraId="78AE528A" w14:textId="3C757A38" w:rsidR="009755A4" w:rsidRDefault="009755A4" w:rsidP="009755A4">
      <w:pPr>
        <w:rPr>
          <w:i/>
        </w:rPr>
      </w:pPr>
      <w:r>
        <w:t xml:space="preserve">23. Were study subjects randomised to intervention groups? </w:t>
      </w:r>
      <w:r w:rsidRPr="0055551C">
        <w:rPr>
          <w:i/>
        </w:rPr>
        <w:t xml:space="preserve">Studies which state that subjects were randomised should be answered yes except where </w:t>
      </w:r>
      <w:r w:rsidRPr="0055551C">
        <w:rPr>
          <w:i/>
        </w:rPr>
        <w:lastRenderedPageBreak/>
        <w:t xml:space="preserve">method of randomisation would not ensure random allocation. For example alternate allocation would score no because it is predictable. </w:t>
      </w:r>
    </w:p>
    <w:p w14:paraId="01DE9BA7" w14:textId="3834439A" w:rsidR="00E22872" w:rsidRPr="00E22872" w:rsidRDefault="00E22872" w:rsidP="009755A4">
      <w:r>
        <w:t>Yes = 1, no = 0, unable to determine = 0</w:t>
      </w:r>
    </w:p>
    <w:p w14:paraId="52A16A19" w14:textId="659ED88F" w:rsidR="009755A4" w:rsidRDefault="009755A4" w:rsidP="009755A4">
      <w:pPr>
        <w:rPr>
          <w:i/>
        </w:rPr>
      </w:pPr>
      <w:r>
        <w:t xml:space="preserve">24. Was the randomised intervention assignment concealed from both patients and health care staff until recruitment was complete and irrevocable? </w:t>
      </w:r>
      <w:r w:rsidRPr="0055551C">
        <w:rPr>
          <w:i/>
        </w:rPr>
        <w:t>All non-randomised studies should be answered no. If assignment was concealed</w:t>
      </w:r>
      <w:r w:rsidRPr="009755A4">
        <w:rPr>
          <w:i/>
        </w:rPr>
        <w:t xml:space="preserve"> from patients but not from staff</w:t>
      </w:r>
      <w:r w:rsidRPr="0055551C">
        <w:rPr>
          <w:i/>
        </w:rPr>
        <w:t>, it should be answered no.</w:t>
      </w:r>
    </w:p>
    <w:p w14:paraId="19E6CD81" w14:textId="73B097F7" w:rsidR="00E22872" w:rsidRPr="00E22872" w:rsidRDefault="00E22872" w:rsidP="009755A4">
      <w:r>
        <w:t>Yes = 1, no = 0, unable to determine = 0</w:t>
      </w:r>
    </w:p>
    <w:p w14:paraId="15702590" w14:textId="11167DCA" w:rsidR="009755A4" w:rsidRDefault="009755A4" w:rsidP="009755A4">
      <w:pPr>
        <w:rPr>
          <w:i/>
        </w:rPr>
      </w:pPr>
      <w:r>
        <w:t xml:space="preserve">25. Was there adequate adjustment for confounding in the analyses from which the main findings were drawn? </w:t>
      </w:r>
      <w:r w:rsidRPr="0055551C">
        <w:rPr>
          <w:i/>
        </w:rPr>
        <w:t>This question should be answered no for trials if: the main conclusions of the study were based on analyses of treatment rather than intention to treat; the distribution of kn</w:t>
      </w:r>
      <w:r w:rsidR="00A90A7B" w:rsidRPr="00A90A7B">
        <w:rPr>
          <w:i/>
        </w:rPr>
        <w:t>own confounders in the diff</w:t>
      </w:r>
      <w:r w:rsidRPr="0055551C">
        <w:rPr>
          <w:i/>
        </w:rPr>
        <w:t>erent treatment groups was not described; or the distr</w:t>
      </w:r>
      <w:r w:rsidR="00A90A7B" w:rsidRPr="00A90A7B">
        <w:rPr>
          <w:i/>
        </w:rPr>
        <w:t>ibution of known confounders diff</w:t>
      </w:r>
      <w:r w:rsidRPr="0055551C">
        <w:rPr>
          <w:i/>
        </w:rPr>
        <w:t>ered between the treatment groups but was not taken into account in the analyses. In</w:t>
      </w:r>
      <w:r w:rsidR="00A90A7B" w:rsidRPr="00A90A7B">
        <w:rPr>
          <w:i/>
        </w:rPr>
        <w:t xml:space="preserve"> nonrandomised studies if the eff</w:t>
      </w:r>
      <w:r w:rsidRPr="0055551C">
        <w:rPr>
          <w:i/>
        </w:rPr>
        <w:t xml:space="preserve">ect of the main confounders was not investigated or confounding was demonstrated but no adjustment was made in the final analyses the question should be answered as no. </w:t>
      </w:r>
    </w:p>
    <w:p w14:paraId="26E4598B" w14:textId="1C0DF7C8" w:rsidR="00E22872" w:rsidRPr="00E22872" w:rsidRDefault="00E22872" w:rsidP="009755A4">
      <w:r>
        <w:t>Yes = 1, no = 0, unable to determine = 0</w:t>
      </w:r>
    </w:p>
    <w:p w14:paraId="0A5DCF0C" w14:textId="7B6095F6" w:rsidR="009755A4" w:rsidRDefault="009755A4" w:rsidP="009755A4">
      <w:pPr>
        <w:rPr>
          <w:i/>
        </w:rPr>
      </w:pPr>
      <w:r>
        <w:t xml:space="preserve">26. Were losses of patients to follow-up taken into account? </w:t>
      </w:r>
      <w:r w:rsidRPr="0055551C">
        <w:rPr>
          <w:i/>
        </w:rPr>
        <w:t>If the numbers of patients lost to follow-up are not reported, the question should be answered as unable to determine. If the proportion lost t</w:t>
      </w:r>
      <w:r w:rsidR="00A90A7B" w:rsidRPr="00A90A7B">
        <w:rPr>
          <w:i/>
        </w:rPr>
        <w:t>o follow-up was too small to affe</w:t>
      </w:r>
      <w:r w:rsidRPr="0055551C">
        <w:rPr>
          <w:i/>
        </w:rPr>
        <w:t>ct the main findings, the question should be answered yes</w:t>
      </w:r>
    </w:p>
    <w:p w14:paraId="4366077D" w14:textId="10B210A5" w:rsidR="00E22872" w:rsidRPr="00E22872" w:rsidRDefault="00E22872" w:rsidP="009755A4">
      <w:r>
        <w:lastRenderedPageBreak/>
        <w:t>Yes = 1, no = 0, unable to determine = 0</w:t>
      </w:r>
    </w:p>
    <w:p w14:paraId="4BDCA8A5" w14:textId="30641523" w:rsidR="009755A4" w:rsidRDefault="009755A4" w:rsidP="0055551C">
      <w:pPr>
        <w:pStyle w:val="Heading3"/>
      </w:pPr>
      <w:r>
        <w:t xml:space="preserve">Power </w:t>
      </w:r>
      <w:r w:rsidR="00E22872">
        <w:t>(adapted)</w:t>
      </w:r>
    </w:p>
    <w:p w14:paraId="6B3E9F00" w14:textId="610994AE" w:rsidR="009755A4" w:rsidRDefault="00A90A7B" w:rsidP="009755A4">
      <w:r>
        <w:t>27. Did the article outline a power analysis prior to the results section?</w:t>
      </w:r>
    </w:p>
    <w:p w14:paraId="0FCCE6C5" w14:textId="3927B64E" w:rsidR="00A90A7B" w:rsidRDefault="00E22872" w:rsidP="009755A4">
      <w:r>
        <w:t>1 = yes, 0</w:t>
      </w:r>
      <w:r w:rsidR="00A90A7B">
        <w:t xml:space="preserve"> = no</w:t>
      </w:r>
      <w:commentRangeEnd w:id="271"/>
      <w:r w:rsidR="004D1109">
        <w:rPr>
          <w:rStyle w:val="CommentReference"/>
          <w:rFonts w:eastAsiaTheme="minorHAnsi"/>
          <w:lang w:eastAsia="en-US"/>
        </w:rPr>
        <w:commentReference w:id="271"/>
      </w:r>
    </w:p>
    <w:p w14:paraId="4B628456" w14:textId="77777777" w:rsidR="00447909" w:rsidRDefault="00447909">
      <w:pPr>
        <w:spacing w:line="276" w:lineRule="auto"/>
        <w:jc w:val="left"/>
        <w:rPr>
          <w:lang w:eastAsia="en-US"/>
        </w:rPr>
        <w:sectPr w:rsidR="00447909" w:rsidSect="00447909">
          <w:pgSz w:w="11906" w:h="16838"/>
          <w:pgMar w:top="1440" w:right="1440" w:bottom="1440" w:left="2268" w:header="709" w:footer="709" w:gutter="0"/>
          <w:cols w:space="708"/>
          <w:docGrid w:linePitch="360"/>
        </w:sectPr>
      </w:pPr>
    </w:p>
    <w:p w14:paraId="19BE54DE" w14:textId="77BE4831" w:rsidR="008F22CA" w:rsidRPr="00EA0DC7" w:rsidRDefault="008F22CA" w:rsidP="00317AFF">
      <w:pPr>
        <w:pStyle w:val="Heading2"/>
        <w:numPr>
          <w:ilvl w:val="0"/>
          <w:numId w:val="0"/>
        </w:numPr>
        <w:rPr>
          <w:highlight w:val="yellow"/>
          <w:lang w:eastAsia="en-US"/>
        </w:rPr>
      </w:pPr>
      <w:bookmarkStart w:id="272" w:name="_Toc47039895"/>
      <w:r w:rsidRPr="00EA0DC7">
        <w:rPr>
          <w:lang w:eastAsia="en-US"/>
        </w:rPr>
        <w:lastRenderedPageBreak/>
        <w:t xml:space="preserve">Appendix </w:t>
      </w:r>
      <w:r w:rsidR="00077D45" w:rsidRPr="00EA0DC7">
        <w:rPr>
          <w:lang w:eastAsia="en-US"/>
        </w:rPr>
        <w:t>3</w:t>
      </w:r>
      <w:r w:rsidR="00E22872">
        <w:rPr>
          <w:lang w:eastAsia="en-US"/>
        </w:rPr>
        <w:t>B</w:t>
      </w:r>
      <w:r w:rsidR="00BF0088" w:rsidRPr="00EA0DC7">
        <w:rPr>
          <w:lang w:eastAsia="en-US"/>
        </w:rPr>
        <w:t>.</w:t>
      </w:r>
      <w:r w:rsidRPr="00EA0DC7">
        <w:rPr>
          <w:lang w:eastAsia="en-US"/>
        </w:rPr>
        <w:t xml:space="preserve"> – Quality analysis using the Downs and Black Checklist.</w:t>
      </w:r>
      <w:bookmarkEnd w:id="268"/>
      <w:bookmarkEnd w:id="269"/>
      <w:bookmarkEnd w:id="270"/>
      <w:bookmarkEnd w:id="272"/>
    </w:p>
    <w:tbl>
      <w:tblPr>
        <w:tblW w:w="13742" w:type="dxa"/>
        <w:tblLook w:val="04A0" w:firstRow="1" w:lastRow="0" w:firstColumn="1" w:lastColumn="0" w:noHBand="0" w:noVBand="1"/>
      </w:tblPr>
      <w:tblGrid>
        <w:gridCol w:w="1306"/>
        <w:gridCol w:w="425"/>
        <w:gridCol w:w="425"/>
        <w:gridCol w:w="425"/>
        <w:gridCol w:w="425"/>
        <w:gridCol w:w="425"/>
        <w:gridCol w:w="425"/>
        <w:gridCol w:w="425"/>
        <w:gridCol w:w="425"/>
        <w:gridCol w:w="425"/>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709"/>
      </w:tblGrid>
      <w:tr w:rsidR="00317AFF" w:rsidRPr="00EA0DC7" w14:paraId="4DFB1BE7" w14:textId="77777777" w:rsidTr="004C3DFA">
        <w:trPr>
          <w:trHeight w:val="394"/>
        </w:trPr>
        <w:tc>
          <w:tcPr>
            <w:tcW w:w="1306" w:type="dxa"/>
            <w:tcBorders>
              <w:top w:val="single" w:sz="4" w:space="0" w:color="auto"/>
              <w:bottom w:val="single" w:sz="4" w:space="0" w:color="auto"/>
              <w:tl2br w:val="single" w:sz="4" w:space="0" w:color="auto"/>
            </w:tcBorders>
            <w:shd w:val="clear" w:color="auto" w:fill="auto"/>
            <w:vAlign w:val="bottom"/>
            <w:hideMark/>
          </w:tcPr>
          <w:p w14:paraId="2A3DA8C2" w14:textId="5718D626" w:rsidR="00317AFF" w:rsidRPr="00EA0DC7" w:rsidRDefault="00317AFF" w:rsidP="00EA7029">
            <w:pPr>
              <w:spacing w:line="240" w:lineRule="auto"/>
              <w:jc w:val="right"/>
              <w:rPr>
                <w:rFonts w:eastAsia="Times New Roman" w:cs="Arial"/>
                <w:b/>
                <w:bCs/>
                <w:sz w:val="20"/>
                <w:szCs w:val="20"/>
              </w:rPr>
            </w:pPr>
            <w:r w:rsidRPr="00EA0DC7">
              <w:rPr>
                <w:rFonts w:eastAsia="Times New Roman" w:cs="Arial"/>
                <w:b/>
                <w:bCs/>
                <w:sz w:val="20"/>
                <w:szCs w:val="20"/>
              </w:rPr>
              <w:t xml:space="preserve">       </w:t>
            </w:r>
            <w:r w:rsidR="00EA7029" w:rsidRPr="00EA0DC7">
              <w:rPr>
                <w:rFonts w:eastAsia="Times New Roman" w:cs="Arial"/>
                <w:b/>
                <w:bCs/>
                <w:sz w:val="20"/>
                <w:szCs w:val="20"/>
              </w:rPr>
              <w:t xml:space="preserve">            </w:t>
            </w:r>
            <w:r w:rsidRPr="00EA0DC7">
              <w:rPr>
                <w:rFonts w:eastAsia="Times New Roman" w:cs="Arial"/>
                <w:b/>
                <w:bCs/>
                <w:sz w:val="20"/>
                <w:szCs w:val="20"/>
              </w:rPr>
              <w:t>Question</w:t>
            </w:r>
          </w:p>
          <w:p w14:paraId="758540D9" w14:textId="19995300" w:rsidR="00EA7029" w:rsidRPr="00EA0DC7" w:rsidRDefault="00EA7029" w:rsidP="00EA7029">
            <w:pPr>
              <w:spacing w:before="240" w:line="240" w:lineRule="auto"/>
              <w:jc w:val="left"/>
              <w:rPr>
                <w:rFonts w:eastAsia="Times New Roman" w:cs="Arial"/>
                <w:b/>
                <w:bCs/>
                <w:sz w:val="20"/>
                <w:szCs w:val="20"/>
              </w:rPr>
            </w:pPr>
          </w:p>
          <w:p w14:paraId="2A11E6FE" w14:textId="77777777" w:rsidR="00EA7029" w:rsidRPr="00EA0DC7" w:rsidRDefault="00EA7029" w:rsidP="00EA7029">
            <w:pPr>
              <w:spacing w:before="240" w:line="240" w:lineRule="auto"/>
              <w:jc w:val="left"/>
              <w:rPr>
                <w:rFonts w:eastAsia="Times New Roman" w:cs="Arial"/>
                <w:b/>
                <w:bCs/>
                <w:sz w:val="20"/>
                <w:szCs w:val="20"/>
              </w:rPr>
            </w:pPr>
          </w:p>
          <w:p w14:paraId="35CA803F" w14:textId="14D5AA94" w:rsidR="00317AFF" w:rsidRPr="00EA0DC7" w:rsidRDefault="00317AFF" w:rsidP="00EA7029">
            <w:pPr>
              <w:spacing w:before="240" w:line="240" w:lineRule="auto"/>
              <w:jc w:val="left"/>
              <w:rPr>
                <w:rFonts w:eastAsia="Times New Roman" w:cs="Arial"/>
                <w:b/>
                <w:bCs/>
                <w:sz w:val="20"/>
                <w:szCs w:val="20"/>
              </w:rPr>
            </w:pPr>
            <w:r w:rsidRPr="00EA0DC7">
              <w:rPr>
                <w:rFonts w:eastAsia="Times New Roman" w:cs="Arial"/>
                <w:b/>
                <w:bCs/>
                <w:sz w:val="20"/>
                <w:szCs w:val="20"/>
              </w:rPr>
              <w:t>Study</w:t>
            </w:r>
            <w:r w:rsidR="00EA7029" w:rsidRPr="00EA0DC7">
              <w:rPr>
                <w:rFonts w:eastAsia="Times New Roman" w:cs="Arial"/>
                <w:b/>
                <w:bCs/>
                <w:sz w:val="20"/>
                <w:szCs w:val="20"/>
              </w:rPr>
              <w:t xml:space="preserve">       </w:t>
            </w:r>
          </w:p>
        </w:tc>
        <w:tc>
          <w:tcPr>
            <w:tcW w:w="425" w:type="dxa"/>
            <w:tcBorders>
              <w:top w:val="single" w:sz="4" w:space="0" w:color="auto"/>
              <w:bottom w:val="single" w:sz="4" w:space="0" w:color="auto"/>
            </w:tcBorders>
            <w:shd w:val="clear" w:color="auto" w:fill="auto"/>
          </w:tcPr>
          <w:p w14:paraId="34A6C22F"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w:t>
            </w:r>
          </w:p>
        </w:tc>
        <w:tc>
          <w:tcPr>
            <w:tcW w:w="425" w:type="dxa"/>
            <w:tcBorders>
              <w:top w:val="single" w:sz="4" w:space="0" w:color="auto"/>
              <w:bottom w:val="single" w:sz="4" w:space="0" w:color="auto"/>
            </w:tcBorders>
            <w:shd w:val="clear" w:color="auto" w:fill="auto"/>
          </w:tcPr>
          <w:p w14:paraId="7C7461FB"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w:t>
            </w:r>
          </w:p>
        </w:tc>
        <w:tc>
          <w:tcPr>
            <w:tcW w:w="425" w:type="dxa"/>
            <w:tcBorders>
              <w:top w:val="single" w:sz="4" w:space="0" w:color="auto"/>
              <w:bottom w:val="single" w:sz="4" w:space="0" w:color="auto"/>
            </w:tcBorders>
            <w:shd w:val="clear" w:color="auto" w:fill="auto"/>
          </w:tcPr>
          <w:p w14:paraId="17DFE361"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3</w:t>
            </w:r>
          </w:p>
        </w:tc>
        <w:tc>
          <w:tcPr>
            <w:tcW w:w="425" w:type="dxa"/>
            <w:tcBorders>
              <w:top w:val="single" w:sz="4" w:space="0" w:color="auto"/>
              <w:bottom w:val="single" w:sz="4" w:space="0" w:color="auto"/>
            </w:tcBorders>
            <w:shd w:val="clear" w:color="auto" w:fill="auto"/>
          </w:tcPr>
          <w:p w14:paraId="0322CA32"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4</w:t>
            </w:r>
          </w:p>
        </w:tc>
        <w:tc>
          <w:tcPr>
            <w:tcW w:w="425" w:type="dxa"/>
            <w:tcBorders>
              <w:top w:val="single" w:sz="4" w:space="0" w:color="auto"/>
              <w:bottom w:val="single" w:sz="4" w:space="0" w:color="auto"/>
            </w:tcBorders>
            <w:shd w:val="clear" w:color="auto" w:fill="auto"/>
          </w:tcPr>
          <w:p w14:paraId="68B39E5A"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5</w:t>
            </w:r>
          </w:p>
        </w:tc>
        <w:tc>
          <w:tcPr>
            <w:tcW w:w="425" w:type="dxa"/>
            <w:tcBorders>
              <w:top w:val="single" w:sz="4" w:space="0" w:color="auto"/>
              <w:bottom w:val="single" w:sz="4" w:space="0" w:color="auto"/>
            </w:tcBorders>
            <w:shd w:val="clear" w:color="auto" w:fill="auto"/>
          </w:tcPr>
          <w:p w14:paraId="4DCED9C2"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6</w:t>
            </w:r>
          </w:p>
        </w:tc>
        <w:tc>
          <w:tcPr>
            <w:tcW w:w="425" w:type="dxa"/>
            <w:tcBorders>
              <w:top w:val="single" w:sz="4" w:space="0" w:color="auto"/>
              <w:bottom w:val="single" w:sz="4" w:space="0" w:color="auto"/>
            </w:tcBorders>
            <w:shd w:val="clear" w:color="auto" w:fill="auto"/>
          </w:tcPr>
          <w:p w14:paraId="1384CA03"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7</w:t>
            </w:r>
          </w:p>
        </w:tc>
        <w:tc>
          <w:tcPr>
            <w:tcW w:w="425" w:type="dxa"/>
            <w:tcBorders>
              <w:top w:val="single" w:sz="4" w:space="0" w:color="auto"/>
              <w:bottom w:val="single" w:sz="4" w:space="0" w:color="auto"/>
            </w:tcBorders>
            <w:shd w:val="clear" w:color="auto" w:fill="auto"/>
          </w:tcPr>
          <w:p w14:paraId="68468318"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8</w:t>
            </w:r>
          </w:p>
        </w:tc>
        <w:tc>
          <w:tcPr>
            <w:tcW w:w="425" w:type="dxa"/>
            <w:tcBorders>
              <w:top w:val="single" w:sz="4" w:space="0" w:color="auto"/>
              <w:bottom w:val="single" w:sz="4" w:space="0" w:color="auto"/>
            </w:tcBorders>
            <w:shd w:val="clear" w:color="auto" w:fill="auto"/>
          </w:tcPr>
          <w:p w14:paraId="74201DC9"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9</w:t>
            </w:r>
          </w:p>
        </w:tc>
        <w:tc>
          <w:tcPr>
            <w:tcW w:w="439" w:type="dxa"/>
            <w:tcBorders>
              <w:top w:val="single" w:sz="4" w:space="0" w:color="auto"/>
              <w:bottom w:val="single" w:sz="4" w:space="0" w:color="auto"/>
            </w:tcBorders>
            <w:shd w:val="clear" w:color="auto" w:fill="auto"/>
          </w:tcPr>
          <w:p w14:paraId="0F23A1B5"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10</w:t>
            </w:r>
          </w:p>
        </w:tc>
        <w:tc>
          <w:tcPr>
            <w:tcW w:w="439" w:type="dxa"/>
            <w:tcBorders>
              <w:top w:val="single" w:sz="4" w:space="0" w:color="auto"/>
              <w:bottom w:val="single" w:sz="4" w:space="0" w:color="auto"/>
            </w:tcBorders>
            <w:shd w:val="clear" w:color="auto" w:fill="auto"/>
          </w:tcPr>
          <w:p w14:paraId="64FF4FA1"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11</w:t>
            </w:r>
          </w:p>
        </w:tc>
        <w:tc>
          <w:tcPr>
            <w:tcW w:w="439" w:type="dxa"/>
            <w:tcBorders>
              <w:top w:val="single" w:sz="4" w:space="0" w:color="auto"/>
              <w:bottom w:val="single" w:sz="4" w:space="0" w:color="auto"/>
            </w:tcBorders>
            <w:shd w:val="clear" w:color="auto" w:fill="auto"/>
          </w:tcPr>
          <w:p w14:paraId="319EBA24"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12</w:t>
            </w:r>
          </w:p>
        </w:tc>
        <w:tc>
          <w:tcPr>
            <w:tcW w:w="439" w:type="dxa"/>
            <w:tcBorders>
              <w:top w:val="single" w:sz="4" w:space="0" w:color="auto"/>
              <w:bottom w:val="single" w:sz="4" w:space="0" w:color="auto"/>
            </w:tcBorders>
            <w:shd w:val="clear" w:color="auto" w:fill="auto"/>
          </w:tcPr>
          <w:p w14:paraId="3157CB13" w14:textId="35A76060"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13</w:t>
            </w:r>
          </w:p>
        </w:tc>
        <w:tc>
          <w:tcPr>
            <w:tcW w:w="439" w:type="dxa"/>
            <w:tcBorders>
              <w:top w:val="single" w:sz="4" w:space="0" w:color="auto"/>
              <w:bottom w:val="single" w:sz="4" w:space="0" w:color="auto"/>
            </w:tcBorders>
            <w:shd w:val="clear" w:color="auto" w:fill="auto"/>
          </w:tcPr>
          <w:p w14:paraId="10166322"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14</w:t>
            </w:r>
          </w:p>
        </w:tc>
        <w:tc>
          <w:tcPr>
            <w:tcW w:w="439" w:type="dxa"/>
            <w:tcBorders>
              <w:top w:val="single" w:sz="4" w:space="0" w:color="auto"/>
              <w:bottom w:val="single" w:sz="4" w:space="0" w:color="auto"/>
            </w:tcBorders>
            <w:shd w:val="clear" w:color="auto" w:fill="auto"/>
          </w:tcPr>
          <w:p w14:paraId="45E5D0EA"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15</w:t>
            </w:r>
          </w:p>
        </w:tc>
        <w:tc>
          <w:tcPr>
            <w:tcW w:w="439" w:type="dxa"/>
            <w:tcBorders>
              <w:top w:val="single" w:sz="4" w:space="0" w:color="auto"/>
              <w:bottom w:val="single" w:sz="4" w:space="0" w:color="auto"/>
            </w:tcBorders>
            <w:shd w:val="clear" w:color="auto" w:fill="auto"/>
          </w:tcPr>
          <w:p w14:paraId="1C8C7860"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16</w:t>
            </w:r>
          </w:p>
        </w:tc>
        <w:tc>
          <w:tcPr>
            <w:tcW w:w="439" w:type="dxa"/>
            <w:tcBorders>
              <w:top w:val="single" w:sz="4" w:space="0" w:color="auto"/>
              <w:bottom w:val="single" w:sz="4" w:space="0" w:color="auto"/>
            </w:tcBorders>
            <w:shd w:val="clear" w:color="auto" w:fill="auto"/>
          </w:tcPr>
          <w:p w14:paraId="53F2CCC5"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17</w:t>
            </w:r>
          </w:p>
        </w:tc>
        <w:tc>
          <w:tcPr>
            <w:tcW w:w="439" w:type="dxa"/>
            <w:tcBorders>
              <w:top w:val="single" w:sz="4" w:space="0" w:color="auto"/>
              <w:bottom w:val="single" w:sz="4" w:space="0" w:color="auto"/>
            </w:tcBorders>
            <w:shd w:val="clear" w:color="auto" w:fill="auto"/>
          </w:tcPr>
          <w:p w14:paraId="24A68FDD"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18</w:t>
            </w:r>
          </w:p>
        </w:tc>
        <w:tc>
          <w:tcPr>
            <w:tcW w:w="439" w:type="dxa"/>
            <w:tcBorders>
              <w:top w:val="single" w:sz="4" w:space="0" w:color="auto"/>
              <w:bottom w:val="single" w:sz="4" w:space="0" w:color="auto"/>
            </w:tcBorders>
            <w:shd w:val="clear" w:color="auto" w:fill="auto"/>
          </w:tcPr>
          <w:p w14:paraId="24E9D326"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19</w:t>
            </w:r>
          </w:p>
        </w:tc>
        <w:tc>
          <w:tcPr>
            <w:tcW w:w="439" w:type="dxa"/>
            <w:tcBorders>
              <w:top w:val="single" w:sz="4" w:space="0" w:color="auto"/>
              <w:bottom w:val="single" w:sz="4" w:space="0" w:color="auto"/>
            </w:tcBorders>
            <w:shd w:val="clear" w:color="auto" w:fill="auto"/>
          </w:tcPr>
          <w:p w14:paraId="395625AF"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20</w:t>
            </w:r>
          </w:p>
        </w:tc>
        <w:tc>
          <w:tcPr>
            <w:tcW w:w="439" w:type="dxa"/>
            <w:tcBorders>
              <w:top w:val="single" w:sz="4" w:space="0" w:color="auto"/>
              <w:bottom w:val="single" w:sz="4" w:space="0" w:color="auto"/>
            </w:tcBorders>
            <w:shd w:val="clear" w:color="auto" w:fill="auto"/>
          </w:tcPr>
          <w:p w14:paraId="38F06BFD"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21</w:t>
            </w:r>
          </w:p>
        </w:tc>
        <w:tc>
          <w:tcPr>
            <w:tcW w:w="439" w:type="dxa"/>
            <w:tcBorders>
              <w:top w:val="single" w:sz="4" w:space="0" w:color="auto"/>
              <w:bottom w:val="single" w:sz="4" w:space="0" w:color="auto"/>
            </w:tcBorders>
            <w:shd w:val="clear" w:color="auto" w:fill="auto"/>
          </w:tcPr>
          <w:p w14:paraId="7A6B9256"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22</w:t>
            </w:r>
          </w:p>
        </w:tc>
        <w:tc>
          <w:tcPr>
            <w:tcW w:w="439" w:type="dxa"/>
            <w:tcBorders>
              <w:top w:val="single" w:sz="4" w:space="0" w:color="auto"/>
              <w:bottom w:val="single" w:sz="4" w:space="0" w:color="auto"/>
            </w:tcBorders>
            <w:shd w:val="clear" w:color="auto" w:fill="auto"/>
          </w:tcPr>
          <w:p w14:paraId="0BD9EDBF"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23</w:t>
            </w:r>
          </w:p>
        </w:tc>
        <w:tc>
          <w:tcPr>
            <w:tcW w:w="439" w:type="dxa"/>
            <w:tcBorders>
              <w:top w:val="single" w:sz="4" w:space="0" w:color="auto"/>
              <w:bottom w:val="single" w:sz="4" w:space="0" w:color="auto"/>
            </w:tcBorders>
            <w:shd w:val="clear" w:color="auto" w:fill="auto"/>
          </w:tcPr>
          <w:p w14:paraId="42827FA5"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24</w:t>
            </w:r>
          </w:p>
        </w:tc>
        <w:tc>
          <w:tcPr>
            <w:tcW w:w="439" w:type="dxa"/>
            <w:tcBorders>
              <w:top w:val="single" w:sz="4" w:space="0" w:color="auto"/>
              <w:bottom w:val="single" w:sz="4" w:space="0" w:color="auto"/>
            </w:tcBorders>
            <w:shd w:val="clear" w:color="auto" w:fill="auto"/>
          </w:tcPr>
          <w:p w14:paraId="2367ACD1"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25</w:t>
            </w:r>
          </w:p>
        </w:tc>
        <w:tc>
          <w:tcPr>
            <w:tcW w:w="439" w:type="dxa"/>
            <w:tcBorders>
              <w:top w:val="single" w:sz="4" w:space="0" w:color="auto"/>
              <w:bottom w:val="single" w:sz="4" w:space="0" w:color="auto"/>
            </w:tcBorders>
            <w:shd w:val="clear" w:color="auto" w:fill="auto"/>
          </w:tcPr>
          <w:p w14:paraId="5B5D9987"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26</w:t>
            </w:r>
          </w:p>
        </w:tc>
        <w:tc>
          <w:tcPr>
            <w:tcW w:w="439" w:type="dxa"/>
            <w:tcBorders>
              <w:top w:val="single" w:sz="4" w:space="0" w:color="auto"/>
              <w:bottom w:val="single" w:sz="4" w:space="0" w:color="auto"/>
            </w:tcBorders>
            <w:shd w:val="clear" w:color="auto" w:fill="auto"/>
          </w:tcPr>
          <w:p w14:paraId="30D7B473"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27</w:t>
            </w:r>
          </w:p>
        </w:tc>
        <w:tc>
          <w:tcPr>
            <w:tcW w:w="709" w:type="dxa"/>
            <w:tcBorders>
              <w:top w:val="single" w:sz="4" w:space="0" w:color="auto"/>
              <w:bottom w:val="single" w:sz="4" w:space="0" w:color="auto"/>
            </w:tcBorders>
            <w:shd w:val="clear" w:color="auto" w:fill="auto"/>
            <w:hideMark/>
          </w:tcPr>
          <w:p w14:paraId="5E326289" w14:textId="77777777" w:rsidR="00317AFF" w:rsidRPr="00EA0DC7" w:rsidRDefault="00317AFF" w:rsidP="00EA7029">
            <w:pPr>
              <w:spacing w:before="240" w:line="240" w:lineRule="auto"/>
              <w:jc w:val="center"/>
              <w:rPr>
                <w:rFonts w:eastAsia="Times New Roman" w:cs="Arial"/>
                <w:b/>
                <w:bCs/>
                <w:sz w:val="20"/>
                <w:szCs w:val="20"/>
              </w:rPr>
            </w:pPr>
            <w:r w:rsidRPr="00EA0DC7">
              <w:rPr>
                <w:rFonts w:eastAsia="Times New Roman" w:cs="Arial"/>
                <w:b/>
                <w:bCs/>
                <w:sz w:val="20"/>
                <w:szCs w:val="20"/>
              </w:rPr>
              <w:t>Total</w:t>
            </w:r>
          </w:p>
        </w:tc>
      </w:tr>
      <w:tr w:rsidR="00317AFF" w:rsidRPr="00EA0DC7" w14:paraId="07B2BD31" w14:textId="77777777" w:rsidTr="004C3DFA">
        <w:trPr>
          <w:trHeight w:val="300"/>
        </w:trPr>
        <w:tc>
          <w:tcPr>
            <w:tcW w:w="1306" w:type="dxa"/>
            <w:tcBorders>
              <w:top w:val="single" w:sz="4" w:space="0" w:color="auto"/>
            </w:tcBorders>
            <w:shd w:val="clear" w:color="auto" w:fill="auto"/>
            <w:noWrap/>
            <w:hideMark/>
          </w:tcPr>
          <w:p w14:paraId="356A499B" w14:textId="77777777" w:rsidR="00317AFF" w:rsidRPr="00EA0DC7" w:rsidRDefault="00317AFF" w:rsidP="00EA7029">
            <w:pPr>
              <w:spacing w:before="240" w:line="240" w:lineRule="auto"/>
              <w:jc w:val="left"/>
              <w:rPr>
                <w:rFonts w:eastAsia="Times New Roman" w:cs="Arial"/>
                <w:sz w:val="20"/>
                <w:szCs w:val="20"/>
              </w:rPr>
            </w:pPr>
            <w:r w:rsidRPr="00EA0DC7">
              <w:rPr>
                <w:rFonts w:eastAsia="Times New Roman" w:cs="Arial"/>
                <w:sz w:val="20"/>
                <w:szCs w:val="20"/>
              </w:rPr>
              <w:t>Bambling et al. (2006)</w:t>
            </w:r>
          </w:p>
        </w:tc>
        <w:tc>
          <w:tcPr>
            <w:tcW w:w="425" w:type="dxa"/>
            <w:tcBorders>
              <w:top w:val="single" w:sz="4" w:space="0" w:color="auto"/>
            </w:tcBorders>
            <w:shd w:val="clear" w:color="auto" w:fill="auto"/>
            <w:noWrap/>
            <w:hideMark/>
          </w:tcPr>
          <w:p w14:paraId="49968D3C"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2FB50D0A"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4FC21518"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63B0191A"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75BFDD0C"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2</w:t>
            </w:r>
          </w:p>
        </w:tc>
        <w:tc>
          <w:tcPr>
            <w:tcW w:w="425" w:type="dxa"/>
            <w:tcBorders>
              <w:top w:val="single" w:sz="4" w:space="0" w:color="auto"/>
            </w:tcBorders>
            <w:shd w:val="clear" w:color="auto" w:fill="auto"/>
            <w:noWrap/>
            <w:hideMark/>
          </w:tcPr>
          <w:p w14:paraId="5C90170F"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1ED1847A"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66D3F09E"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25" w:type="dxa"/>
            <w:tcBorders>
              <w:top w:val="single" w:sz="4" w:space="0" w:color="auto"/>
            </w:tcBorders>
            <w:shd w:val="clear" w:color="auto" w:fill="auto"/>
            <w:noWrap/>
            <w:hideMark/>
          </w:tcPr>
          <w:p w14:paraId="6BC2D55B"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2C7FFCD8"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4513BCD1"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213F694E"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18B7A4D6" w14:textId="5156691E"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583B74DE"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BFF3B4A"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09929380"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573154AA"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1A89DC52"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35D5F21B"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6BB5D81D"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3A30B65D"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9D0E1ED"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5D7840A0"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695419F5"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5A74B20E"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49DFAC0F"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24D8A7A6" w14:textId="77777777" w:rsidR="00317AFF" w:rsidRPr="00EA0DC7" w:rsidRDefault="00317AFF" w:rsidP="00EA7029">
            <w:pPr>
              <w:spacing w:before="240" w:line="240" w:lineRule="auto"/>
              <w:jc w:val="center"/>
              <w:rPr>
                <w:rFonts w:eastAsia="Times New Roman" w:cs="Arial"/>
                <w:sz w:val="20"/>
                <w:szCs w:val="20"/>
              </w:rPr>
            </w:pPr>
            <w:r w:rsidRPr="00EA0DC7">
              <w:rPr>
                <w:rFonts w:eastAsia="Times New Roman" w:cs="Arial"/>
                <w:sz w:val="20"/>
                <w:szCs w:val="20"/>
              </w:rPr>
              <w:t>0</w:t>
            </w:r>
          </w:p>
        </w:tc>
        <w:tc>
          <w:tcPr>
            <w:tcW w:w="709" w:type="dxa"/>
            <w:tcBorders>
              <w:top w:val="single" w:sz="4" w:space="0" w:color="auto"/>
            </w:tcBorders>
            <w:shd w:val="clear" w:color="auto" w:fill="auto"/>
            <w:noWrap/>
            <w:hideMark/>
          </w:tcPr>
          <w:p w14:paraId="26A449DF" w14:textId="77777777" w:rsidR="00317AFF" w:rsidRPr="00EA0DC7" w:rsidRDefault="00317AFF" w:rsidP="00EA7029">
            <w:pPr>
              <w:spacing w:before="240" w:line="240" w:lineRule="auto"/>
              <w:jc w:val="center"/>
              <w:rPr>
                <w:rFonts w:eastAsia="Times New Roman" w:cs="Arial"/>
                <w:b/>
                <w:sz w:val="20"/>
                <w:szCs w:val="20"/>
              </w:rPr>
            </w:pPr>
            <w:r w:rsidRPr="00EA0DC7">
              <w:rPr>
                <w:rFonts w:eastAsia="Times New Roman" w:cs="Arial"/>
                <w:b/>
                <w:sz w:val="20"/>
                <w:szCs w:val="20"/>
              </w:rPr>
              <w:t>20</w:t>
            </w:r>
          </w:p>
        </w:tc>
      </w:tr>
      <w:tr w:rsidR="00317AFF" w:rsidRPr="00EA0DC7" w14:paraId="06428685" w14:textId="77777777" w:rsidTr="004C3DFA">
        <w:trPr>
          <w:trHeight w:val="300"/>
        </w:trPr>
        <w:tc>
          <w:tcPr>
            <w:tcW w:w="1306" w:type="dxa"/>
            <w:shd w:val="clear" w:color="auto" w:fill="auto"/>
            <w:noWrap/>
            <w:hideMark/>
          </w:tcPr>
          <w:p w14:paraId="64B052C3"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Berg &amp; Stone (1980)</w:t>
            </w:r>
          </w:p>
        </w:tc>
        <w:tc>
          <w:tcPr>
            <w:tcW w:w="425" w:type="dxa"/>
            <w:shd w:val="clear" w:color="auto" w:fill="auto"/>
            <w:noWrap/>
            <w:hideMark/>
          </w:tcPr>
          <w:p w14:paraId="5B63FCA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5E139A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C6DE6C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2F3C419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5ACB55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3DB4A32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5E3773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26067D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177CA98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48074A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F076DD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B0D24F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2503EE6" w14:textId="03A7048B"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B89BA4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DBAE1A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57054B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16E79B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63F889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E68DEE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83C250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665409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6C439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569C40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59342E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D79538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2865F2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7FE01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269A3DD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14</w:t>
            </w:r>
          </w:p>
        </w:tc>
      </w:tr>
      <w:tr w:rsidR="00317AFF" w:rsidRPr="00EA0DC7" w14:paraId="6243F527" w14:textId="77777777" w:rsidTr="004C3DFA">
        <w:trPr>
          <w:trHeight w:val="300"/>
        </w:trPr>
        <w:tc>
          <w:tcPr>
            <w:tcW w:w="1306" w:type="dxa"/>
            <w:shd w:val="clear" w:color="auto" w:fill="auto"/>
            <w:noWrap/>
            <w:hideMark/>
          </w:tcPr>
          <w:p w14:paraId="412F5F01"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Borders (1991)</w:t>
            </w:r>
          </w:p>
        </w:tc>
        <w:tc>
          <w:tcPr>
            <w:tcW w:w="425" w:type="dxa"/>
            <w:shd w:val="clear" w:color="auto" w:fill="auto"/>
            <w:noWrap/>
            <w:hideMark/>
          </w:tcPr>
          <w:p w14:paraId="515C762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32E0A1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844FBB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979E85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4D2F61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4C37E22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6EC513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2F5147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F1EA60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5D4D02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0428F6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48472C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8352393" w14:textId="16B465D3"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9A296F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D86766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A78D36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853515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F653E1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A0CDC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A81EDB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8960B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2513C0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177CA2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B941C0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C051AA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ADC632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3D43A3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7FC922A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13</w:t>
            </w:r>
          </w:p>
        </w:tc>
      </w:tr>
      <w:tr w:rsidR="00317AFF" w:rsidRPr="00EA0DC7" w14:paraId="044AF2F6" w14:textId="77777777" w:rsidTr="004C3DFA">
        <w:trPr>
          <w:trHeight w:val="300"/>
        </w:trPr>
        <w:tc>
          <w:tcPr>
            <w:tcW w:w="1306" w:type="dxa"/>
            <w:shd w:val="clear" w:color="auto" w:fill="auto"/>
            <w:noWrap/>
            <w:hideMark/>
          </w:tcPr>
          <w:p w14:paraId="6A56F4D5"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Bradshaw et al. (2007)</w:t>
            </w:r>
            <w:r w:rsidRPr="00EA0DC7">
              <w:rPr>
                <w:rFonts w:eastAsia="Times New Roman" w:cs="Arial"/>
                <w:i/>
                <w:sz w:val="20"/>
                <w:szCs w:val="20"/>
              </w:rPr>
              <w:t xml:space="preserve"> T</w:t>
            </w:r>
          </w:p>
        </w:tc>
        <w:tc>
          <w:tcPr>
            <w:tcW w:w="425" w:type="dxa"/>
            <w:shd w:val="clear" w:color="auto" w:fill="auto"/>
            <w:noWrap/>
            <w:hideMark/>
          </w:tcPr>
          <w:p w14:paraId="24FB875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083E70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F42C9E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047FB3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47CEFC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w:t>
            </w:r>
          </w:p>
        </w:tc>
        <w:tc>
          <w:tcPr>
            <w:tcW w:w="425" w:type="dxa"/>
            <w:shd w:val="clear" w:color="auto" w:fill="auto"/>
            <w:noWrap/>
            <w:hideMark/>
          </w:tcPr>
          <w:p w14:paraId="28068E3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E8B9B3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CCD894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2417766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325332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27C5F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1E379E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EC8DB47" w14:textId="6C8E8F05"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A91016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7EF47E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1A7067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FB00C5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FD69B9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71C6B0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8424CE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28CE23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1CFC0A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A1DE07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739185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468672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44AF67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ADD702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0C250C0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18</w:t>
            </w:r>
          </w:p>
        </w:tc>
      </w:tr>
      <w:tr w:rsidR="00317AFF" w:rsidRPr="00EA0DC7" w14:paraId="51DAE947" w14:textId="77777777" w:rsidTr="004C3DFA">
        <w:trPr>
          <w:trHeight w:val="300"/>
        </w:trPr>
        <w:tc>
          <w:tcPr>
            <w:tcW w:w="1306" w:type="dxa"/>
            <w:shd w:val="clear" w:color="auto" w:fill="auto"/>
            <w:noWrap/>
            <w:hideMark/>
          </w:tcPr>
          <w:p w14:paraId="4A57845C"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 xml:space="preserve">Bradshaw et al. (2007) </w:t>
            </w:r>
            <w:r w:rsidRPr="00EA0DC7">
              <w:rPr>
                <w:rFonts w:eastAsia="Times New Roman" w:cs="Arial"/>
                <w:i/>
                <w:sz w:val="20"/>
                <w:szCs w:val="20"/>
              </w:rPr>
              <w:t>P</w:t>
            </w:r>
          </w:p>
        </w:tc>
        <w:tc>
          <w:tcPr>
            <w:tcW w:w="425" w:type="dxa"/>
            <w:shd w:val="clear" w:color="auto" w:fill="auto"/>
            <w:noWrap/>
            <w:hideMark/>
          </w:tcPr>
          <w:p w14:paraId="1A7D91B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E4C009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4BF2B9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54F758E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01A801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3B0DAF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2CCB25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1E3469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3718008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ED8DD4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0AE13B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137E17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7D0BD90" w14:textId="22254592"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E050D6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2E055A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342BFB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2C16D0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17F889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4A70E4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7DB66F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70A4C9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1298A6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1AEB4A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6556FD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6AF762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45465C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4D0375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42E7CE1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11</w:t>
            </w:r>
          </w:p>
        </w:tc>
      </w:tr>
      <w:tr w:rsidR="00317AFF" w:rsidRPr="00EA0DC7" w14:paraId="7534D2C2" w14:textId="77777777" w:rsidTr="00077B96">
        <w:trPr>
          <w:trHeight w:val="300"/>
        </w:trPr>
        <w:tc>
          <w:tcPr>
            <w:tcW w:w="1306" w:type="dxa"/>
            <w:tcBorders>
              <w:bottom w:val="single" w:sz="4" w:space="0" w:color="auto"/>
            </w:tcBorders>
            <w:shd w:val="clear" w:color="auto" w:fill="auto"/>
            <w:noWrap/>
            <w:hideMark/>
          </w:tcPr>
          <w:p w14:paraId="6B494670"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 xml:space="preserve">Burlingame et al. (2007) </w:t>
            </w:r>
            <w:r w:rsidRPr="00EA0DC7">
              <w:rPr>
                <w:rFonts w:eastAsia="Times New Roman" w:cs="Arial"/>
                <w:i/>
                <w:sz w:val="20"/>
                <w:szCs w:val="20"/>
              </w:rPr>
              <w:t>T</w:t>
            </w:r>
          </w:p>
        </w:tc>
        <w:tc>
          <w:tcPr>
            <w:tcW w:w="425" w:type="dxa"/>
            <w:tcBorders>
              <w:bottom w:val="single" w:sz="4" w:space="0" w:color="auto"/>
            </w:tcBorders>
            <w:shd w:val="clear" w:color="auto" w:fill="auto"/>
            <w:noWrap/>
            <w:hideMark/>
          </w:tcPr>
          <w:p w14:paraId="7520164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6B0432C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1B1C0B8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1DF305C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0F322F1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13453FE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62B048E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1FE94ED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tcBorders>
              <w:bottom w:val="single" w:sz="4" w:space="0" w:color="auto"/>
            </w:tcBorders>
            <w:shd w:val="clear" w:color="auto" w:fill="auto"/>
            <w:noWrap/>
            <w:hideMark/>
          </w:tcPr>
          <w:p w14:paraId="548232D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21E47C4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5808F6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400A339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626910A6" w14:textId="6A0A0606"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3B09B6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945A15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F4C77C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139BE4F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EAB78C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34521B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3E2C396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41A249D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09F7331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6B6EDFF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17935AA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0B08A00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64F0796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86E08C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tcBorders>
              <w:bottom w:val="single" w:sz="4" w:space="0" w:color="auto"/>
            </w:tcBorders>
            <w:shd w:val="clear" w:color="auto" w:fill="auto"/>
            <w:noWrap/>
            <w:hideMark/>
          </w:tcPr>
          <w:p w14:paraId="3052D7F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16</w:t>
            </w:r>
          </w:p>
        </w:tc>
      </w:tr>
    </w:tbl>
    <w:p w14:paraId="1C94E931" w14:textId="77777777" w:rsidR="000E1A90" w:rsidRPr="00EA0DC7" w:rsidRDefault="000E1A90" w:rsidP="004C3DFA">
      <w:pPr>
        <w:spacing w:before="240" w:line="240" w:lineRule="auto"/>
        <w:jc w:val="center"/>
        <w:rPr>
          <w:rFonts w:eastAsia="Times New Roman" w:cs="Arial"/>
          <w:b/>
          <w:bCs/>
          <w:sz w:val="20"/>
          <w:szCs w:val="20"/>
        </w:rPr>
        <w:sectPr w:rsidR="000E1A90" w:rsidRPr="00EA0DC7" w:rsidSect="00447909">
          <w:pgSz w:w="16838" w:h="11906" w:orient="landscape"/>
          <w:pgMar w:top="2268" w:right="1440" w:bottom="1440" w:left="1440" w:header="709" w:footer="709" w:gutter="0"/>
          <w:cols w:space="708"/>
          <w:docGrid w:linePitch="360"/>
        </w:sectPr>
      </w:pPr>
    </w:p>
    <w:tbl>
      <w:tblPr>
        <w:tblW w:w="13742" w:type="dxa"/>
        <w:tblLook w:val="04A0" w:firstRow="1" w:lastRow="0" w:firstColumn="1" w:lastColumn="0" w:noHBand="0" w:noVBand="1"/>
      </w:tblPr>
      <w:tblGrid>
        <w:gridCol w:w="1306"/>
        <w:gridCol w:w="425"/>
        <w:gridCol w:w="425"/>
        <w:gridCol w:w="425"/>
        <w:gridCol w:w="425"/>
        <w:gridCol w:w="425"/>
        <w:gridCol w:w="425"/>
        <w:gridCol w:w="425"/>
        <w:gridCol w:w="425"/>
        <w:gridCol w:w="425"/>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709"/>
      </w:tblGrid>
      <w:tr w:rsidR="004C3DFA" w:rsidRPr="00EA0DC7" w14:paraId="4CC63D7F" w14:textId="77777777" w:rsidTr="00077B96">
        <w:trPr>
          <w:trHeight w:val="300"/>
        </w:trPr>
        <w:tc>
          <w:tcPr>
            <w:tcW w:w="1306" w:type="dxa"/>
            <w:tcBorders>
              <w:top w:val="single" w:sz="4" w:space="0" w:color="auto"/>
              <w:bottom w:val="single" w:sz="4" w:space="0" w:color="auto"/>
            </w:tcBorders>
            <w:shd w:val="clear" w:color="auto" w:fill="auto"/>
            <w:noWrap/>
            <w:vAlign w:val="center"/>
          </w:tcPr>
          <w:p w14:paraId="25111B67" w14:textId="6905BF9D" w:rsidR="004C3DFA" w:rsidRPr="00EA0DC7" w:rsidRDefault="004C3DFA" w:rsidP="004C3DFA">
            <w:pPr>
              <w:spacing w:before="240" w:line="240" w:lineRule="auto"/>
              <w:jc w:val="center"/>
              <w:rPr>
                <w:rFonts w:eastAsia="Times New Roman" w:cs="Arial"/>
                <w:b/>
                <w:bCs/>
                <w:sz w:val="20"/>
                <w:szCs w:val="20"/>
              </w:rPr>
            </w:pPr>
            <w:r w:rsidRPr="00EA0DC7">
              <w:rPr>
                <w:rFonts w:eastAsia="Times New Roman" w:cs="Arial"/>
                <w:b/>
                <w:bCs/>
                <w:sz w:val="20"/>
                <w:szCs w:val="20"/>
              </w:rPr>
              <w:lastRenderedPageBreak/>
              <w:t>Study</w:t>
            </w:r>
          </w:p>
        </w:tc>
        <w:tc>
          <w:tcPr>
            <w:tcW w:w="425" w:type="dxa"/>
            <w:tcBorders>
              <w:top w:val="single" w:sz="4" w:space="0" w:color="auto"/>
              <w:bottom w:val="single" w:sz="4" w:space="0" w:color="auto"/>
            </w:tcBorders>
            <w:shd w:val="clear" w:color="auto" w:fill="auto"/>
            <w:noWrap/>
            <w:vAlign w:val="center"/>
          </w:tcPr>
          <w:p w14:paraId="1C5517CF" w14:textId="0663D78D"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w:t>
            </w:r>
          </w:p>
        </w:tc>
        <w:tc>
          <w:tcPr>
            <w:tcW w:w="425" w:type="dxa"/>
            <w:tcBorders>
              <w:top w:val="single" w:sz="4" w:space="0" w:color="auto"/>
              <w:bottom w:val="single" w:sz="4" w:space="0" w:color="auto"/>
            </w:tcBorders>
            <w:shd w:val="clear" w:color="auto" w:fill="auto"/>
            <w:noWrap/>
            <w:vAlign w:val="center"/>
          </w:tcPr>
          <w:p w14:paraId="077F2E6E" w14:textId="3F50F1B9"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w:t>
            </w:r>
          </w:p>
        </w:tc>
        <w:tc>
          <w:tcPr>
            <w:tcW w:w="425" w:type="dxa"/>
            <w:tcBorders>
              <w:top w:val="single" w:sz="4" w:space="0" w:color="auto"/>
              <w:bottom w:val="single" w:sz="4" w:space="0" w:color="auto"/>
            </w:tcBorders>
            <w:shd w:val="clear" w:color="auto" w:fill="auto"/>
            <w:noWrap/>
            <w:vAlign w:val="center"/>
          </w:tcPr>
          <w:p w14:paraId="3524D75A" w14:textId="1F561436"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3</w:t>
            </w:r>
          </w:p>
        </w:tc>
        <w:tc>
          <w:tcPr>
            <w:tcW w:w="425" w:type="dxa"/>
            <w:tcBorders>
              <w:top w:val="single" w:sz="4" w:space="0" w:color="auto"/>
              <w:bottom w:val="single" w:sz="4" w:space="0" w:color="auto"/>
            </w:tcBorders>
            <w:shd w:val="clear" w:color="auto" w:fill="auto"/>
            <w:noWrap/>
            <w:vAlign w:val="center"/>
          </w:tcPr>
          <w:p w14:paraId="616663AC" w14:textId="44521277"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4</w:t>
            </w:r>
          </w:p>
        </w:tc>
        <w:tc>
          <w:tcPr>
            <w:tcW w:w="425" w:type="dxa"/>
            <w:tcBorders>
              <w:top w:val="single" w:sz="4" w:space="0" w:color="auto"/>
              <w:bottom w:val="single" w:sz="4" w:space="0" w:color="auto"/>
            </w:tcBorders>
            <w:shd w:val="clear" w:color="auto" w:fill="auto"/>
            <w:noWrap/>
            <w:vAlign w:val="center"/>
          </w:tcPr>
          <w:p w14:paraId="300A9E5E" w14:textId="1B9B3793"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5</w:t>
            </w:r>
          </w:p>
        </w:tc>
        <w:tc>
          <w:tcPr>
            <w:tcW w:w="425" w:type="dxa"/>
            <w:tcBorders>
              <w:top w:val="single" w:sz="4" w:space="0" w:color="auto"/>
              <w:bottom w:val="single" w:sz="4" w:space="0" w:color="auto"/>
            </w:tcBorders>
            <w:shd w:val="clear" w:color="auto" w:fill="auto"/>
            <w:noWrap/>
            <w:vAlign w:val="center"/>
          </w:tcPr>
          <w:p w14:paraId="226A50AB" w14:textId="2CAFBBCD"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6</w:t>
            </w:r>
          </w:p>
        </w:tc>
        <w:tc>
          <w:tcPr>
            <w:tcW w:w="425" w:type="dxa"/>
            <w:tcBorders>
              <w:top w:val="single" w:sz="4" w:space="0" w:color="auto"/>
              <w:bottom w:val="single" w:sz="4" w:space="0" w:color="auto"/>
            </w:tcBorders>
            <w:shd w:val="clear" w:color="auto" w:fill="auto"/>
            <w:noWrap/>
            <w:vAlign w:val="center"/>
          </w:tcPr>
          <w:p w14:paraId="63A585C3" w14:textId="6CC46031"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7</w:t>
            </w:r>
          </w:p>
        </w:tc>
        <w:tc>
          <w:tcPr>
            <w:tcW w:w="425" w:type="dxa"/>
            <w:tcBorders>
              <w:top w:val="single" w:sz="4" w:space="0" w:color="auto"/>
              <w:bottom w:val="single" w:sz="4" w:space="0" w:color="auto"/>
            </w:tcBorders>
            <w:shd w:val="clear" w:color="auto" w:fill="auto"/>
            <w:noWrap/>
            <w:vAlign w:val="center"/>
          </w:tcPr>
          <w:p w14:paraId="60097B48" w14:textId="44AB24E5"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8</w:t>
            </w:r>
          </w:p>
        </w:tc>
        <w:tc>
          <w:tcPr>
            <w:tcW w:w="425" w:type="dxa"/>
            <w:tcBorders>
              <w:top w:val="single" w:sz="4" w:space="0" w:color="auto"/>
              <w:bottom w:val="single" w:sz="4" w:space="0" w:color="auto"/>
            </w:tcBorders>
            <w:shd w:val="clear" w:color="auto" w:fill="auto"/>
            <w:noWrap/>
            <w:vAlign w:val="center"/>
          </w:tcPr>
          <w:p w14:paraId="66CB5325" w14:textId="74B35103"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9</w:t>
            </w:r>
          </w:p>
        </w:tc>
        <w:tc>
          <w:tcPr>
            <w:tcW w:w="439" w:type="dxa"/>
            <w:tcBorders>
              <w:top w:val="single" w:sz="4" w:space="0" w:color="auto"/>
              <w:bottom w:val="single" w:sz="4" w:space="0" w:color="auto"/>
            </w:tcBorders>
            <w:shd w:val="clear" w:color="auto" w:fill="auto"/>
            <w:noWrap/>
            <w:vAlign w:val="center"/>
          </w:tcPr>
          <w:p w14:paraId="2141920D" w14:textId="1E37C88B"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10</w:t>
            </w:r>
          </w:p>
        </w:tc>
        <w:tc>
          <w:tcPr>
            <w:tcW w:w="439" w:type="dxa"/>
            <w:tcBorders>
              <w:top w:val="single" w:sz="4" w:space="0" w:color="auto"/>
              <w:bottom w:val="single" w:sz="4" w:space="0" w:color="auto"/>
            </w:tcBorders>
            <w:shd w:val="clear" w:color="auto" w:fill="auto"/>
            <w:noWrap/>
            <w:vAlign w:val="center"/>
          </w:tcPr>
          <w:p w14:paraId="6B8CCDDE" w14:textId="5D153810"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11</w:t>
            </w:r>
          </w:p>
        </w:tc>
        <w:tc>
          <w:tcPr>
            <w:tcW w:w="439" w:type="dxa"/>
            <w:tcBorders>
              <w:top w:val="single" w:sz="4" w:space="0" w:color="auto"/>
              <w:bottom w:val="single" w:sz="4" w:space="0" w:color="auto"/>
            </w:tcBorders>
            <w:shd w:val="clear" w:color="auto" w:fill="auto"/>
            <w:noWrap/>
            <w:vAlign w:val="center"/>
          </w:tcPr>
          <w:p w14:paraId="13C2B2FD" w14:textId="1214A72A"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12</w:t>
            </w:r>
          </w:p>
        </w:tc>
        <w:tc>
          <w:tcPr>
            <w:tcW w:w="439" w:type="dxa"/>
            <w:tcBorders>
              <w:top w:val="single" w:sz="4" w:space="0" w:color="auto"/>
              <w:bottom w:val="single" w:sz="4" w:space="0" w:color="auto"/>
            </w:tcBorders>
            <w:shd w:val="clear" w:color="auto" w:fill="auto"/>
            <w:noWrap/>
            <w:vAlign w:val="center"/>
          </w:tcPr>
          <w:p w14:paraId="2F5958C5" w14:textId="3D5DB892"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13</w:t>
            </w:r>
          </w:p>
        </w:tc>
        <w:tc>
          <w:tcPr>
            <w:tcW w:w="439" w:type="dxa"/>
            <w:tcBorders>
              <w:top w:val="single" w:sz="4" w:space="0" w:color="auto"/>
              <w:bottom w:val="single" w:sz="4" w:space="0" w:color="auto"/>
            </w:tcBorders>
            <w:shd w:val="clear" w:color="auto" w:fill="auto"/>
            <w:noWrap/>
            <w:vAlign w:val="center"/>
          </w:tcPr>
          <w:p w14:paraId="11AF54A3" w14:textId="4F7E895D"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14</w:t>
            </w:r>
          </w:p>
        </w:tc>
        <w:tc>
          <w:tcPr>
            <w:tcW w:w="439" w:type="dxa"/>
            <w:tcBorders>
              <w:top w:val="single" w:sz="4" w:space="0" w:color="auto"/>
              <w:bottom w:val="single" w:sz="4" w:space="0" w:color="auto"/>
            </w:tcBorders>
            <w:shd w:val="clear" w:color="auto" w:fill="auto"/>
            <w:noWrap/>
            <w:vAlign w:val="center"/>
          </w:tcPr>
          <w:p w14:paraId="0E4EA73E" w14:textId="446883D6"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15</w:t>
            </w:r>
          </w:p>
        </w:tc>
        <w:tc>
          <w:tcPr>
            <w:tcW w:w="439" w:type="dxa"/>
            <w:tcBorders>
              <w:top w:val="single" w:sz="4" w:space="0" w:color="auto"/>
              <w:bottom w:val="single" w:sz="4" w:space="0" w:color="auto"/>
            </w:tcBorders>
            <w:shd w:val="clear" w:color="auto" w:fill="auto"/>
            <w:noWrap/>
            <w:vAlign w:val="center"/>
          </w:tcPr>
          <w:p w14:paraId="7A72A793" w14:textId="7896746B"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16</w:t>
            </w:r>
          </w:p>
        </w:tc>
        <w:tc>
          <w:tcPr>
            <w:tcW w:w="439" w:type="dxa"/>
            <w:tcBorders>
              <w:top w:val="single" w:sz="4" w:space="0" w:color="auto"/>
              <w:bottom w:val="single" w:sz="4" w:space="0" w:color="auto"/>
            </w:tcBorders>
            <w:shd w:val="clear" w:color="auto" w:fill="auto"/>
            <w:noWrap/>
            <w:vAlign w:val="center"/>
          </w:tcPr>
          <w:p w14:paraId="1B939922" w14:textId="3EFD183E"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17</w:t>
            </w:r>
          </w:p>
        </w:tc>
        <w:tc>
          <w:tcPr>
            <w:tcW w:w="439" w:type="dxa"/>
            <w:tcBorders>
              <w:top w:val="single" w:sz="4" w:space="0" w:color="auto"/>
              <w:bottom w:val="single" w:sz="4" w:space="0" w:color="auto"/>
            </w:tcBorders>
            <w:shd w:val="clear" w:color="auto" w:fill="auto"/>
            <w:noWrap/>
            <w:vAlign w:val="center"/>
          </w:tcPr>
          <w:p w14:paraId="08666208" w14:textId="0E97E79B"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18</w:t>
            </w:r>
          </w:p>
        </w:tc>
        <w:tc>
          <w:tcPr>
            <w:tcW w:w="439" w:type="dxa"/>
            <w:tcBorders>
              <w:top w:val="single" w:sz="4" w:space="0" w:color="auto"/>
              <w:bottom w:val="single" w:sz="4" w:space="0" w:color="auto"/>
            </w:tcBorders>
            <w:shd w:val="clear" w:color="auto" w:fill="auto"/>
            <w:noWrap/>
            <w:vAlign w:val="center"/>
          </w:tcPr>
          <w:p w14:paraId="5ACB749E" w14:textId="749CDA0E"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19</w:t>
            </w:r>
          </w:p>
        </w:tc>
        <w:tc>
          <w:tcPr>
            <w:tcW w:w="439" w:type="dxa"/>
            <w:tcBorders>
              <w:top w:val="single" w:sz="4" w:space="0" w:color="auto"/>
              <w:bottom w:val="single" w:sz="4" w:space="0" w:color="auto"/>
            </w:tcBorders>
            <w:shd w:val="clear" w:color="auto" w:fill="auto"/>
            <w:noWrap/>
            <w:vAlign w:val="center"/>
          </w:tcPr>
          <w:p w14:paraId="4A45B594" w14:textId="4066467E"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20</w:t>
            </w:r>
          </w:p>
        </w:tc>
        <w:tc>
          <w:tcPr>
            <w:tcW w:w="439" w:type="dxa"/>
            <w:tcBorders>
              <w:top w:val="single" w:sz="4" w:space="0" w:color="auto"/>
              <w:bottom w:val="single" w:sz="4" w:space="0" w:color="auto"/>
            </w:tcBorders>
            <w:shd w:val="clear" w:color="auto" w:fill="auto"/>
            <w:noWrap/>
            <w:vAlign w:val="center"/>
          </w:tcPr>
          <w:p w14:paraId="6F53C2FC" w14:textId="2EAB2FE8"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21</w:t>
            </w:r>
          </w:p>
        </w:tc>
        <w:tc>
          <w:tcPr>
            <w:tcW w:w="439" w:type="dxa"/>
            <w:tcBorders>
              <w:top w:val="single" w:sz="4" w:space="0" w:color="auto"/>
              <w:bottom w:val="single" w:sz="4" w:space="0" w:color="auto"/>
            </w:tcBorders>
            <w:shd w:val="clear" w:color="auto" w:fill="auto"/>
            <w:noWrap/>
            <w:vAlign w:val="center"/>
          </w:tcPr>
          <w:p w14:paraId="7B6C1DAD" w14:textId="7859B2D7"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22</w:t>
            </w:r>
          </w:p>
        </w:tc>
        <w:tc>
          <w:tcPr>
            <w:tcW w:w="439" w:type="dxa"/>
            <w:tcBorders>
              <w:top w:val="single" w:sz="4" w:space="0" w:color="auto"/>
              <w:bottom w:val="single" w:sz="4" w:space="0" w:color="auto"/>
            </w:tcBorders>
            <w:shd w:val="clear" w:color="auto" w:fill="auto"/>
            <w:noWrap/>
            <w:vAlign w:val="center"/>
          </w:tcPr>
          <w:p w14:paraId="7DBB77D8" w14:textId="242EE0F6"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23</w:t>
            </w:r>
          </w:p>
        </w:tc>
        <w:tc>
          <w:tcPr>
            <w:tcW w:w="439" w:type="dxa"/>
            <w:tcBorders>
              <w:top w:val="single" w:sz="4" w:space="0" w:color="auto"/>
              <w:bottom w:val="single" w:sz="4" w:space="0" w:color="auto"/>
            </w:tcBorders>
            <w:shd w:val="clear" w:color="auto" w:fill="auto"/>
            <w:noWrap/>
            <w:vAlign w:val="center"/>
          </w:tcPr>
          <w:p w14:paraId="1BF19F5E" w14:textId="357904C6"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24</w:t>
            </w:r>
          </w:p>
        </w:tc>
        <w:tc>
          <w:tcPr>
            <w:tcW w:w="439" w:type="dxa"/>
            <w:tcBorders>
              <w:top w:val="single" w:sz="4" w:space="0" w:color="auto"/>
              <w:bottom w:val="single" w:sz="4" w:space="0" w:color="auto"/>
            </w:tcBorders>
            <w:shd w:val="clear" w:color="auto" w:fill="auto"/>
            <w:noWrap/>
            <w:vAlign w:val="center"/>
          </w:tcPr>
          <w:p w14:paraId="1F7BA368" w14:textId="7EB8FDBD"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25</w:t>
            </w:r>
          </w:p>
        </w:tc>
        <w:tc>
          <w:tcPr>
            <w:tcW w:w="439" w:type="dxa"/>
            <w:tcBorders>
              <w:top w:val="single" w:sz="4" w:space="0" w:color="auto"/>
              <w:bottom w:val="single" w:sz="4" w:space="0" w:color="auto"/>
            </w:tcBorders>
            <w:shd w:val="clear" w:color="auto" w:fill="auto"/>
            <w:noWrap/>
            <w:vAlign w:val="center"/>
          </w:tcPr>
          <w:p w14:paraId="6538807B" w14:textId="19EB2563"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26</w:t>
            </w:r>
          </w:p>
        </w:tc>
        <w:tc>
          <w:tcPr>
            <w:tcW w:w="439" w:type="dxa"/>
            <w:tcBorders>
              <w:top w:val="single" w:sz="4" w:space="0" w:color="auto"/>
              <w:bottom w:val="single" w:sz="4" w:space="0" w:color="auto"/>
            </w:tcBorders>
            <w:shd w:val="clear" w:color="auto" w:fill="auto"/>
            <w:noWrap/>
            <w:vAlign w:val="center"/>
          </w:tcPr>
          <w:p w14:paraId="43A5D543" w14:textId="6D0605D4"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27</w:t>
            </w:r>
          </w:p>
        </w:tc>
        <w:tc>
          <w:tcPr>
            <w:tcW w:w="709" w:type="dxa"/>
            <w:tcBorders>
              <w:top w:val="single" w:sz="4" w:space="0" w:color="auto"/>
              <w:bottom w:val="single" w:sz="4" w:space="0" w:color="auto"/>
            </w:tcBorders>
            <w:shd w:val="clear" w:color="auto" w:fill="auto"/>
            <w:noWrap/>
            <w:vAlign w:val="center"/>
          </w:tcPr>
          <w:p w14:paraId="4BF3385E" w14:textId="1B1A7F11" w:rsidR="004C3DFA" w:rsidRPr="00EA0DC7" w:rsidRDefault="004C3DFA" w:rsidP="004C3DFA">
            <w:pPr>
              <w:spacing w:before="240" w:line="240" w:lineRule="auto"/>
              <w:jc w:val="center"/>
              <w:rPr>
                <w:rFonts w:eastAsia="Times New Roman" w:cs="Arial"/>
                <w:sz w:val="20"/>
                <w:szCs w:val="20"/>
              </w:rPr>
            </w:pPr>
            <w:r w:rsidRPr="00EA0DC7">
              <w:rPr>
                <w:rFonts w:eastAsia="Times New Roman" w:cs="Arial"/>
                <w:b/>
                <w:bCs/>
                <w:sz w:val="20"/>
                <w:szCs w:val="20"/>
              </w:rPr>
              <w:t>Total</w:t>
            </w:r>
          </w:p>
        </w:tc>
      </w:tr>
      <w:tr w:rsidR="00317AFF" w:rsidRPr="00EA0DC7" w14:paraId="280ECF5C" w14:textId="77777777" w:rsidTr="00077B96">
        <w:trPr>
          <w:trHeight w:val="300"/>
        </w:trPr>
        <w:tc>
          <w:tcPr>
            <w:tcW w:w="1306" w:type="dxa"/>
            <w:tcBorders>
              <w:top w:val="single" w:sz="4" w:space="0" w:color="auto"/>
            </w:tcBorders>
            <w:shd w:val="clear" w:color="auto" w:fill="auto"/>
            <w:noWrap/>
            <w:hideMark/>
          </w:tcPr>
          <w:p w14:paraId="0686521E" w14:textId="77777777" w:rsidR="00317AFF" w:rsidRPr="00EA0DC7" w:rsidRDefault="00317AFF" w:rsidP="00077B96">
            <w:pPr>
              <w:spacing w:before="240" w:line="240" w:lineRule="auto"/>
              <w:jc w:val="left"/>
              <w:rPr>
                <w:rFonts w:eastAsia="Times New Roman" w:cs="Arial"/>
                <w:sz w:val="20"/>
                <w:szCs w:val="20"/>
              </w:rPr>
            </w:pPr>
            <w:r w:rsidRPr="00EA0DC7">
              <w:rPr>
                <w:rFonts w:eastAsia="Times New Roman" w:cs="Arial"/>
                <w:sz w:val="20"/>
                <w:szCs w:val="20"/>
              </w:rPr>
              <w:t xml:space="preserve">Burlingame et al. (2007) </w:t>
            </w:r>
            <w:r w:rsidRPr="00EA0DC7">
              <w:rPr>
                <w:rFonts w:eastAsia="Times New Roman" w:cs="Arial"/>
                <w:i/>
                <w:sz w:val="20"/>
                <w:szCs w:val="20"/>
              </w:rPr>
              <w:t>P</w:t>
            </w:r>
          </w:p>
        </w:tc>
        <w:tc>
          <w:tcPr>
            <w:tcW w:w="425" w:type="dxa"/>
            <w:tcBorders>
              <w:top w:val="single" w:sz="4" w:space="0" w:color="auto"/>
            </w:tcBorders>
            <w:shd w:val="clear" w:color="auto" w:fill="auto"/>
            <w:noWrap/>
            <w:hideMark/>
          </w:tcPr>
          <w:p w14:paraId="6A090344"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76CF34A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0623A23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2011FC3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6D053EE3"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7D4A8F2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30630C1C"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62D45D8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25" w:type="dxa"/>
            <w:tcBorders>
              <w:top w:val="single" w:sz="4" w:space="0" w:color="auto"/>
            </w:tcBorders>
            <w:shd w:val="clear" w:color="auto" w:fill="auto"/>
            <w:noWrap/>
            <w:hideMark/>
          </w:tcPr>
          <w:p w14:paraId="08149EDF"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1A1F858A"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4652BF4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6F80A67C"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357FDCE2" w14:textId="1F3A4090"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05498B1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168D128"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5D2CDE6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1D5CB41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0874AED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F635C1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21CFF7B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425E943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416934C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C19DF73"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079E2AFA"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59E3776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0667DE2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59C1E85D"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709" w:type="dxa"/>
            <w:tcBorders>
              <w:top w:val="single" w:sz="4" w:space="0" w:color="auto"/>
            </w:tcBorders>
            <w:shd w:val="clear" w:color="auto" w:fill="auto"/>
            <w:noWrap/>
            <w:hideMark/>
          </w:tcPr>
          <w:p w14:paraId="7EFC1717"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15</w:t>
            </w:r>
          </w:p>
        </w:tc>
      </w:tr>
      <w:tr w:rsidR="00317AFF" w:rsidRPr="00EA0DC7" w14:paraId="01CA6BCC" w14:textId="77777777" w:rsidTr="004C3DFA">
        <w:trPr>
          <w:trHeight w:val="300"/>
        </w:trPr>
        <w:tc>
          <w:tcPr>
            <w:tcW w:w="1306" w:type="dxa"/>
            <w:shd w:val="clear" w:color="auto" w:fill="auto"/>
            <w:noWrap/>
            <w:hideMark/>
          </w:tcPr>
          <w:p w14:paraId="4AF28B85"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 xml:space="preserve">Crutchfield &amp; Borders (1997) </w:t>
            </w:r>
            <w:r w:rsidRPr="00EA0DC7">
              <w:rPr>
                <w:rFonts w:eastAsia="Times New Roman" w:cs="Arial"/>
                <w:i/>
                <w:sz w:val="20"/>
                <w:szCs w:val="20"/>
              </w:rPr>
              <w:t>T</w:t>
            </w:r>
          </w:p>
        </w:tc>
        <w:tc>
          <w:tcPr>
            <w:tcW w:w="425" w:type="dxa"/>
            <w:shd w:val="clear" w:color="auto" w:fill="auto"/>
            <w:noWrap/>
            <w:hideMark/>
          </w:tcPr>
          <w:p w14:paraId="55DF387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F86348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A9AE0B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2AB77B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71C79E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A7D654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7A2AD1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6D6CE2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9AE971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9E8062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541F9F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F1F37B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BAA6B03" w14:textId="56E816BB"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3D816A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3E9BF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97247F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03ECD6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45AD52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BAF8F0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910094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74149B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EB6498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22E80C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D0E2A0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36E438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822543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8065DB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4746CA4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15</w:t>
            </w:r>
          </w:p>
        </w:tc>
      </w:tr>
      <w:tr w:rsidR="00317AFF" w:rsidRPr="00EA0DC7" w14:paraId="60D91C4C" w14:textId="77777777" w:rsidTr="004C3DFA">
        <w:trPr>
          <w:trHeight w:val="300"/>
        </w:trPr>
        <w:tc>
          <w:tcPr>
            <w:tcW w:w="1306" w:type="dxa"/>
            <w:shd w:val="clear" w:color="auto" w:fill="auto"/>
            <w:noWrap/>
            <w:hideMark/>
          </w:tcPr>
          <w:p w14:paraId="4D962376"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Crutchfield &amp; Borders (1997)</w:t>
            </w:r>
            <w:r w:rsidRPr="00EA0DC7">
              <w:rPr>
                <w:rFonts w:eastAsia="Times New Roman" w:cs="Arial"/>
                <w:i/>
                <w:sz w:val="20"/>
                <w:szCs w:val="20"/>
              </w:rPr>
              <w:t xml:space="preserve"> P</w:t>
            </w:r>
          </w:p>
        </w:tc>
        <w:tc>
          <w:tcPr>
            <w:tcW w:w="425" w:type="dxa"/>
            <w:shd w:val="clear" w:color="auto" w:fill="auto"/>
            <w:noWrap/>
            <w:hideMark/>
          </w:tcPr>
          <w:p w14:paraId="13DB421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5D83E74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84CE7C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2964E50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EB43E8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3CF7E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A42922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6ED4F3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904A62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2680B5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C8850F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496E25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B759F1C" w14:textId="0897A67A"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A65D2E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F58F10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223CF8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2DDE93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648445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D7265E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8BCB79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ADB35A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6A62AC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FC4B9E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91E004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EFCB65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FEB598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2D685E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7ADBE47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11</w:t>
            </w:r>
          </w:p>
        </w:tc>
      </w:tr>
      <w:tr w:rsidR="00317AFF" w:rsidRPr="00EA0DC7" w14:paraId="782B8639" w14:textId="77777777" w:rsidTr="004C3DFA">
        <w:trPr>
          <w:trHeight w:val="300"/>
        </w:trPr>
        <w:tc>
          <w:tcPr>
            <w:tcW w:w="1306" w:type="dxa"/>
            <w:shd w:val="clear" w:color="auto" w:fill="auto"/>
            <w:noWrap/>
            <w:hideMark/>
          </w:tcPr>
          <w:p w14:paraId="041F89D2"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Fenell et al. (1986)</w:t>
            </w:r>
          </w:p>
        </w:tc>
        <w:tc>
          <w:tcPr>
            <w:tcW w:w="425" w:type="dxa"/>
            <w:shd w:val="clear" w:color="auto" w:fill="auto"/>
            <w:noWrap/>
            <w:hideMark/>
          </w:tcPr>
          <w:p w14:paraId="48F6FA9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5F7EFE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3BC7A7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00B219F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B9BF00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855073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1022B1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B3BB2A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7C40707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F27D5A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63D5AA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ACB04A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97EEBB7" w14:textId="1C9E90AC"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258BE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C75984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660AB5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599519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5DCD24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37C746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88AF94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68ABCF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37F255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FC878D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8D16C3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5320B3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BE6346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973FB3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217A9ED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12</w:t>
            </w:r>
          </w:p>
        </w:tc>
      </w:tr>
      <w:tr w:rsidR="00317AFF" w:rsidRPr="00EA0DC7" w14:paraId="4C4A595D" w14:textId="77777777" w:rsidTr="004C3DFA">
        <w:trPr>
          <w:trHeight w:val="300"/>
        </w:trPr>
        <w:tc>
          <w:tcPr>
            <w:tcW w:w="1306" w:type="dxa"/>
            <w:shd w:val="clear" w:color="auto" w:fill="auto"/>
            <w:noWrap/>
            <w:hideMark/>
          </w:tcPr>
          <w:p w14:paraId="38C931CB"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Grossl et al. (2014)</w:t>
            </w:r>
          </w:p>
        </w:tc>
        <w:tc>
          <w:tcPr>
            <w:tcW w:w="425" w:type="dxa"/>
            <w:shd w:val="clear" w:color="auto" w:fill="auto"/>
            <w:noWrap/>
            <w:hideMark/>
          </w:tcPr>
          <w:p w14:paraId="1988009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18BF53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14A9CE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67197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EDBEC9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4610985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5B093D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223E02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155B954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57AC5D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203DAE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8F108F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1F19EB0" w14:textId="2A0CF038"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D617DD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025418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050A1A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0565EE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C84B37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9E4DC4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BE27A2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A755AD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32B1C8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7F193B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9BCFAA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1E86F0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CF70B6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C7DFF7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18BE017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13</w:t>
            </w:r>
          </w:p>
        </w:tc>
      </w:tr>
      <w:tr w:rsidR="00317AFF" w:rsidRPr="00EA0DC7" w14:paraId="6072437D" w14:textId="77777777" w:rsidTr="004C3DFA">
        <w:trPr>
          <w:trHeight w:val="300"/>
        </w:trPr>
        <w:tc>
          <w:tcPr>
            <w:tcW w:w="1306" w:type="dxa"/>
            <w:shd w:val="clear" w:color="auto" w:fill="auto"/>
            <w:noWrap/>
            <w:hideMark/>
          </w:tcPr>
          <w:p w14:paraId="5B5334A7"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Kivlighan et al. (1991)</w:t>
            </w:r>
          </w:p>
        </w:tc>
        <w:tc>
          <w:tcPr>
            <w:tcW w:w="425" w:type="dxa"/>
            <w:shd w:val="clear" w:color="auto" w:fill="auto"/>
            <w:noWrap/>
            <w:hideMark/>
          </w:tcPr>
          <w:p w14:paraId="2217CBC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5F1545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63DF05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13A05C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9FDA5A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w:t>
            </w:r>
          </w:p>
        </w:tc>
        <w:tc>
          <w:tcPr>
            <w:tcW w:w="425" w:type="dxa"/>
            <w:shd w:val="clear" w:color="auto" w:fill="auto"/>
            <w:noWrap/>
            <w:hideMark/>
          </w:tcPr>
          <w:p w14:paraId="62C7B34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235A7E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F77EF9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37301C9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BC4F24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D8F03C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28FCFE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22824D0" w14:textId="35EE2592"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919337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6D8A92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0DE5B9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D6BA31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5B916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4E5E82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308ABF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EB9DD4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B69B4C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148BF3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EDC45B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36A97C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B4E810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DB865B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162339E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16</w:t>
            </w:r>
          </w:p>
        </w:tc>
      </w:tr>
      <w:tr w:rsidR="00317AFF" w:rsidRPr="00EA0DC7" w14:paraId="1F206D83" w14:textId="77777777" w:rsidTr="004C3DFA">
        <w:trPr>
          <w:trHeight w:val="300"/>
        </w:trPr>
        <w:tc>
          <w:tcPr>
            <w:tcW w:w="1306" w:type="dxa"/>
            <w:shd w:val="clear" w:color="auto" w:fill="auto"/>
            <w:noWrap/>
            <w:hideMark/>
          </w:tcPr>
          <w:p w14:paraId="1A93FF0F"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Ladany et al. (1999)</w:t>
            </w:r>
          </w:p>
        </w:tc>
        <w:tc>
          <w:tcPr>
            <w:tcW w:w="425" w:type="dxa"/>
            <w:shd w:val="clear" w:color="auto" w:fill="auto"/>
            <w:noWrap/>
            <w:hideMark/>
          </w:tcPr>
          <w:p w14:paraId="3AACA47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C2E1DA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60357BB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ED9189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699045C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w:t>
            </w:r>
          </w:p>
        </w:tc>
        <w:tc>
          <w:tcPr>
            <w:tcW w:w="425" w:type="dxa"/>
            <w:shd w:val="clear" w:color="auto" w:fill="auto"/>
            <w:noWrap/>
            <w:hideMark/>
          </w:tcPr>
          <w:p w14:paraId="5ED1815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65BBA3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80411D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3F2C7B7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8890D0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CC4762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07F5255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2A5268F" w14:textId="63E1FAD4"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4C5142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7A27AE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F51B0E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BFB941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D6CDC7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453B91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AEFC59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B7B70A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99E291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39A159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93B265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D3A7AF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78C721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20252D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3E31FF6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15</w:t>
            </w:r>
          </w:p>
        </w:tc>
      </w:tr>
      <w:tr w:rsidR="00317AFF" w:rsidRPr="00EA0DC7" w14:paraId="243C466B" w14:textId="77777777" w:rsidTr="000E1A90">
        <w:trPr>
          <w:trHeight w:val="300"/>
        </w:trPr>
        <w:tc>
          <w:tcPr>
            <w:tcW w:w="1306" w:type="dxa"/>
            <w:shd w:val="clear" w:color="auto" w:fill="auto"/>
            <w:noWrap/>
            <w:hideMark/>
          </w:tcPr>
          <w:p w14:paraId="45ACEE81"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Reese et al. (2009)</w:t>
            </w:r>
            <w:r w:rsidRPr="00EA0DC7">
              <w:rPr>
                <w:rFonts w:eastAsia="Times New Roman" w:cs="Arial"/>
                <w:i/>
                <w:sz w:val="20"/>
                <w:szCs w:val="20"/>
              </w:rPr>
              <w:t xml:space="preserve"> T</w:t>
            </w:r>
          </w:p>
        </w:tc>
        <w:tc>
          <w:tcPr>
            <w:tcW w:w="425" w:type="dxa"/>
            <w:shd w:val="clear" w:color="auto" w:fill="auto"/>
            <w:noWrap/>
            <w:hideMark/>
          </w:tcPr>
          <w:p w14:paraId="1646B03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0E40B2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78C755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27F525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986C07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1192DF3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A8AF59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FFD425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41E6767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15CA1C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9B73F9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610283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4E409C4" w14:textId="65E9C448"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B57961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A25F42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D14696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31CDB0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50C6F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92C71E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91BD96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C6F4C4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4CF460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EBE070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B218AB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0D448A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AF4204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2866BE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49E6544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14</w:t>
            </w:r>
          </w:p>
        </w:tc>
      </w:tr>
      <w:tr w:rsidR="00317AFF" w:rsidRPr="00EA0DC7" w14:paraId="2FC451CD" w14:textId="77777777" w:rsidTr="000E1A90">
        <w:trPr>
          <w:trHeight w:val="300"/>
        </w:trPr>
        <w:tc>
          <w:tcPr>
            <w:tcW w:w="1306" w:type="dxa"/>
            <w:tcBorders>
              <w:bottom w:val="single" w:sz="4" w:space="0" w:color="auto"/>
            </w:tcBorders>
            <w:shd w:val="clear" w:color="auto" w:fill="auto"/>
            <w:noWrap/>
            <w:hideMark/>
          </w:tcPr>
          <w:p w14:paraId="37663ECE"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 xml:space="preserve">Reese et al. (2009) </w:t>
            </w:r>
            <w:r w:rsidRPr="00EA0DC7">
              <w:rPr>
                <w:rFonts w:eastAsia="Times New Roman" w:cs="Arial"/>
                <w:i/>
                <w:sz w:val="20"/>
                <w:szCs w:val="20"/>
              </w:rPr>
              <w:t>P</w:t>
            </w:r>
          </w:p>
        </w:tc>
        <w:tc>
          <w:tcPr>
            <w:tcW w:w="425" w:type="dxa"/>
            <w:tcBorders>
              <w:bottom w:val="single" w:sz="4" w:space="0" w:color="auto"/>
            </w:tcBorders>
            <w:shd w:val="clear" w:color="auto" w:fill="auto"/>
            <w:noWrap/>
            <w:hideMark/>
          </w:tcPr>
          <w:p w14:paraId="688426B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30CD6DE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53FE1EB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56EC5C1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4495DED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tcBorders>
              <w:bottom w:val="single" w:sz="4" w:space="0" w:color="auto"/>
            </w:tcBorders>
            <w:shd w:val="clear" w:color="auto" w:fill="auto"/>
            <w:noWrap/>
            <w:hideMark/>
          </w:tcPr>
          <w:p w14:paraId="4493651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659A85B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74088D3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tcBorders>
              <w:bottom w:val="single" w:sz="4" w:space="0" w:color="auto"/>
            </w:tcBorders>
            <w:shd w:val="clear" w:color="auto" w:fill="auto"/>
            <w:noWrap/>
            <w:hideMark/>
          </w:tcPr>
          <w:p w14:paraId="071DE7E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21570F1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23EAD4B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02EEADB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198B4BC1" w14:textId="50F4215A"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0FE5F1C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03790E6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62B28B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0C6BCE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734955A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F69192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DF5D8E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3B8E446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BE2BEE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24C30A4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696CFAA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14D9153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670EAC9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38FF70F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tcBorders>
              <w:bottom w:val="single" w:sz="4" w:space="0" w:color="auto"/>
            </w:tcBorders>
            <w:shd w:val="clear" w:color="auto" w:fill="auto"/>
            <w:noWrap/>
            <w:hideMark/>
          </w:tcPr>
          <w:p w14:paraId="3A9CE32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13</w:t>
            </w:r>
          </w:p>
        </w:tc>
      </w:tr>
    </w:tbl>
    <w:p w14:paraId="5D158D6D" w14:textId="77777777" w:rsidR="000E1A90" w:rsidRPr="00EA0DC7" w:rsidRDefault="000E1A90" w:rsidP="00077B96">
      <w:pPr>
        <w:spacing w:before="240" w:line="240" w:lineRule="auto"/>
        <w:jc w:val="left"/>
        <w:rPr>
          <w:rFonts w:eastAsia="Times New Roman" w:cs="Arial"/>
          <w:b/>
          <w:bCs/>
          <w:sz w:val="20"/>
          <w:szCs w:val="20"/>
        </w:rPr>
        <w:sectPr w:rsidR="000E1A90" w:rsidRPr="00EA0DC7" w:rsidSect="00447909">
          <w:pgSz w:w="16838" w:h="11906" w:orient="landscape"/>
          <w:pgMar w:top="1440" w:right="1440" w:bottom="2268" w:left="1440" w:header="709" w:footer="709" w:gutter="0"/>
          <w:cols w:space="708"/>
          <w:docGrid w:linePitch="360"/>
        </w:sectPr>
      </w:pPr>
    </w:p>
    <w:tbl>
      <w:tblPr>
        <w:tblW w:w="13742" w:type="dxa"/>
        <w:tblLook w:val="04A0" w:firstRow="1" w:lastRow="0" w:firstColumn="1" w:lastColumn="0" w:noHBand="0" w:noVBand="1"/>
      </w:tblPr>
      <w:tblGrid>
        <w:gridCol w:w="1306"/>
        <w:gridCol w:w="425"/>
        <w:gridCol w:w="425"/>
        <w:gridCol w:w="425"/>
        <w:gridCol w:w="425"/>
        <w:gridCol w:w="425"/>
        <w:gridCol w:w="425"/>
        <w:gridCol w:w="425"/>
        <w:gridCol w:w="425"/>
        <w:gridCol w:w="425"/>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709"/>
      </w:tblGrid>
      <w:tr w:rsidR="00077B96" w:rsidRPr="00EA0DC7" w14:paraId="6C1DF98D" w14:textId="77777777" w:rsidTr="000E1A90">
        <w:trPr>
          <w:trHeight w:val="300"/>
        </w:trPr>
        <w:tc>
          <w:tcPr>
            <w:tcW w:w="1306" w:type="dxa"/>
            <w:tcBorders>
              <w:top w:val="single" w:sz="4" w:space="0" w:color="auto"/>
              <w:bottom w:val="single" w:sz="4" w:space="0" w:color="auto"/>
            </w:tcBorders>
            <w:shd w:val="clear" w:color="auto" w:fill="auto"/>
            <w:noWrap/>
            <w:vAlign w:val="center"/>
          </w:tcPr>
          <w:p w14:paraId="49038E62" w14:textId="4B3576A6" w:rsidR="00077B96" w:rsidRPr="00EA0DC7" w:rsidRDefault="00077B96" w:rsidP="00077B96">
            <w:pPr>
              <w:spacing w:before="240" w:line="240" w:lineRule="auto"/>
              <w:jc w:val="left"/>
              <w:rPr>
                <w:rFonts w:eastAsia="Times New Roman" w:cs="Arial"/>
                <w:sz w:val="20"/>
                <w:szCs w:val="20"/>
              </w:rPr>
            </w:pPr>
            <w:r w:rsidRPr="00EA0DC7">
              <w:rPr>
                <w:rFonts w:eastAsia="Times New Roman" w:cs="Arial"/>
                <w:b/>
                <w:bCs/>
                <w:sz w:val="20"/>
                <w:szCs w:val="20"/>
              </w:rPr>
              <w:lastRenderedPageBreak/>
              <w:t>Study</w:t>
            </w:r>
          </w:p>
        </w:tc>
        <w:tc>
          <w:tcPr>
            <w:tcW w:w="425" w:type="dxa"/>
            <w:tcBorders>
              <w:top w:val="single" w:sz="4" w:space="0" w:color="auto"/>
              <w:bottom w:val="single" w:sz="4" w:space="0" w:color="auto"/>
            </w:tcBorders>
            <w:shd w:val="clear" w:color="auto" w:fill="auto"/>
            <w:noWrap/>
            <w:vAlign w:val="center"/>
          </w:tcPr>
          <w:p w14:paraId="287A13F0" w14:textId="57C37B8D"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w:t>
            </w:r>
          </w:p>
        </w:tc>
        <w:tc>
          <w:tcPr>
            <w:tcW w:w="425" w:type="dxa"/>
            <w:tcBorders>
              <w:top w:val="single" w:sz="4" w:space="0" w:color="auto"/>
              <w:bottom w:val="single" w:sz="4" w:space="0" w:color="auto"/>
            </w:tcBorders>
            <w:shd w:val="clear" w:color="auto" w:fill="auto"/>
            <w:noWrap/>
            <w:vAlign w:val="center"/>
          </w:tcPr>
          <w:p w14:paraId="6E5B999A" w14:textId="0167A51F"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w:t>
            </w:r>
          </w:p>
        </w:tc>
        <w:tc>
          <w:tcPr>
            <w:tcW w:w="425" w:type="dxa"/>
            <w:tcBorders>
              <w:top w:val="single" w:sz="4" w:space="0" w:color="auto"/>
              <w:bottom w:val="single" w:sz="4" w:space="0" w:color="auto"/>
            </w:tcBorders>
            <w:shd w:val="clear" w:color="auto" w:fill="auto"/>
            <w:noWrap/>
            <w:vAlign w:val="center"/>
          </w:tcPr>
          <w:p w14:paraId="4B20AAB9" w14:textId="00364206"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3</w:t>
            </w:r>
          </w:p>
        </w:tc>
        <w:tc>
          <w:tcPr>
            <w:tcW w:w="425" w:type="dxa"/>
            <w:tcBorders>
              <w:top w:val="single" w:sz="4" w:space="0" w:color="auto"/>
              <w:bottom w:val="single" w:sz="4" w:space="0" w:color="auto"/>
            </w:tcBorders>
            <w:shd w:val="clear" w:color="auto" w:fill="auto"/>
            <w:noWrap/>
            <w:vAlign w:val="center"/>
          </w:tcPr>
          <w:p w14:paraId="3F4245C3" w14:textId="3C8F96A7"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4</w:t>
            </w:r>
          </w:p>
        </w:tc>
        <w:tc>
          <w:tcPr>
            <w:tcW w:w="425" w:type="dxa"/>
            <w:tcBorders>
              <w:top w:val="single" w:sz="4" w:space="0" w:color="auto"/>
              <w:bottom w:val="single" w:sz="4" w:space="0" w:color="auto"/>
            </w:tcBorders>
            <w:shd w:val="clear" w:color="auto" w:fill="auto"/>
            <w:noWrap/>
            <w:vAlign w:val="center"/>
          </w:tcPr>
          <w:p w14:paraId="6C7B1969" w14:textId="6B936C07"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5</w:t>
            </w:r>
          </w:p>
        </w:tc>
        <w:tc>
          <w:tcPr>
            <w:tcW w:w="425" w:type="dxa"/>
            <w:tcBorders>
              <w:top w:val="single" w:sz="4" w:space="0" w:color="auto"/>
              <w:bottom w:val="single" w:sz="4" w:space="0" w:color="auto"/>
            </w:tcBorders>
            <w:shd w:val="clear" w:color="auto" w:fill="auto"/>
            <w:noWrap/>
            <w:vAlign w:val="center"/>
          </w:tcPr>
          <w:p w14:paraId="498ACD9A" w14:textId="11A43771"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6</w:t>
            </w:r>
          </w:p>
        </w:tc>
        <w:tc>
          <w:tcPr>
            <w:tcW w:w="425" w:type="dxa"/>
            <w:tcBorders>
              <w:top w:val="single" w:sz="4" w:space="0" w:color="auto"/>
              <w:bottom w:val="single" w:sz="4" w:space="0" w:color="auto"/>
            </w:tcBorders>
            <w:shd w:val="clear" w:color="auto" w:fill="auto"/>
            <w:noWrap/>
            <w:vAlign w:val="center"/>
          </w:tcPr>
          <w:p w14:paraId="6CFE5B8B" w14:textId="63EF96EE"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7</w:t>
            </w:r>
          </w:p>
        </w:tc>
        <w:tc>
          <w:tcPr>
            <w:tcW w:w="425" w:type="dxa"/>
            <w:tcBorders>
              <w:top w:val="single" w:sz="4" w:space="0" w:color="auto"/>
              <w:bottom w:val="single" w:sz="4" w:space="0" w:color="auto"/>
            </w:tcBorders>
            <w:shd w:val="clear" w:color="auto" w:fill="auto"/>
            <w:noWrap/>
            <w:vAlign w:val="center"/>
          </w:tcPr>
          <w:p w14:paraId="750AD216" w14:textId="797E2118"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8</w:t>
            </w:r>
          </w:p>
        </w:tc>
        <w:tc>
          <w:tcPr>
            <w:tcW w:w="425" w:type="dxa"/>
            <w:tcBorders>
              <w:top w:val="single" w:sz="4" w:space="0" w:color="auto"/>
              <w:bottom w:val="single" w:sz="4" w:space="0" w:color="auto"/>
            </w:tcBorders>
            <w:shd w:val="clear" w:color="auto" w:fill="auto"/>
            <w:noWrap/>
            <w:vAlign w:val="center"/>
          </w:tcPr>
          <w:p w14:paraId="3B2A9A17" w14:textId="76C8807D"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9</w:t>
            </w:r>
          </w:p>
        </w:tc>
        <w:tc>
          <w:tcPr>
            <w:tcW w:w="439" w:type="dxa"/>
            <w:tcBorders>
              <w:top w:val="single" w:sz="4" w:space="0" w:color="auto"/>
              <w:bottom w:val="single" w:sz="4" w:space="0" w:color="auto"/>
            </w:tcBorders>
            <w:shd w:val="clear" w:color="auto" w:fill="auto"/>
            <w:noWrap/>
            <w:vAlign w:val="center"/>
          </w:tcPr>
          <w:p w14:paraId="6C66472F" w14:textId="04F63579"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10</w:t>
            </w:r>
          </w:p>
        </w:tc>
        <w:tc>
          <w:tcPr>
            <w:tcW w:w="439" w:type="dxa"/>
            <w:tcBorders>
              <w:top w:val="single" w:sz="4" w:space="0" w:color="auto"/>
              <w:bottom w:val="single" w:sz="4" w:space="0" w:color="auto"/>
            </w:tcBorders>
            <w:shd w:val="clear" w:color="auto" w:fill="auto"/>
            <w:noWrap/>
            <w:vAlign w:val="center"/>
          </w:tcPr>
          <w:p w14:paraId="2AC5C652" w14:textId="746E1262"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11</w:t>
            </w:r>
          </w:p>
        </w:tc>
        <w:tc>
          <w:tcPr>
            <w:tcW w:w="439" w:type="dxa"/>
            <w:tcBorders>
              <w:top w:val="single" w:sz="4" w:space="0" w:color="auto"/>
              <w:bottom w:val="single" w:sz="4" w:space="0" w:color="auto"/>
            </w:tcBorders>
            <w:shd w:val="clear" w:color="auto" w:fill="auto"/>
            <w:noWrap/>
            <w:vAlign w:val="center"/>
          </w:tcPr>
          <w:p w14:paraId="0055EF2A" w14:textId="3DC438FB"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12</w:t>
            </w:r>
          </w:p>
        </w:tc>
        <w:tc>
          <w:tcPr>
            <w:tcW w:w="439" w:type="dxa"/>
            <w:tcBorders>
              <w:top w:val="single" w:sz="4" w:space="0" w:color="auto"/>
              <w:bottom w:val="single" w:sz="4" w:space="0" w:color="auto"/>
            </w:tcBorders>
            <w:shd w:val="clear" w:color="auto" w:fill="auto"/>
            <w:noWrap/>
            <w:vAlign w:val="center"/>
          </w:tcPr>
          <w:p w14:paraId="7BC4DAA6" w14:textId="2BCAC6EF"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13</w:t>
            </w:r>
          </w:p>
        </w:tc>
        <w:tc>
          <w:tcPr>
            <w:tcW w:w="439" w:type="dxa"/>
            <w:tcBorders>
              <w:top w:val="single" w:sz="4" w:space="0" w:color="auto"/>
              <w:bottom w:val="single" w:sz="4" w:space="0" w:color="auto"/>
            </w:tcBorders>
            <w:shd w:val="clear" w:color="auto" w:fill="auto"/>
            <w:noWrap/>
            <w:vAlign w:val="center"/>
          </w:tcPr>
          <w:p w14:paraId="4A04FB95" w14:textId="1D3E78D2"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14</w:t>
            </w:r>
          </w:p>
        </w:tc>
        <w:tc>
          <w:tcPr>
            <w:tcW w:w="439" w:type="dxa"/>
            <w:tcBorders>
              <w:top w:val="single" w:sz="4" w:space="0" w:color="auto"/>
              <w:bottom w:val="single" w:sz="4" w:space="0" w:color="auto"/>
            </w:tcBorders>
            <w:shd w:val="clear" w:color="auto" w:fill="auto"/>
            <w:noWrap/>
            <w:vAlign w:val="center"/>
          </w:tcPr>
          <w:p w14:paraId="3C344CEF" w14:textId="00ADDA66"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15</w:t>
            </w:r>
          </w:p>
        </w:tc>
        <w:tc>
          <w:tcPr>
            <w:tcW w:w="439" w:type="dxa"/>
            <w:tcBorders>
              <w:top w:val="single" w:sz="4" w:space="0" w:color="auto"/>
              <w:bottom w:val="single" w:sz="4" w:space="0" w:color="auto"/>
            </w:tcBorders>
            <w:shd w:val="clear" w:color="auto" w:fill="auto"/>
            <w:noWrap/>
            <w:vAlign w:val="center"/>
          </w:tcPr>
          <w:p w14:paraId="3D784371" w14:textId="28A020D2"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16</w:t>
            </w:r>
          </w:p>
        </w:tc>
        <w:tc>
          <w:tcPr>
            <w:tcW w:w="439" w:type="dxa"/>
            <w:tcBorders>
              <w:top w:val="single" w:sz="4" w:space="0" w:color="auto"/>
              <w:bottom w:val="single" w:sz="4" w:space="0" w:color="auto"/>
            </w:tcBorders>
            <w:shd w:val="clear" w:color="auto" w:fill="auto"/>
            <w:noWrap/>
            <w:vAlign w:val="center"/>
          </w:tcPr>
          <w:p w14:paraId="49C01EFE" w14:textId="2217E0BF"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17</w:t>
            </w:r>
          </w:p>
        </w:tc>
        <w:tc>
          <w:tcPr>
            <w:tcW w:w="439" w:type="dxa"/>
            <w:tcBorders>
              <w:top w:val="single" w:sz="4" w:space="0" w:color="auto"/>
              <w:bottom w:val="single" w:sz="4" w:space="0" w:color="auto"/>
            </w:tcBorders>
            <w:shd w:val="clear" w:color="auto" w:fill="auto"/>
            <w:noWrap/>
            <w:vAlign w:val="center"/>
          </w:tcPr>
          <w:p w14:paraId="6A71C10D" w14:textId="0915D72B"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18</w:t>
            </w:r>
          </w:p>
        </w:tc>
        <w:tc>
          <w:tcPr>
            <w:tcW w:w="439" w:type="dxa"/>
            <w:tcBorders>
              <w:top w:val="single" w:sz="4" w:space="0" w:color="auto"/>
              <w:bottom w:val="single" w:sz="4" w:space="0" w:color="auto"/>
            </w:tcBorders>
            <w:shd w:val="clear" w:color="auto" w:fill="auto"/>
            <w:noWrap/>
            <w:vAlign w:val="center"/>
          </w:tcPr>
          <w:p w14:paraId="2907F434" w14:textId="25EC4B4D"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19</w:t>
            </w:r>
          </w:p>
        </w:tc>
        <w:tc>
          <w:tcPr>
            <w:tcW w:w="439" w:type="dxa"/>
            <w:tcBorders>
              <w:top w:val="single" w:sz="4" w:space="0" w:color="auto"/>
              <w:bottom w:val="single" w:sz="4" w:space="0" w:color="auto"/>
            </w:tcBorders>
            <w:shd w:val="clear" w:color="auto" w:fill="auto"/>
            <w:noWrap/>
            <w:vAlign w:val="center"/>
          </w:tcPr>
          <w:p w14:paraId="3130389F" w14:textId="75118D6B"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20</w:t>
            </w:r>
          </w:p>
        </w:tc>
        <w:tc>
          <w:tcPr>
            <w:tcW w:w="439" w:type="dxa"/>
            <w:tcBorders>
              <w:top w:val="single" w:sz="4" w:space="0" w:color="auto"/>
              <w:bottom w:val="single" w:sz="4" w:space="0" w:color="auto"/>
            </w:tcBorders>
            <w:shd w:val="clear" w:color="auto" w:fill="auto"/>
            <w:noWrap/>
            <w:vAlign w:val="center"/>
          </w:tcPr>
          <w:p w14:paraId="21F8FB6A" w14:textId="3D6B2C28"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21</w:t>
            </w:r>
          </w:p>
        </w:tc>
        <w:tc>
          <w:tcPr>
            <w:tcW w:w="439" w:type="dxa"/>
            <w:tcBorders>
              <w:top w:val="single" w:sz="4" w:space="0" w:color="auto"/>
              <w:bottom w:val="single" w:sz="4" w:space="0" w:color="auto"/>
            </w:tcBorders>
            <w:shd w:val="clear" w:color="auto" w:fill="auto"/>
            <w:noWrap/>
            <w:vAlign w:val="center"/>
          </w:tcPr>
          <w:p w14:paraId="67D1C834" w14:textId="5389DA83"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22</w:t>
            </w:r>
          </w:p>
        </w:tc>
        <w:tc>
          <w:tcPr>
            <w:tcW w:w="439" w:type="dxa"/>
            <w:tcBorders>
              <w:top w:val="single" w:sz="4" w:space="0" w:color="auto"/>
              <w:bottom w:val="single" w:sz="4" w:space="0" w:color="auto"/>
            </w:tcBorders>
            <w:shd w:val="clear" w:color="auto" w:fill="auto"/>
            <w:noWrap/>
            <w:vAlign w:val="center"/>
          </w:tcPr>
          <w:p w14:paraId="75FA63A8" w14:textId="6A90C794"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23</w:t>
            </w:r>
          </w:p>
        </w:tc>
        <w:tc>
          <w:tcPr>
            <w:tcW w:w="439" w:type="dxa"/>
            <w:tcBorders>
              <w:top w:val="single" w:sz="4" w:space="0" w:color="auto"/>
              <w:bottom w:val="single" w:sz="4" w:space="0" w:color="auto"/>
            </w:tcBorders>
            <w:shd w:val="clear" w:color="auto" w:fill="auto"/>
            <w:noWrap/>
            <w:vAlign w:val="center"/>
          </w:tcPr>
          <w:p w14:paraId="21CE0C09" w14:textId="4F45597F"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24</w:t>
            </w:r>
          </w:p>
        </w:tc>
        <w:tc>
          <w:tcPr>
            <w:tcW w:w="439" w:type="dxa"/>
            <w:tcBorders>
              <w:top w:val="single" w:sz="4" w:space="0" w:color="auto"/>
              <w:bottom w:val="single" w:sz="4" w:space="0" w:color="auto"/>
            </w:tcBorders>
            <w:shd w:val="clear" w:color="auto" w:fill="auto"/>
            <w:noWrap/>
            <w:vAlign w:val="center"/>
          </w:tcPr>
          <w:p w14:paraId="78B06D3D" w14:textId="32874A15"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25</w:t>
            </w:r>
          </w:p>
        </w:tc>
        <w:tc>
          <w:tcPr>
            <w:tcW w:w="439" w:type="dxa"/>
            <w:tcBorders>
              <w:top w:val="single" w:sz="4" w:space="0" w:color="auto"/>
              <w:bottom w:val="single" w:sz="4" w:space="0" w:color="auto"/>
            </w:tcBorders>
            <w:shd w:val="clear" w:color="auto" w:fill="auto"/>
            <w:noWrap/>
            <w:vAlign w:val="center"/>
          </w:tcPr>
          <w:p w14:paraId="235BB14D" w14:textId="0B31E585"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26</w:t>
            </w:r>
          </w:p>
        </w:tc>
        <w:tc>
          <w:tcPr>
            <w:tcW w:w="439" w:type="dxa"/>
            <w:tcBorders>
              <w:top w:val="single" w:sz="4" w:space="0" w:color="auto"/>
              <w:bottom w:val="single" w:sz="4" w:space="0" w:color="auto"/>
            </w:tcBorders>
            <w:shd w:val="clear" w:color="auto" w:fill="auto"/>
            <w:noWrap/>
            <w:vAlign w:val="center"/>
          </w:tcPr>
          <w:p w14:paraId="0FAD9F6E" w14:textId="143EC349"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27</w:t>
            </w:r>
          </w:p>
        </w:tc>
        <w:tc>
          <w:tcPr>
            <w:tcW w:w="709" w:type="dxa"/>
            <w:tcBorders>
              <w:top w:val="single" w:sz="4" w:space="0" w:color="auto"/>
              <w:bottom w:val="single" w:sz="4" w:space="0" w:color="auto"/>
            </w:tcBorders>
            <w:shd w:val="clear" w:color="auto" w:fill="auto"/>
            <w:noWrap/>
            <w:vAlign w:val="center"/>
          </w:tcPr>
          <w:p w14:paraId="12CA0B3E" w14:textId="46D68230" w:rsidR="00077B96" w:rsidRPr="00EA0DC7" w:rsidRDefault="00077B96" w:rsidP="00077B96">
            <w:pPr>
              <w:spacing w:before="240" w:line="240" w:lineRule="auto"/>
              <w:jc w:val="center"/>
              <w:rPr>
                <w:rFonts w:eastAsia="Times New Roman" w:cs="Arial"/>
                <w:sz w:val="20"/>
                <w:szCs w:val="20"/>
              </w:rPr>
            </w:pPr>
            <w:r w:rsidRPr="00EA0DC7">
              <w:rPr>
                <w:rFonts w:eastAsia="Times New Roman" w:cs="Arial"/>
                <w:b/>
                <w:bCs/>
                <w:sz w:val="20"/>
                <w:szCs w:val="20"/>
              </w:rPr>
              <w:t>Total</w:t>
            </w:r>
          </w:p>
        </w:tc>
      </w:tr>
      <w:tr w:rsidR="00317AFF" w:rsidRPr="00EA0DC7" w14:paraId="487BE9AC" w14:textId="77777777" w:rsidTr="000E1A90">
        <w:trPr>
          <w:trHeight w:val="300"/>
        </w:trPr>
        <w:tc>
          <w:tcPr>
            <w:tcW w:w="1306" w:type="dxa"/>
            <w:tcBorders>
              <w:top w:val="single" w:sz="4" w:space="0" w:color="auto"/>
            </w:tcBorders>
            <w:shd w:val="clear" w:color="auto" w:fill="auto"/>
            <w:noWrap/>
            <w:hideMark/>
          </w:tcPr>
          <w:p w14:paraId="1982E324" w14:textId="77777777" w:rsidR="00317AFF" w:rsidRPr="00EA0DC7" w:rsidRDefault="00317AFF" w:rsidP="00077B96">
            <w:pPr>
              <w:spacing w:before="240" w:line="240" w:lineRule="auto"/>
              <w:jc w:val="left"/>
              <w:rPr>
                <w:rFonts w:eastAsia="Times New Roman" w:cs="Arial"/>
                <w:sz w:val="20"/>
                <w:szCs w:val="20"/>
              </w:rPr>
            </w:pPr>
            <w:r w:rsidRPr="00EA0DC7">
              <w:rPr>
                <w:rFonts w:eastAsia="Times New Roman" w:cs="Arial"/>
                <w:sz w:val="20"/>
                <w:szCs w:val="20"/>
              </w:rPr>
              <w:t>Sholomskas et al. (2005)</w:t>
            </w:r>
          </w:p>
        </w:tc>
        <w:tc>
          <w:tcPr>
            <w:tcW w:w="425" w:type="dxa"/>
            <w:tcBorders>
              <w:top w:val="single" w:sz="4" w:space="0" w:color="auto"/>
            </w:tcBorders>
            <w:shd w:val="clear" w:color="auto" w:fill="auto"/>
            <w:noWrap/>
            <w:hideMark/>
          </w:tcPr>
          <w:p w14:paraId="4D50A25C"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29718BCC"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040CEBED"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7EC39C44"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314ECD3F"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2</w:t>
            </w:r>
          </w:p>
        </w:tc>
        <w:tc>
          <w:tcPr>
            <w:tcW w:w="425" w:type="dxa"/>
            <w:tcBorders>
              <w:top w:val="single" w:sz="4" w:space="0" w:color="auto"/>
            </w:tcBorders>
            <w:shd w:val="clear" w:color="auto" w:fill="auto"/>
            <w:noWrap/>
            <w:hideMark/>
          </w:tcPr>
          <w:p w14:paraId="3724BD2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177893A0"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25" w:type="dxa"/>
            <w:tcBorders>
              <w:top w:val="single" w:sz="4" w:space="0" w:color="auto"/>
            </w:tcBorders>
            <w:shd w:val="clear" w:color="auto" w:fill="auto"/>
            <w:noWrap/>
            <w:hideMark/>
          </w:tcPr>
          <w:p w14:paraId="07C4258A"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25" w:type="dxa"/>
            <w:tcBorders>
              <w:top w:val="single" w:sz="4" w:space="0" w:color="auto"/>
            </w:tcBorders>
            <w:shd w:val="clear" w:color="auto" w:fill="auto"/>
            <w:noWrap/>
            <w:hideMark/>
          </w:tcPr>
          <w:p w14:paraId="0AE0CC6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6D0DE713"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4966C06F"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05F137F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11FCF02D" w14:textId="48AC72FE"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2F96A1F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40D0AD1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208C3653"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3E0CDD2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0E8BFFB3"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2BDD3F2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61CCC629"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07DAEA90"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74655DB7"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6FC939A7"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15B5A565"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439" w:type="dxa"/>
            <w:tcBorders>
              <w:top w:val="single" w:sz="4" w:space="0" w:color="auto"/>
            </w:tcBorders>
            <w:shd w:val="clear" w:color="auto" w:fill="auto"/>
            <w:noWrap/>
            <w:hideMark/>
          </w:tcPr>
          <w:p w14:paraId="7496D28E"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59187AA2"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w:t>
            </w:r>
          </w:p>
        </w:tc>
        <w:tc>
          <w:tcPr>
            <w:tcW w:w="439" w:type="dxa"/>
            <w:tcBorders>
              <w:top w:val="single" w:sz="4" w:space="0" w:color="auto"/>
            </w:tcBorders>
            <w:shd w:val="clear" w:color="auto" w:fill="auto"/>
            <w:noWrap/>
            <w:hideMark/>
          </w:tcPr>
          <w:p w14:paraId="1B258C2B"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0</w:t>
            </w:r>
          </w:p>
        </w:tc>
        <w:tc>
          <w:tcPr>
            <w:tcW w:w="709" w:type="dxa"/>
            <w:tcBorders>
              <w:top w:val="single" w:sz="4" w:space="0" w:color="auto"/>
            </w:tcBorders>
            <w:shd w:val="clear" w:color="auto" w:fill="auto"/>
            <w:noWrap/>
            <w:hideMark/>
          </w:tcPr>
          <w:p w14:paraId="0A7F1601" w14:textId="77777777" w:rsidR="00317AFF" w:rsidRPr="00EA0DC7" w:rsidRDefault="00317AFF" w:rsidP="00077B96">
            <w:pPr>
              <w:spacing w:before="240" w:line="240" w:lineRule="auto"/>
              <w:jc w:val="center"/>
              <w:rPr>
                <w:rFonts w:eastAsia="Times New Roman" w:cs="Arial"/>
                <w:sz w:val="20"/>
                <w:szCs w:val="20"/>
              </w:rPr>
            </w:pPr>
            <w:r w:rsidRPr="00EA0DC7">
              <w:rPr>
                <w:rFonts w:eastAsia="Times New Roman" w:cs="Arial"/>
                <w:sz w:val="20"/>
                <w:szCs w:val="20"/>
              </w:rPr>
              <w:t>18</w:t>
            </w:r>
          </w:p>
        </w:tc>
      </w:tr>
      <w:tr w:rsidR="00317AFF" w:rsidRPr="00EA0DC7" w14:paraId="0DD7AB71" w14:textId="77777777" w:rsidTr="004C3DFA">
        <w:trPr>
          <w:trHeight w:val="300"/>
        </w:trPr>
        <w:tc>
          <w:tcPr>
            <w:tcW w:w="1306" w:type="dxa"/>
            <w:shd w:val="clear" w:color="auto" w:fill="auto"/>
            <w:noWrap/>
            <w:hideMark/>
          </w:tcPr>
          <w:p w14:paraId="54C045FF"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Singo (1998)</w:t>
            </w:r>
          </w:p>
        </w:tc>
        <w:tc>
          <w:tcPr>
            <w:tcW w:w="425" w:type="dxa"/>
            <w:shd w:val="clear" w:color="auto" w:fill="auto"/>
            <w:noWrap/>
            <w:hideMark/>
          </w:tcPr>
          <w:p w14:paraId="6F4A31A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C5FFB1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592F403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4BE9E8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FD444C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w:t>
            </w:r>
          </w:p>
        </w:tc>
        <w:tc>
          <w:tcPr>
            <w:tcW w:w="425" w:type="dxa"/>
            <w:shd w:val="clear" w:color="auto" w:fill="auto"/>
            <w:noWrap/>
            <w:hideMark/>
          </w:tcPr>
          <w:p w14:paraId="2D5F9F2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48693D4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085FFF9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65DE26C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682FDC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A4EB8C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79144D7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AECA287" w14:textId="77CD7A5C"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323D5D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10D010F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927CED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736E94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00A0BE4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1AFC5E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F4876F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5A09396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EEC588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C0DBFD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68456F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E08473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EA1304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8C69E3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76B160B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22</w:t>
            </w:r>
          </w:p>
        </w:tc>
      </w:tr>
      <w:tr w:rsidR="00317AFF" w:rsidRPr="00EA0DC7" w14:paraId="66411AEC" w14:textId="77777777" w:rsidTr="000E1A90">
        <w:trPr>
          <w:trHeight w:val="300"/>
        </w:trPr>
        <w:tc>
          <w:tcPr>
            <w:tcW w:w="1306" w:type="dxa"/>
            <w:shd w:val="clear" w:color="auto" w:fill="auto"/>
            <w:noWrap/>
            <w:hideMark/>
          </w:tcPr>
          <w:p w14:paraId="25D8BDA2"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Tanner et al. (2012)</w:t>
            </w:r>
          </w:p>
        </w:tc>
        <w:tc>
          <w:tcPr>
            <w:tcW w:w="425" w:type="dxa"/>
            <w:shd w:val="clear" w:color="auto" w:fill="auto"/>
            <w:noWrap/>
            <w:hideMark/>
          </w:tcPr>
          <w:p w14:paraId="06EFB07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3450A88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55F30B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FDBDFB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3122ABD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1A27968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7BC7563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shd w:val="clear" w:color="auto" w:fill="auto"/>
            <w:noWrap/>
            <w:hideMark/>
          </w:tcPr>
          <w:p w14:paraId="2943889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shd w:val="clear" w:color="auto" w:fill="auto"/>
            <w:noWrap/>
            <w:hideMark/>
          </w:tcPr>
          <w:p w14:paraId="1EDD135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223C4A8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7E02CC1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C5B918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FEAAA80" w14:textId="379B152F"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89BF52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217939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4D85957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18C4DE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53A680D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35A915DD"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2B898C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6EC8D2F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951558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04BA83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6180FCFA"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2C75E91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shd w:val="clear" w:color="auto" w:fill="auto"/>
            <w:noWrap/>
            <w:hideMark/>
          </w:tcPr>
          <w:p w14:paraId="427C3B9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shd w:val="clear" w:color="auto" w:fill="auto"/>
            <w:noWrap/>
            <w:hideMark/>
          </w:tcPr>
          <w:p w14:paraId="33073C6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shd w:val="clear" w:color="auto" w:fill="auto"/>
            <w:noWrap/>
            <w:hideMark/>
          </w:tcPr>
          <w:p w14:paraId="37A5949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13</w:t>
            </w:r>
          </w:p>
        </w:tc>
      </w:tr>
      <w:tr w:rsidR="00317AFF" w:rsidRPr="00EA0DC7" w14:paraId="448B1C3E" w14:textId="77777777" w:rsidTr="000E1A90">
        <w:trPr>
          <w:trHeight w:val="300"/>
        </w:trPr>
        <w:tc>
          <w:tcPr>
            <w:tcW w:w="1306" w:type="dxa"/>
            <w:tcBorders>
              <w:bottom w:val="single" w:sz="4" w:space="0" w:color="auto"/>
            </w:tcBorders>
            <w:shd w:val="clear" w:color="auto" w:fill="auto"/>
            <w:noWrap/>
            <w:hideMark/>
          </w:tcPr>
          <w:p w14:paraId="6AB2BBEE" w14:textId="77777777" w:rsidR="00317AFF" w:rsidRPr="00EA0DC7" w:rsidRDefault="00317AFF" w:rsidP="00EA7029">
            <w:pPr>
              <w:spacing w:line="240" w:lineRule="auto"/>
              <w:jc w:val="left"/>
              <w:rPr>
                <w:rFonts w:eastAsia="Times New Roman" w:cs="Arial"/>
                <w:sz w:val="20"/>
                <w:szCs w:val="20"/>
              </w:rPr>
            </w:pPr>
            <w:r w:rsidRPr="00EA0DC7">
              <w:rPr>
                <w:rFonts w:eastAsia="Times New Roman" w:cs="Arial"/>
                <w:sz w:val="20"/>
                <w:szCs w:val="20"/>
              </w:rPr>
              <w:t>Weck et al. (2016)</w:t>
            </w:r>
          </w:p>
        </w:tc>
        <w:tc>
          <w:tcPr>
            <w:tcW w:w="425" w:type="dxa"/>
            <w:tcBorders>
              <w:bottom w:val="single" w:sz="4" w:space="0" w:color="auto"/>
            </w:tcBorders>
            <w:shd w:val="clear" w:color="auto" w:fill="auto"/>
            <w:noWrap/>
            <w:hideMark/>
          </w:tcPr>
          <w:p w14:paraId="65E07E6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705D8F8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5057252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3A390230"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3815CE0B"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w:t>
            </w:r>
          </w:p>
        </w:tc>
        <w:tc>
          <w:tcPr>
            <w:tcW w:w="425" w:type="dxa"/>
            <w:tcBorders>
              <w:bottom w:val="single" w:sz="4" w:space="0" w:color="auto"/>
            </w:tcBorders>
            <w:shd w:val="clear" w:color="auto" w:fill="auto"/>
            <w:noWrap/>
            <w:hideMark/>
          </w:tcPr>
          <w:p w14:paraId="378E575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6AB941D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25" w:type="dxa"/>
            <w:tcBorders>
              <w:bottom w:val="single" w:sz="4" w:space="0" w:color="auto"/>
            </w:tcBorders>
            <w:shd w:val="clear" w:color="auto" w:fill="auto"/>
            <w:noWrap/>
            <w:hideMark/>
          </w:tcPr>
          <w:p w14:paraId="601F35B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25" w:type="dxa"/>
            <w:tcBorders>
              <w:bottom w:val="single" w:sz="4" w:space="0" w:color="auto"/>
            </w:tcBorders>
            <w:shd w:val="clear" w:color="auto" w:fill="auto"/>
            <w:noWrap/>
            <w:hideMark/>
          </w:tcPr>
          <w:p w14:paraId="285C5CD6"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A624FC9"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289BCE4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C444D6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6359842A" w14:textId="3452F88A"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C3017E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5C11A7D2"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2C60186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7D94FD9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7D138FC"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1083FF2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32DF57D3"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3D391464"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1D018E5"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3757D77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3FF2CF7F"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439" w:type="dxa"/>
            <w:tcBorders>
              <w:bottom w:val="single" w:sz="4" w:space="0" w:color="auto"/>
            </w:tcBorders>
            <w:shd w:val="clear" w:color="auto" w:fill="auto"/>
            <w:noWrap/>
            <w:hideMark/>
          </w:tcPr>
          <w:p w14:paraId="610F02FE"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17F2AB88"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1</w:t>
            </w:r>
          </w:p>
        </w:tc>
        <w:tc>
          <w:tcPr>
            <w:tcW w:w="439" w:type="dxa"/>
            <w:tcBorders>
              <w:bottom w:val="single" w:sz="4" w:space="0" w:color="auto"/>
            </w:tcBorders>
            <w:shd w:val="clear" w:color="auto" w:fill="auto"/>
            <w:noWrap/>
            <w:hideMark/>
          </w:tcPr>
          <w:p w14:paraId="53AB5167"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0</w:t>
            </w:r>
          </w:p>
        </w:tc>
        <w:tc>
          <w:tcPr>
            <w:tcW w:w="709" w:type="dxa"/>
            <w:tcBorders>
              <w:bottom w:val="single" w:sz="4" w:space="0" w:color="auto"/>
            </w:tcBorders>
            <w:shd w:val="clear" w:color="auto" w:fill="auto"/>
            <w:noWrap/>
            <w:hideMark/>
          </w:tcPr>
          <w:p w14:paraId="6E5EC3D1" w14:textId="77777777" w:rsidR="00317AFF" w:rsidRPr="00EA0DC7" w:rsidRDefault="00317AFF" w:rsidP="00EA7029">
            <w:pPr>
              <w:spacing w:line="240" w:lineRule="auto"/>
              <w:jc w:val="center"/>
              <w:rPr>
                <w:rFonts w:eastAsia="Times New Roman" w:cs="Arial"/>
                <w:sz w:val="20"/>
                <w:szCs w:val="20"/>
              </w:rPr>
            </w:pPr>
            <w:r w:rsidRPr="00EA0DC7">
              <w:rPr>
                <w:rFonts w:eastAsia="Times New Roman" w:cs="Arial"/>
                <w:sz w:val="20"/>
                <w:szCs w:val="20"/>
              </w:rPr>
              <w:t>22</w:t>
            </w:r>
          </w:p>
        </w:tc>
      </w:tr>
    </w:tbl>
    <w:p w14:paraId="0601E35C" w14:textId="77777777" w:rsidR="00D2705A" w:rsidRPr="00EA0DC7" w:rsidRDefault="00D2705A" w:rsidP="008F22CA">
      <w:pPr>
        <w:spacing w:after="0" w:line="240" w:lineRule="auto"/>
        <w:jc w:val="left"/>
        <w:rPr>
          <w:rFonts w:eastAsia="Calibri" w:cs="Arial"/>
          <w:i/>
          <w:sz w:val="20"/>
          <w:szCs w:val="20"/>
          <w:lang w:eastAsia="en-US"/>
        </w:rPr>
        <w:sectPr w:rsidR="00D2705A" w:rsidRPr="00EA0DC7" w:rsidSect="00447909">
          <w:pgSz w:w="16838" w:h="11906" w:orient="landscape"/>
          <w:pgMar w:top="2268" w:right="1440" w:bottom="1440" w:left="1440" w:header="709" w:footer="709" w:gutter="0"/>
          <w:cols w:space="708"/>
          <w:docGrid w:linePitch="360"/>
        </w:sectPr>
      </w:pPr>
    </w:p>
    <w:tbl>
      <w:tblPr>
        <w:tblW w:w="465" w:type="dxa"/>
        <w:tblLook w:val="04A0" w:firstRow="1" w:lastRow="0" w:firstColumn="1" w:lastColumn="0" w:noHBand="0" w:noVBand="1"/>
      </w:tblPr>
      <w:tblGrid>
        <w:gridCol w:w="465"/>
      </w:tblGrid>
      <w:tr w:rsidR="00317AFF" w:rsidRPr="00EA0DC7" w14:paraId="480C7647" w14:textId="77777777" w:rsidTr="00D2705A">
        <w:trPr>
          <w:trHeight w:val="300"/>
        </w:trPr>
        <w:tc>
          <w:tcPr>
            <w:tcW w:w="465" w:type="dxa"/>
          </w:tcPr>
          <w:p w14:paraId="01DB04A7" w14:textId="07B00023" w:rsidR="00317AFF" w:rsidRPr="00EA0DC7" w:rsidRDefault="00317AFF" w:rsidP="008F22CA">
            <w:pPr>
              <w:spacing w:after="0" w:line="240" w:lineRule="auto"/>
              <w:jc w:val="left"/>
              <w:rPr>
                <w:rFonts w:eastAsia="Calibri" w:cs="Arial"/>
                <w:i/>
                <w:sz w:val="20"/>
                <w:szCs w:val="20"/>
                <w:lang w:eastAsia="en-US"/>
              </w:rPr>
            </w:pPr>
          </w:p>
        </w:tc>
      </w:tr>
    </w:tbl>
    <w:p w14:paraId="1C8C49AA" w14:textId="523701FF" w:rsidR="00BE3B3B" w:rsidRPr="00EA0DC7" w:rsidRDefault="00077D45" w:rsidP="000E1A90">
      <w:pPr>
        <w:pStyle w:val="Heading2"/>
        <w:numPr>
          <w:ilvl w:val="0"/>
          <w:numId w:val="0"/>
        </w:numPr>
        <w:rPr>
          <w:shd w:val="clear" w:color="auto" w:fill="FFFFFF"/>
        </w:rPr>
      </w:pPr>
      <w:bookmarkStart w:id="273" w:name="_Toc23881313"/>
      <w:bookmarkStart w:id="274" w:name="_Toc24548604"/>
      <w:bookmarkStart w:id="275" w:name="_Toc24548707"/>
      <w:bookmarkStart w:id="276" w:name="_Toc47039896"/>
      <w:r w:rsidRPr="00EA0DC7">
        <w:rPr>
          <w:shd w:val="clear" w:color="auto" w:fill="FFFFFF"/>
        </w:rPr>
        <w:t xml:space="preserve">Appendix 4A - </w:t>
      </w:r>
      <w:r w:rsidR="00BE3B3B" w:rsidRPr="00EA0DC7">
        <w:rPr>
          <w:shd w:val="clear" w:color="auto" w:fill="FFFFFF"/>
        </w:rPr>
        <w:t>Study 1 ethics</w:t>
      </w:r>
      <w:bookmarkEnd w:id="273"/>
      <w:bookmarkEnd w:id="274"/>
      <w:bookmarkEnd w:id="275"/>
      <w:bookmarkEnd w:id="276"/>
    </w:p>
    <w:p w14:paraId="6C353FEF" w14:textId="0691A5A4" w:rsidR="00BE3B3B" w:rsidRPr="00EA0DC7" w:rsidRDefault="00BE3B3B" w:rsidP="00BE3B3B">
      <w:pPr>
        <w:spacing w:line="240" w:lineRule="auto"/>
        <w:jc w:val="left"/>
        <w:rPr>
          <w:rFonts w:ascii="Times New Roman" w:hAnsi="Times New Roman"/>
        </w:rPr>
      </w:pPr>
      <w:r w:rsidRPr="00EA0DC7">
        <w:rPr>
          <w:rFonts w:cs="Arial"/>
          <w:shd w:val="clear" w:color="auto" w:fill="FFFFFF"/>
        </w:rPr>
        <w:t>From: </w:t>
      </w:r>
      <w:r w:rsidRPr="00EA0DC7">
        <w:rPr>
          <w:rFonts w:cs="Arial"/>
          <w:b/>
          <w:bCs/>
          <w:shd w:val="clear" w:color="auto" w:fill="FFFFFF"/>
        </w:rPr>
        <w:t>Psychology Research Ethics Application Management System</w:t>
      </w:r>
      <w:r w:rsidRPr="00EA0DC7">
        <w:rPr>
          <w:rFonts w:cs="Arial"/>
          <w:shd w:val="clear" w:color="auto" w:fill="FFFFFF"/>
        </w:rPr>
        <w:t> &lt;no_reply@psychology&gt;</w:t>
      </w:r>
      <w:r w:rsidRPr="00EA0DC7">
        <w:rPr>
          <w:rFonts w:cs="Arial"/>
        </w:rPr>
        <w:br/>
      </w:r>
      <w:r w:rsidRPr="00EA0DC7">
        <w:rPr>
          <w:rFonts w:cs="Arial"/>
          <w:shd w:val="clear" w:color="auto" w:fill="FFFFFF"/>
        </w:rPr>
        <w:t>Date: 4 June 2014 09:43</w:t>
      </w:r>
      <w:r w:rsidRPr="00EA0DC7">
        <w:rPr>
          <w:rFonts w:cs="Arial"/>
        </w:rPr>
        <w:br/>
      </w:r>
      <w:r w:rsidRPr="00EA0DC7">
        <w:rPr>
          <w:rFonts w:cs="Arial"/>
          <w:shd w:val="clear" w:color="auto" w:fill="FFFFFF"/>
        </w:rPr>
        <w:t>Subject: Approval of your research proposal</w:t>
      </w:r>
      <w:r w:rsidRPr="00EA0DC7">
        <w:rPr>
          <w:rFonts w:cs="Arial"/>
        </w:rPr>
        <w:br/>
      </w:r>
      <w:r w:rsidRPr="00EA0DC7">
        <w:rPr>
          <w:rFonts w:cs="Arial"/>
          <w:shd w:val="clear" w:color="auto" w:fill="FFFFFF"/>
        </w:rPr>
        <w:t>To: </w:t>
      </w:r>
      <w:hyperlink r:id="rId32" w:tgtFrame="_blank" w:history="1">
        <w:r w:rsidRPr="00EA0DC7">
          <w:rPr>
            <w:rStyle w:val="Hyperlink"/>
            <w:rFonts w:cs="Arial"/>
            <w:color w:val="auto"/>
            <w:shd w:val="clear" w:color="auto" w:fill="FFFFFF"/>
          </w:rPr>
          <w:t>G.Waller@sheffield.ac.uk</w:t>
        </w:r>
      </w:hyperlink>
      <w:r w:rsidRPr="00EA0DC7">
        <w:rPr>
          <w:rFonts w:cs="Arial"/>
        </w:rPr>
        <w:br/>
      </w:r>
      <w:r w:rsidRPr="00EA0DC7">
        <w:rPr>
          <w:rFonts w:cs="Arial"/>
        </w:rPr>
        <w:br/>
      </w:r>
      <w:r w:rsidRPr="00EA0DC7">
        <w:rPr>
          <w:rFonts w:cs="Arial"/>
        </w:rPr>
        <w:br/>
      </w:r>
      <w:r w:rsidRPr="00EA0DC7">
        <w:rPr>
          <w:rFonts w:cs="Arial"/>
          <w:shd w:val="clear" w:color="auto" w:fill="FFFFFF"/>
        </w:rPr>
        <w:t>Your submission to the Department of Psychology Ethics Sub-Committee (DESC) entitled "Do the complexity of clinical cases and the way that psychotherapists present them influence the advice that supervisors give in supervision? " has now been reviewed. The committee believed that your methods and procedures conformed to University and BPS Guidelines.</w:t>
      </w:r>
      <w:r w:rsidRPr="00EA0DC7">
        <w:rPr>
          <w:rFonts w:cs="Arial"/>
        </w:rPr>
        <w:br/>
      </w:r>
      <w:r w:rsidRPr="00EA0DC7">
        <w:rPr>
          <w:rFonts w:cs="Arial"/>
        </w:rPr>
        <w:br/>
      </w:r>
      <w:r w:rsidRPr="00EA0DC7">
        <w:rPr>
          <w:rFonts w:cs="Arial"/>
          <w:shd w:val="clear" w:color="auto" w:fill="FFFFFF"/>
        </w:rPr>
        <w:t>I am therefore pleased to inform you that the ethics of your research are approved. You may now commence the empirical work.</w:t>
      </w:r>
      <w:r w:rsidRPr="00EA0DC7">
        <w:rPr>
          <w:rFonts w:cs="Arial"/>
        </w:rPr>
        <w:br/>
      </w:r>
      <w:r w:rsidRPr="00EA0DC7">
        <w:rPr>
          <w:rFonts w:cs="Arial"/>
        </w:rPr>
        <w:br/>
      </w:r>
      <w:r w:rsidRPr="00EA0DC7">
        <w:rPr>
          <w:rFonts w:cs="Arial"/>
          <w:shd w:val="clear" w:color="auto" w:fill="FFFFFF"/>
        </w:rPr>
        <w:t>Yours sincerely,</w:t>
      </w:r>
      <w:r w:rsidRPr="00EA0DC7">
        <w:rPr>
          <w:rFonts w:cs="Arial"/>
        </w:rPr>
        <w:br/>
      </w:r>
      <w:r w:rsidRPr="00EA0DC7">
        <w:rPr>
          <w:rFonts w:cs="Arial"/>
        </w:rPr>
        <w:br/>
      </w:r>
      <w:r w:rsidRPr="00EA0DC7">
        <w:rPr>
          <w:rFonts w:cs="Arial"/>
          <w:shd w:val="clear" w:color="auto" w:fill="FFFFFF"/>
        </w:rPr>
        <w:t>Prof Richard Crisp</w:t>
      </w:r>
      <w:r w:rsidRPr="00EA0DC7">
        <w:rPr>
          <w:rFonts w:cs="Arial"/>
        </w:rPr>
        <w:br/>
      </w:r>
      <w:r w:rsidRPr="00EA0DC7">
        <w:rPr>
          <w:rFonts w:cs="Arial"/>
        </w:rPr>
        <w:br/>
      </w:r>
      <w:r w:rsidRPr="00EA0DC7">
        <w:rPr>
          <w:rFonts w:cs="Arial"/>
          <w:shd w:val="clear" w:color="auto" w:fill="FFFFFF"/>
        </w:rPr>
        <w:t>Chair, DESC</w:t>
      </w:r>
    </w:p>
    <w:p w14:paraId="5E643315" w14:textId="77777777" w:rsidR="000E1A90" w:rsidRPr="00EA0DC7" w:rsidRDefault="00BE3B3B">
      <w:pPr>
        <w:spacing w:line="276" w:lineRule="auto"/>
        <w:jc w:val="left"/>
        <w:rPr>
          <w:rFonts w:cs="Arial"/>
          <w:noProof/>
          <w:szCs w:val="24"/>
        </w:rPr>
        <w:sectPr w:rsidR="000E1A90" w:rsidRPr="00EA0DC7" w:rsidSect="000E1A90">
          <w:pgSz w:w="11906" w:h="16838"/>
          <w:pgMar w:top="1440" w:right="1440" w:bottom="1440" w:left="2268" w:header="709" w:footer="709" w:gutter="0"/>
          <w:cols w:space="708"/>
          <w:docGrid w:linePitch="360"/>
        </w:sectPr>
      </w:pPr>
      <w:r w:rsidRPr="00EA0DC7">
        <w:rPr>
          <w:rFonts w:cs="Arial"/>
          <w:noProof/>
          <w:szCs w:val="24"/>
        </w:rPr>
        <w:br w:type="page"/>
      </w:r>
    </w:p>
    <w:p w14:paraId="3E35CA02" w14:textId="0A841CDC" w:rsidR="00823FE5" w:rsidRDefault="00823FE5" w:rsidP="000B7FC2">
      <w:pPr>
        <w:pStyle w:val="Heading2"/>
      </w:pPr>
      <w:bookmarkStart w:id="277" w:name="_Toc47039897"/>
      <w:commentRangeStart w:id="278"/>
      <w:r>
        <w:lastRenderedPageBreak/>
        <w:t>Appendix</w:t>
      </w:r>
      <w:r w:rsidR="000B7FC2">
        <w:t xml:space="preserve"> 4B – Study 1 questionnaire</w:t>
      </w:r>
      <w:bookmarkEnd w:id="277"/>
    </w:p>
    <w:p w14:paraId="37454005" w14:textId="35635161" w:rsidR="00E964DF" w:rsidRPr="000B7FC2" w:rsidRDefault="00E964DF" w:rsidP="00E964DF">
      <w:pPr>
        <w:keepNext/>
        <w:rPr>
          <w:sz w:val="20"/>
          <w:szCs w:val="20"/>
        </w:rPr>
      </w:pPr>
      <w:r w:rsidRPr="000B7FC2">
        <w:rPr>
          <w:sz w:val="20"/>
          <w:szCs w:val="20"/>
        </w:rPr>
        <w:t xml:space="preserve">Thank you for your interest in our study. We are investigating the role that supervisors play in the delivery of CBT by their supervisees. In particular, we would like to know what advice you provide during sessions with your supervisees and which supervisory techniques you use. To take part in this research, you </w:t>
      </w:r>
      <w:r w:rsidRPr="000B7FC2">
        <w:rPr>
          <w:sz w:val="20"/>
          <w:szCs w:val="20"/>
          <w:u w:val="single"/>
        </w:rPr>
        <w:t>must</w:t>
      </w:r>
      <w:r w:rsidRPr="000B7FC2">
        <w:rPr>
          <w:sz w:val="20"/>
          <w:szCs w:val="20"/>
        </w:rPr>
        <w:t> be a supervisor to CBT clinicians treating patients with depression. All answers are confidential and individual data will only be identifiable during data collection by the researchers involved. No information about individuals will be made available to your managers, employers, supervisors, etc. After data collection is complete all email addresses will be deleted (unless you indicate that you would like a summary of the research findings or are happy to be contacted for future research). If this questionnaire causes any professional concerns, please speak to a colleague. If you have any questions or would like more information about this study, please contact me - Chloe Simpson-Southward (</w:t>
      </w:r>
      <w:hyperlink r:id="rId33">
        <w:r w:rsidRPr="000B7FC2">
          <w:rPr>
            <w:color w:val="007AC0"/>
            <w:sz w:val="20"/>
            <w:szCs w:val="20"/>
            <w:u w:val="single"/>
          </w:rPr>
          <w:t>crsimpson-southward1@sheffield.ac.uk</w:t>
        </w:r>
      </w:hyperlink>
      <w:r w:rsidRPr="000B7FC2">
        <w:rPr>
          <w:sz w:val="20"/>
          <w:szCs w:val="20"/>
        </w:rPr>
        <w:t>). This research has been approved by the University of Sheffield's Department of Psychology Ethics Committee and is supervised by Glenn Waller (</w:t>
      </w:r>
      <w:hyperlink r:id="rId34">
        <w:r w:rsidRPr="000B7FC2">
          <w:rPr>
            <w:color w:val="007AC0"/>
            <w:sz w:val="20"/>
            <w:szCs w:val="20"/>
            <w:u w:val="single"/>
          </w:rPr>
          <w:t>g.waller@sheffield.ac.uk</w:t>
        </w:r>
      </w:hyperlink>
      <w:r w:rsidRPr="000B7FC2">
        <w:rPr>
          <w:sz w:val="20"/>
          <w:szCs w:val="20"/>
        </w:rPr>
        <w:t>) and Gillian Hardy (</w:t>
      </w:r>
      <w:hyperlink r:id="rId35">
        <w:r w:rsidRPr="000B7FC2">
          <w:rPr>
            <w:color w:val="007AC0"/>
            <w:sz w:val="20"/>
            <w:szCs w:val="20"/>
            <w:u w:val="single"/>
          </w:rPr>
          <w:t>g.hardy@sheffield.ac.uk</w:t>
        </w:r>
      </w:hyperlink>
      <w:r w:rsidRPr="000B7FC2">
        <w:rPr>
          <w:sz w:val="20"/>
          <w:szCs w:val="20"/>
        </w:rPr>
        <w:t>).  </w:t>
      </w:r>
    </w:p>
    <w:p w14:paraId="559E9BF4" w14:textId="77777777" w:rsidR="00E964DF" w:rsidRPr="000B7FC2" w:rsidRDefault="00E964DF" w:rsidP="00E964DF">
      <w:pPr>
        <w:keepNext/>
        <w:rPr>
          <w:sz w:val="20"/>
          <w:szCs w:val="20"/>
        </w:rPr>
      </w:pPr>
      <w:r w:rsidRPr="000B7FC2">
        <w:rPr>
          <w:sz w:val="20"/>
          <w:szCs w:val="20"/>
        </w:rPr>
        <w:t>If you are willing to allow your answers to be used in this study, please indicate consent below. Please note that all answers will be stored anonymously and your ID will not be disclosed to anybody else.</w:t>
      </w:r>
    </w:p>
    <w:p w14:paraId="40D1D4AE"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I agree to my answers being used for research in this project and I understand that I can withdraw consent at any time. </w:t>
      </w:r>
    </w:p>
    <w:p w14:paraId="2BEBE92D" w14:textId="77777777" w:rsidR="00E964DF" w:rsidRPr="00E964DF" w:rsidRDefault="00E964DF" w:rsidP="00E964DF">
      <w:pPr>
        <w:keepNext/>
        <w:rPr>
          <w:sz w:val="20"/>
          <w:szCs w:val="20"/>
        </w:rPr>
      </w:pPr>
    </w:p>
    <w:p w14:paraId="44C4AC9B" w14:textId="4971C052" w:rsidR="00E964DF" w:rsidRPr="000B7FC2" w:rsidRDefault="00E964DF" w:rsidP="000B7FC2">
      <w:pPr>
        <w:keepNext/>
        <w:spacing w:line="240" w:lineRule="auto"/>
        <w:rPr>
          <w:sz w:val="20"/>
          <w:szCs w:val="20"/>
        </w:rPr>
      </w:pPr>
      <w:r w:rsidRPr="000B7FC2">
        <w:rPr>
          <w:sz w:val="20"/>
          <w:szCs w:val="20"/>
        </w:rPr>
        <w:t>Do you clinically supervise others?</w:t>
      </w:r>
    </w:p>
    <w:p w14:paraId="481E9C10"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Yes </w:t>
      </w:r>
    </w:p>
    <w:p w14:paraId="5955DEEA"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No </w:t>
      </w:r>
    </w:p>
    <w:p w14:paraId="1BF707A4" w14:textId="77777777" w:rsidR="00E964DF" w:rsidRDefault="00E964DF" w:rsidP="000B7FC2">
      <w:pPr>
        <w:keepNext/>
        <w:spacing w:line="240" w:lineRule="auto"/>
        <w:rPr>
          <w:b/>
          <w:sz w:val="20"/>
          <w:szCs w:val="20"/>
        </w:rPr>
      </w:pPr>
    </w:p>
    <w:p w14:paraId="12ED0B65" w14:textId="3C5174B5" w:rsidR="00E964DF" w:rsidRPr="000B7FC2" w:rsidRDefault="00E964DF" w:rsidP="000B7FC2">
      <w:pPr>
        <w:keepNext/>
        <w:spacing w:line="240" w:lineRule="auto"/>
        <w:rPr>
          <w:sz w:val="20"/>
          <w:szCs w:val="20"/>
        </w:rPr>
      </w:pPr>
      <w:r w:rsidRPr="000B7FC2">
        <w:rPr>
          <w:b/>
          <w:sz w:val="20"/>
          <w:szCs w:val="20"/>
        </w:rPr>
        <w:t>Please tell us a little about yourself:</w:t>
      </w:r>
    </w:p>
    <w:p w14:paraId="2ADADE4F" w14:textId="77777777" w:rsidR="00E964DF" w:rsidRPr="000B7FC2" w:rsidRDefault="00E964DF" w:rsidP="000B7FC2">
      <w:pPr>
        <w:spacing w:line="240" w:lineRule="auto"/>
        <w:rPr>
          <w:sz w:val="20"/>
          <w:szCs w:val="20"/>
        </w:rPr>
      </w:pPr>
    </w:p>
    <w:p w14:paraId="298F5484" w14:textId="77777777" w:rsidR="00E964DF" w:rsidRPr="000B7FC2" w:rsidRDefault="00E964DF" w:rsidP="000B7FC2">
      <w:pPr>
        <w:keepNext/>
        <w:spacing w:line="240" w:lineRule="auto"/>
        <w:rPr>
          <w:sz w:val="20"/>
          <w:szCs w:val="20"/>
        </w:rPr>
      </w:pPr>
      <w:r w:rsidRPr="000B7FC2">
        <w:rPr>
          <w:sz w:val="20"/>
          <w:szCs w:val="20"/>
        </w:rPr>
        <w:lastRenderedPageBreak/>
        <w:t>Your age:</w:t>
      </w:r>
    </w:p>
    <w:p w14:paraId="7AAA214B"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6BCC362D" w14:textId="77777777" w:rsidR="00E964DF" w:rsidRPr="000B7FC2" w:rsidRDefault="00E964DF" w:rsidP="000B7FC2">
      <w:pPr>
        <w:spacing w:line="240" w:lineRule="auto"/>
        <w:rPr>
          <w:sz w:val="20"/>
          <w:szCs w:val="20"/>
        </w:rPr>
      </w:pPr>
    </w:p>
    <w:p w14:paraId="144746F9" w14:textId="77777777" w:rsidR="00E964DF" w:rsidRPr="000B7FC2" w:rsidRDefault="00E964DF" w:rsidP="000B7FC2">
      <w:pPr>
        <w:keepNext/>
        <w:spacing w:line="240" w:lineRule="auto"/>
        <w:rPr>
          <w:sz w:val="20"/>
          <w:szCs w:val="20"/>
        </w:rPr>
      </w:pPr>
      <w:r w:rsidRPr="000B7FC2">
        <w:rPr>
          <w:sz w:val="20"/>
          <w:szCs w:val="20"/>
        </w:rPr>
        <w:t>Your gender:</w:t>
      </w:r>
    </w:p>
    <w:p w14:paraId="0D7A8438"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Male </w:t>
      </w:r>
    </w:p>
    <w:p w14:paraId="302F0FF1"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Female </w:t>
      </w:r>
    </w:p>
    <w:p w14:paraId="188361DA" w14:textId="77777777" w:rsidR="00E964DF" w:rsidRPr="000B7FC2" w:rsidRDefault="00E964DF" w:rsidP="000B7FC2">
      <w:pPr>
        <w:spacing w:line="240" w:lineRule="auto"/>
        <w:rPr>
          <w:sz w:val="20"/>
          <w:szCs w:val="20"/>
        </w:rPr>
      </w:pPr>
    </w:p>
    <w:p w14:paraId="034D9EBF" w14:textId="77777777" w:rsidR="00E964DF" w:rsidRPr="000B7FC2" w:rsidRDefault="00E964DF" w:rsidP="000B7FC2">
      <w:pPr>
        <w:keepNext/>
        <w:spacing w:line="240" w:lineRule="auto"/>
        <w:rPr>
          <w:sz w:val="20"/>
          <w:szCs w:val="20"/>
        </w:rPr>
      </w:pPr>
      <w:r w:rsidRPr="000B7FC2">
        <w:rPr>
          <w:sz w:val="20"/>
          <w:szCs w:val="20"/>
        </w:rPr>
        <w:t>What country are you working in?</w:t>
      </w:r>
    </w:p>
    <w:p w14:paraId="53CFC1DA"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644CB870" w14:textId="77777777" w:rsidR="00E964DF" w:rsidRPr="000B7FC2" w:rsidRDefault="00E964DF" w:rsidP="000B7FC2">
      <w:pPr>
        <w:spacing w:line="240" w:lineRule="auto"/>
        <w:rPr>
          <w:sz w:val="20"/>
          <w:szCs w:val="20"/>
        </w:rPr>
      </w:pPr>
    </w:p>
    <w:p w14:paraId="0B07908D" w14:textId="77777777" w:rsidR="00E964DF" w:rsidRPr="000B7FC2" w:rsidRDefault="00E964DF" w:rsidP="000B7FC2">
      <w:pPr>
        <w:keepNext/>
        <w:spacing w:line="240" w:lineRule="auto"/>
        <w:rPr>
          <w:sz w:val="20"/>
          <w:szCs w:val="20"/>
        </w:rPr>
      </w:pPr>
      <w:r w:rsidRPr="000B7FC2">
        <w:rPr>
          <w:sz w:val="20"/>
          <w:szCs w:val="20"/>
        </w:rPr>
        <w:t>What country did you do your therapy training in?</w:t>
      </w:r>
    </w:p>
    <w:p w14:paraId="3C4116EA"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5B036889" w14:textId="77777777" w:rsidR="00E964DF" w:rsidRPr="000B7FC2" w:rsidRDefault="00E964DF" w:rsidP="000B7FC2">
      <w:pPr>
        <w:spacing w:line="240" w:lineRule="auto"/>
        <w:rPr>
          <w:sz w:val="20"/>
          <w:szCs w:val="20"/>
        </w:rPr>
      </w:pPr>
    </w:p>
    <w:p w14:paraId="2CCE25CA" w14:textId="77777777" w:rsidR="00E964DF" w:rsidRPr="000B7FC2" w:rsidRDefault="00E964DF" w:rsidP="000B7FC2">
      <w:pPr>
        <w:keepNext/>
        <w:spacing w:line="240" w:lineRule="auto"/>
        <w:rPr>
          <w:sz w:val="20"/>
          <w:szCs w:val="20"/>
        </w:rPr>
      </w:pPr>
      <w:r w:rsidRPr="000B7FC2">
        <w:rPr>
          <w:sz w:val="20"/>
          <w:szCs w:val="20"/>
        </w:rPr>
        <w:t>What is your background profession?</w:t>
      </w:r>
    </w:p>
    <w:p w14:paraId="7B8C7DF0"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Nurse </w:t>
      </w:r>
    </w:p>
    <w:p w14:paraId="57C84BEF"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Social Worker </w:t>
      </w:r>
    </w:p>
    <w:p w14:paraId="3A15F175"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Occupational Therapist </w:t>
      </w:r>
    </w:p>
    <w:p w14:paraId="76DCE2FA" w14:textId="77777777" w:rsidR="00E964DF" w:rsidRPr="000B7FC2" w:rsidRDefault="00E964DF" w:rsidP="00C31046">
      <w:pPr>
        <w:pStyle w:val="ListParagraph"/>
        <w:keepNext/>
        <w:numPr>
          <w:ilvl w:val="0"/>
          <w:numId w:val="52"/>
        </w:numPr>
        <w:contextualSpacing w:val="0"/>
        <w:jc w:val="left"/>
        <w:rPr>
          <w:sz w:val="20"/>
          <w:szCs w:val="20"/>
        </w:rPr>
      </w:pPr>
      <w:r w:rsidRPr="000B7FC2">
        <w:rPr>
          <w:sz w:val="20"/>
          <w:szCs w:val="20"/>
        </w:rPr>
        <w:t xml:space="preserve">Clinical Psychologist </w:t>
      </w:r>
    </w:p>
    <w:p w14:paraId="12FC89FC" w14:textId="77777777" w:rsidR="00E964DF" w:rsidRPr="000B7FC2" w:rsidRDefault="00E964DF" w:rsidP="00C31046">
      <w:pPr>
        <w:pStyle w:val="ListParagraph"/>
        <w:keepNext/>
        <w:numPr>
          <w:ilvl w:val="0"/>
          <w:numId w:val="52"/>
        </w:numPr>
        <w:contextualSpacing w:val="0"/>
        <w:jc w:val="left"/>
        <w:rPr>
          <w:sz w:val="20"/>
          <w:szCs w:val="20"/>
        </w:rPr>
      </w:pPr>
      <w:r w:rsidRPr="000B7FC2">
        <w:rPr>
          <w:sz w:val="20"/>
          <w:szCs w:val="20"/>
        </w:rPr>
        <w:t xml:space="preserve">Counselling Psychologist </w:t>
      </w:r>
    </w:p>
    <w:p w14:paraId="7D463114" w14:textId="77777777" w:rsidR="00E964DF" w:rsidRPr="000B7FC2" w:rsidRDefault="00E964DF" w:rsidP="00AB0392">
      <w:pPr>
        <w:pStyle w:val="ListParagraph"/>
        <w:keepNext/>
        <w:numPr>
          <w:ilvl w:val="0"/>
          <w:numId w:val="52"/>
        </w:numPr>
        <w:contextualSpacing w:val="0"/>
        <w:jc w:val="left"/>
        <w:rPr>
          <w:sz w:val="20"/>
          <w:szCs w:val="20"/>
        </w:rPr>
      </w:pPr>
      <w:r w:rsidRPr="000B7FC2">
        <w:rPr>
          <w:sz w:val="20"/>
          <w:szCs w:val="20"/>
        </w:rPr>
        <w:t xml:space="preserve">Psychiatrist </w:t>
      </w:r>
    </w:p>
    <w:p w14:paraId="08D5D6BD" w14:textId="77777777" w:rsidR="00E964DF" w:rsidRPr="000B7FC2" w:rsidRDefault="00E964DF" w:rsidP="00B30A94">
      <w:pPr>
        <w:pStyle w:val="ListParagraph"/>
        <w:keepNext/>
        <w:numPr>
          <w:ilvl w:val="0"/>
          <w:numId w:val="52"/>
        </w:numPr>
        <w:contextualSpacing w:val="0"/>
        <w:jc w:val="left"/>
        <w:rPr>
          <w:sz w:val="20"/>
          <w:szCs w:val="20"/>
        </w:rPr>
      </w:pPr>
      <w:r w:rsidRPr="000B7FC2">
        <w:rPr>
          <w:sz w:val="20"/>
          <w:szCs w:val="20"/>
        </w:rPr>
        <w:t xml:space="preserve">Health Trainer </w:t>
      </w:r>
    </w:p>
    <w:p w14:paraId="0E9BB78D" w14:textId="77777777" w:rsidR="00E964DF" w:rsidRPr="000B7FC2" w:rsidRDefault="00E964DF" w:rsidP="00B30A94">
      <w:pPr>
        <w:pStyle w:val="ListParagraph"/>
        <w:keepNext/>
        <w:numPr>
          <w:ilvl w:val="0"/>
          <w:numId w:val="52"/>
        </w:numPr>
        <w:contextualSpacing w:val="0"/>
        <w:jc w:val="left"/>
        <w:rPr>
          <w:sz w:val="20"/>
          <w:szCs w:val="20"/>
        </w:rPr>
      </w:pPr>
      <w:r w:rsidRPr="000B7FC2">
        <w:rPr>
          <w:sz w:val="20"/>
          <w:szCs w:val="20"/>
        </w:rPr>
        <w:t xml:space="preserve">IAPT High Intensity Worker </w:t>
      </w:r>
    </w:p>
    <w:p w14:paraId="06DD5A1E" w14:textId="77777777" w:rsidR="00E964DF" w:rsidRPr="000B7FC2" w:rsidRDefault="00E964DF" w:rsidP="00462E63">
      <w:pPr>
        <w:pStyle w:val="ListParagraph"/>
        <w:keepNext/>
        <w:numPr>
          <w:ilvl w:val="0"/>
          <w:numId w:val="52"/>
        </w:numPr>
        <w:contextualSpacing w:val="0"/>
        <w:jc w:val="left"/>
        <w:rPr>
          <w:sz w:val="20"/>
          <w:szCs w:val="20"/>
        </w:rPr>
      </w:pPr>
      <w:r w:rsidRPr="000B7FC2">
        <w:rPr>
          <w:sz w:val="20"/>
          <w:szCs w:val="20"/>
        </w:rPr>
        <w:t xml:space="preserve">Psychological Wellbeing Practitioner </w:t>
      </w:r>
    </w:p>
    <w:p w14:paraId="74D6E5B8" w14:textId="77777777" w:rsidR="00E964DF" w:rsidRPr="000B7FC2" w:rsidRDefault="00E964DF" w:rsidP="00E30E56">
      <w:pPr>
        <w:pStyle w:val="ListParagraph"/>
        <w:keepNext/>
        <w:numPr>
          <w:ilvl w:val="0"/>
          <w:numId w:val="52"/>
        </w:numPr>
        <w:contextualSpacing w:val="0"/>
        <w:jc w:val="left"/>
        <w:rPr>
          <w:sz w:val="20"/>
          <w:szCs w:val="20"/>
        </w:rPr>
      </w:pPr>
      <w:r w:rsidRPr="000B7FC2">
        <w:rPr>
          <w:sz w:val="20"/>
          <w:szCs w:val="20"/>
        </w:rPr>
        <w:t>Other (please specify) ________________________________________________</w:t>
      </w:r>
    </w:p>
    <w:p w14:paraId="7337C637" w14:textId="77777777" w:rsidR="00E964DF" w:rsidRPr="000B7FC2" w:rsidRDefault="00E964DF" w:rsidP="000B7FC2">
      <w:pPr>
        <w:spacing w:line="240" w:lineRule="auto"/>
        <w:rPr>
          <w:sz w:val="20"/>
          <w:szCs w:val="20"/>
        </w:rPr>
      </w:pPr>
    </w:p>
    <w:p w14:paraId="3DBC2E48" w14:textId="77777777" w:rsidR="00E964DF" w:rsidRPr="000B7FC2" w:rsidRDefault="00E964DF" w:rsidP="000B7FC2">
      <w:pPr>
        <w:keepNext/>
        <w:spacing w:line="240" w:lineRule="auto"/>
        <w:rPr>
          <w:sz w:val="20"/>
          <w:szCs w:val="20"/>
        </w:rPr>
      </w:pPr>
      <w:r w:rsidRPr="000B7FC2">
        <w:rPr>
          <w:sz w:val="20"/>
          <w:szCs w:val="20"/>
        </w:rPr>
        <w:t>How long have you been qualified? (in years)</w:t>
      </w:r>
    </w:p>
    <w:p w14:paraId="77485532"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2CF96596" w14:textId="77777777" w:rsidR="00E964DF" w:rsidRPr="000B7FC2" w:rsidRDefault="00E964DF" w:rsidP="000B7FC2">
      <w:pPr>
        <w:spacing w:line="240" w:lineRule="auto"/>
        <w:rPr>
          <w:sz w:val="20"/>
          <w:szCs w:val="20"/>
        </w:rPr>
      </w:pPr>
    </w:p>
    <w:p w14:paraId="76BB003C" w14:textId="77777777" w:rsidR="00E964DF" w:rsidRPr="000B7FC2" w:rsidRDefault="00E964DF" w:rsidP="000B7FC2">
      <w:pPr>
        <w:keepNext/>
        <w:spacing w:line="240" w:lineRule="auto"/>
        <w:rPr>
          <w:sz w:val="20"/>
          <w:szCs w:val="20"/>
        </w:rPr>
      </w:pPr>
      <w:r w:rsidRPr="000B7FC2">
        <w:rPr>
          <w:sz w:val="20"/>
          <w:szCs w:val="20"/>
        </w:rPr>
        <w:lastRenderedPageBreak/>
        <w:t>Are you accredited by your national CBT organisation (e.g., BABCP in the UK)?</w:t>
      </w:r>
    </w:p>
    <w:p w14:paraId="7F04E857"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Yes </w:t>
      </w:r>
    </w:p>
    <w:p w14:paraId="7A525D32"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No </w:t>
      </w:r>
    </w:p>
    <w:p w14:paraId="44CE304A"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Provisionally </w:t>
      </w:r>
    </w:p>
    <w:p w14:paraId="351F5ABB" w14:textId="77777777" w:rsidR="00E964DF" w:rsidRPr="000B7FC2" w:rsidRDefault="00E964DF" w:rsidP="000B7FC2">
      <w:pPr>
        <w:spacing w:line="240" w:lineRule="auto"/>
        <w:rPr>
          <w:sz w:val="20"/>
          <w:szCs w:val="20"/>
        </w:rPr>
      </w:pPr>
    </w:p>
    <w:p w14:paraId="0EE8753A" w14:textId="77777777" w:rsidR="00E964DF" w:rsidRPr="000B7FC2" w:rsidRDefault="00E964DF" w:rsidP="000B7FC2">
      <w:pPr>
        <w:keepNext/>
        <w:spacing w:line="240" w:lineRule="auto"/>
        <w:rPr>
          <w:sz w:val="20"/>
          <w:szCs w:val="20"/>
        </w:rPr>
      </w:pPr>
      <w:r w:rsidRPr="000B7FC2">
        <w:rPr>
          <w:sz w:val="20"/>
          <w:szCs w:val="20"/>
        </w:rPr>
        <w:t>How long have you been accredited as a CBT practitioner? (in years)</w:t>
      </w:r>
    </w:p>
    <w:p w14:paraId="06E5FBE1"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6669DBD6" w14:textId="77777777" w:rsidR="00E964DF" w:rsidRPr="00E964DF" w:rsidRDefault="00E964DF" w:rsidP="000B7FC2">
      <w:pPr>
        <w:keepNext/>
        <w:spacing w:line="240" w:lineRule="auto"/>
        <w:rPr>
          <w:sz w:val="20"/>
          <w:szCs w:val="20"/>
        </w:rPr>
      </w:pPr>
    </w:p>
    <w:p w14:paraId="58396736" w14:textId="287D3513" w:rsidR="00E964DF" w:rsidRPr="000B7FC2" w:rsidRDefault="00E964DF" w:rsidP="000B7FC2">
      <w:pPr>
        <w:keepNext/>
        <w:spacing w:line="240" w:lineRule="auto"/>
        <w:rPr>
          <w:sz w:val="20"/>
          <w:szCs w:val="20"/>
        </w:rPr>
      </w:pPr>
      <w:r w:rsidRPr="000B7FC2">
        <w:rPr>
          <w:sz w:val="20"/>
          <w:szCs w:val="20"/>
        </w:rPr>
        <w:t>Are you accredited as a supervisor by your national CBT organisation?</w:t>
      </w:r>
    </w:p>
    <w:p w14:paraId="2D3973C3"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Yes </w:t>
      </w:r>
    </w:p>
    <w:p w14:paraId="101ABDF5"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No </w:t>
      </w:r>
    </w:p>
    <w:p w14:paraId="6CF629BB" w14:textId="77777777" w:rsidR="00E964DF" w:rsidRPr="000B7FC2" w:rsidRDefault="00E964DF" w:rsidP="000B7FC2">
      <w:pPr>
        <w:spacing w:line="240" w:lineRule="auto"/>
        <w:rPr>
          <w:sz w:val="20"/>
          <w:szCs w:val="20"/>
        </w:rPr>
      </w:pPr>
    </w:p>
    <w:p w14:paraId="3AABE0F2" w14:textId="77777777" w:rsidR="00E964DF" w:rsidRPr="000B7FC2" w:rsidRDefault="00E964DF" w:rsidP="000B7FC2">
      <w:pPr>
        <w:keepNext/>
        <w:spacing w:line="240" w:lineRule="auto"/>
        <w:rPr>
          <w:sz w:val="20"/>
          <w:szCs w:val="20"/>
        </w:rPr>
      </w:pPr>
      <w:r w:rsidRPr="000B7FC2">
        <w:rPr>
          <w:sz w:val="20"/>
          <w:szCs w:val="20"/>
        </w:rPr>
        <w:t>How long have you been accredited as a CBT supervisor? (in years)</w:t>
      </w:r>
    </w:p>
    <w:p w14:paraId="6EE1810C"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5C20A118" w14:textId="77777777" w:rsidR="00E964DF" w:rsidRPr="000B7FC2" w:rsidRDefault="00E964DF" w:rsidP="000B7FC2">
      <w:pPr>
        <w:spacing w:line="240" w:lineRule="auto"/>
        <w:rPr>
          <w:sz w:val="20"/>
          <w:szCs w:val="20"/>
        </w:rPr>
      </w:pPr>
    </w:p>
    <w:p w14:paraId="6AD0F9BF" w14:textId="77777777" w:rsidR="00E964DF" w:rsidRPr="000B7FC2" w:rsidRDefault="00E964DF" w:rsidP="000B7FC2">
      <w:pPr>
        <w:keepNext/>
        <w:spacing w:line="240" w:lineRule="auto"/>
        <w:rPr>
          <w:sz w:val="20"/>
          <w:szCs w:val="20"/>
        </w:rPr>
      </w:pPr>
      <w:r w:rsidRPr="000B7FC2">
        <w:rPr>
          <w:sz w:val="20"/>
          <w:szCs w:val="20"/>
        </w:rPr>
        <w:t>How long have you been using CBT to treat patients with depression? (in years)</w:t>
      </w:r>
    </w:p>
    <w:p w14:paraId="6E0A0108"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10D6786F" w14:textId="77777777" w:rsidR="00E964DF" w:rsidRPr="000B7FC2" w:rsidRDefault="00E964DF" w:rsidP="000B7FC2">
      <w:pPr>
        <w:spacing w:line="240" w:lineRule="auto"/>
        <w:rPr>
          <w:sz w:val="20"/>
          <w:szCs w:val="20"/>
        </w:rPr>
      </w:pPr>
    </w:p>
    <w:p w14:paraId="0ED6FCCA" w14:textId="77777777" w:rsidR="00E964DF" w:rsidRPr="000B7FC2" w:rsidRDefault="00E964DF" w:rsidP="000B7FC2">
      <w:pPr>
        <w:keepNext/>
        <w:spacing w:line="240" w:lineRule="auto"/>
        <w:rPr>
          <w:sz w:val="20"/>
          <w:szCs w:val="20"/>
        </w:rPr>
      </w:pPr>
      <w:r w:rsidRPr="000B7FC2">
        <w:rPr>
          <w:sz w:val="20"/>
          <w:szCs w:val="20"/>
        </w:rPr>
        <w:t>On average, how big is your CBT caseload at any one time?</w:t>
      </w:r>
    </w:p>
    <w:p w14:paraId="68AC8947"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3E1B55F7" w14:textId="77777777" w:rsidR="00E964DF" w:rsidRPr="000B7FC2" w:rsidRDefault="00E964DF" w:rsidP="000B7FC2">
      <w:pPr>
        <w:spacing w:line="240" w:lineRule="auto"/>
        <w:rPr>
          <w:sz w:val="20"/>
          <w:szCs w:val="20"/>
        </w:rPr>
      </w:pPr>
    </w:p>
    <w:p w14:paraId="39BDB128" w14:textId="77777777" w:rsidR="00E964DF" w:rsidRPr="000B7FC2" w:rsidRDefault="00E964DF" w:rsidP="000B7FC2">
      <w:pPr>
        <w:keepNext/>
        <w:spacing w:line="240" w:lineRule="auto"/>
        <w:rPr>
          <w:sz w:val="20"/>
          <w:szCs w:val="20"/>
        </w:rPr>
      </w:pPr>
      <w:r w:rsidRPr="000B7FC2">
        <w:rPr>
          <w:sz w:val="20"/>
          <w:szCs w:val="20"/>
        </w:rPr>
        <w:t>On average, what percentage of your client caseload has a</w:t>
      </w:r>
      <w:r w:rsidRPr="000B7FC2">
        <w:rPr>
          <w:b/>
          <w:sz w:val="20"/>
          <w:szCs w:val="20"/>
        </w:rPr>
        <w:t xml:space="preserve"> primary </w:t>
      </w:r>
      <w:r w:rsidRPr="000B7FC2">
        <w:rPr>
          <w:sz w:val="20"/>
          <w:szCs w:val="20"/>
        </w:rPr>
        <w:t>diagnosis of depression?</w:t>
      </w:r>
    </w:p>
    <w:p w14:paraId="3D422FDC"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2F32ED14" w14:textId="77777777" w:rsidR="00E964DF" w:rsidRPr="000B7FC2" w:rsidRDefault="00E964DF" w:rsidP="000B7FC2">
      <w:pPr>
        <w:spacing w:line="240" w:lineRule="auto"/>
        <w:rPr>
          <w:sz w:val="20"/>
          <w:szCs w:val="20"/>
        </w:rPr>
      </w:pPr>
    </w:p>
    <w:p w14:paraId="4FBDF028" w14:textId="77777777" w:rsidR="00E964DF" w:rsidRPr="000B7FC2" w:rsidRDefault="00E964DF" w:rsidP="000B7FC2">
      <w:pPr>
        <w:keepNext/>
        <w:spacing w:line="240" w:lineRule="auto"/>
        <w:rPr>
          <w:sz w:val="20"/>
          <w:szCs w:val="20"/>
        </w:rPr>
      </w:pPr>
      <w:r w:rsidRPr="000B7FC2">
        <w:rPr>
          <w:sz w:val="20"/>
          <w:szCs w:val="20"/>
        </w:rPr>
        <w:t>On average, what percentage of your client caseload has a</w:t>
      </w:r>
      <w:r w:rsidRPr="000B7FC2">
        <w:rPr>
          <w:b/>
          <w:sz w:val="20"/>
          <w:szCs w:val="20"/>
        </w:rPr>
        <w:t xml:space="preserve"> secondary </w:t>
      </w:r>
      <w:r w:rsidRPr="000B7FC2">
        <w:rPr>
          <w:sz w:val="20"/>
          <w:szCs w:val="20"/>
        </w:rPr>
        <w:t>diagnosis of depression (alongside another major referring diagnosis)?</w:t>
      </w:r>
    </w:p>
    <w:p w14:paraId="44B30AD8"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23B3D1EB" w14:textId="77777777" w:rsidR="00E964DF" w:rsidRPr="000B7FC2" w:rsidRDefault="00E964DF" w:rsidP="000B7FC2">
      <w:pPr>
        <w:spacing w:line="240" w:lineRule="auto"/>
        <w:rPr>
          <w:sz w:val="20"/>
          <w:szCs w:val="20"/>
        </w:rPr>
      </w:pPr>
    </w:p>
    <w:p w14:paraId="4488E8DB" w14:textId="77777777" w:rsidR="00E964DF" w:rsidRPr="000B7FC2" w:rsidRDefault="00E964DF" w:rsidP="000B7FC2">
      <w:pPr>
        <w:keepNext/>
        <w:spacing w:line="240" w:lineRule="auto"/>
        <w:rPr>
          <w:sz w:val="20"/>
          <w:szCs w:val="20"/>
        </w:rPr>
      </w:pPr>
      <w:r w:rsidRPr="000B7FC2">
        <w:rPr>
          <w:sz w:val="20"/>
          <w:szCs w:val="20"/>
        </w:rPr>
        <w:t xml:space="preserve">On average, how many hours of clinical supervision do you receive </w:t>
      </w:r>
      <w:r w:rsidRPr="000B7FC2">
        <w:rPr>
          <w:b/>
          <w:sz w:val="20"/>
          <w:szCs w:val="20"/>
        </w:rPr>
        <w:t>each month</w:t>
      </w:r>
      <w:r w:rsidRPr="000B7FC2">
        <w:rPr>
          <w:sz w:val="20"/>
          <w:szCs w:val="20"/>
        </w:rPr>
        <w:t>?</w:t>
      </w:r>
    </w:p>
    <w:p w14:paraId="5359F425"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3CF8206F" w14:textId="77777777" w:rsidR="00E964DF" w:rsidRPr="000B7FC2" w:rsidRDefault="00E964DF" w:rsidP="000B7FC2">
      <w:pPr>
        <w:spacing w:line="240" w:lineRule="auto"/>
        <w:rPr>
          <w:sz w:val="20"/>
          <w:szCs w:val="20"/>
        </w:rPr>
      </w:pPr>
    </w:p>
    <w:p w14:paraId="160118DF" w14:textId="77777777" w:rsidR="00E964DF" w:rsidRPr="000B7FC2" w:rsidRDefault="00E964DF" w:rsidP="000B7FC2">
      <w:pPr>
        <w:keepNext/>
        <w:spacing w:line="240" w:lineRule="auto"/>
        <w:rPr>
          <w:sz w:val="20"/>
          <w:szCs w:val="20"/>
        </w:rPr>
      </w:pPr>
      <w:r w:rsidRPr="000B7FC2">
        <w:rPr>
          <w:sz w:val="20"/>
          <w:szCs w:val="20"/>
        </w:rPr>
        <w:t>How many people do you clinically supervise?</w:t>
      </w:r>
    </w:p>
    <w:p w14:paraId="4323CE9F"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4FBA78A9" w14:textId="77777777" w:rsidR="00E964DF" w:rsidRPr="000B7FC2" w:rsidRDefault="00E964DF" w:rsidP="000B7FC2">
      <w:pPr>
        <w:spacing w:line="240" w:lineRule="auto"/>
        <w:rPr>
          <w:sz w:val="20"/>
          <w:szCs w:val="20"/>
        </w:rPr>
      </w:pPr>
    </w:p>
    <w:p w14:paraId="3FB3CF80" w14:textId="77777777" w:rsidR="00E964DF" w:rsidRPr="000B7FC2" w:rsidRDefault="00E964DF" w:rsidP="000B7FC2">
      <w:pPr>
        <w:keepNext/>
        <w:spacing w:line="240" w:lineRule="auto"/>
        <w:rPr>
          <w:sz w:val="20"/>
          <w:szCs w:val="20"/>
        </w:rPr>
      </w:pPr>
      <w:r w:rsidRPr="000B7FC2">
        <w:rPr>
          <w:sz w:val="20"/>
          <w:szCs w:val="20"/>
        </w:rPr>
        <w:t xml:space="preserve">How many hours do you spend clinically supervising </w:t>
      </w:r>
      <w:r w:rsidRPr="000B7FC2">
        <w:rPr>
          <w:b/>
          <w:sz w:val="20"/>
          <w:szCs w:val="20"/>
        </w:rPr>
        <w:t>each month</w:t>
      </w:r>
      <w:r w:rsidRPr="000B7FC2">
        <w:rPr>
          <w:sz w:val="20"/>
          <w:szCs w:val="20"/>
        </w:rPr>
        <w:t>?</w:t>
      </w:r>
    </w:p>
    <w:p w14:paraId="702C2EC0"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6A0A6000" w14:textId="77777777" w:rsidR="00E964DF" w:rsidRPr="000B7FC2" w:rsidRDefault="00E964DF" w:rsidP="000B7FC2">
      <w:pPr>
        <w:spacing w:line="240" w:lineRule="auto"/>
        <w:rPr>
          <w:sz w:val="20"/>
          <w:szCs w:val="20"/>
        </w:rPr>
      </w:pPr>
    </w:p>
    <w:p w14:paraId="2B11E1B4" w14:textId="77777777" w:rsidR="00E964DF" w:rsidRPr="000B7FC2" w:rsidRDefault="00E964DF" w:rsidP="000B7FC2">
      <w:pPr>
        <w:keepNext/>
        <w:spacing w:line="240" w:lineRule="auto"/>
        <w:rPr>
          <w:sz w:val="20"/>
          <w:szCs w:val="20"/>
        </w:rPr>
      </w:pPr>
      <w:r w:rsidRPr="000B7FC2">
        <w:rPr>
          <w:sz w:val="20"/>
          <w:szCs w:val="20"/>
        </w:rPr>
        <w:t>Do you use treatment manuals on a regular basis for your work with depression?</w:t>
      </w:r>
    </w:p>
    <w:p w14:paraId="680C79F9"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Yes </w:t>
      </w:r>
    </w:p>
    <w:p w14:paraId="41B03F84"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No </w:t>
      </w:r>
    </w:p>
    <w:p w14:paraId="218180AC" w14:textId="77777777" w:rsidR="00E964DF" w:rsidRPr="000B7FC2" w:rsidRDefault="00E964DF" w:rsidP="000B7FC2">
      <w:pPr>
        <w:spacing w:line="240" w:lineRule="auto"/>
        <w:rPr>
          <w:sz w:val="20"/>
          <w:szCs w:val="20"/>
        </w:rPr>
      </w:pPr>
    </w:p>
    <w:p w14:paraId="00321889" w14:textId="77777777" w:rsidR="00E964DF" w:rsidRPr="000B7FC2" w:rsidRDefault="00E964DF" w:rsidP="000B7FC2">
      <w:pPr>
        <w:keepNext/>
        <w:spacing w:line="240" w:lineRule="auto"/>
        <w:rPr>
          <w:sz w:val="20"/>
          <w:szCs w:val="20"/>
        </w:rPr>
      </w:pPr>
      <w:r w:rsidRPr="000B7FC2">
        <w:rPr>
          <w:sz w:val="20"/>
          <w:szCs w:val="20"/>
        </w:rPr>
        <w:t>How many do you use?</w:t>
      </w:r>
    </w:p>
    <w:p w14:paraId="1CE3EF47" w14:textId="77777777" w:rsidR="00E964DF" w:rsidRPr="000B7FC2" w:rsidRDefault="00E964DF" w:rsidP="00E964DF">
      <w:pPr>
        <w:pStyle w:val="ListParagraph"/>
        <w:keepNext/>
        <w:numPr>
          <w:ilvl w:val="0"/>
          <w:numId w:val="52"/>
        </w:numPr>
        <w:contextualSpacing w:val="0"/>
        <w:jc w:val="left"/>
        <w:rPr>
          <w:sz w:val="20"/>
          <w:szCs w:val="20"/>
        </w:rPr>
      </w:pPr>
      <w:r w:rsidRPr="000B7FC2">
        <w:rPr>
          <w:sz w:val="20"/>
          <w:szCs w:val="20"/>
        </w:rPr>
        <w:t xml:space="preserve">1-2 </w:t>
      </w:r>
    </w:p>
    <w:p w14:paraId="6F5F3069"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3-4 </w:t>
      </w:r>
    </w:p>
    <w:p w14:paraId="31D12E85" w14:textId="77777777" w:rsidR="00E964DF" w:rsidRPr="000B7FC2" w:rsidRDefault="00E964DF" w:rsidP="00823FE5">
      <w:pPr>
        <w:pStyle w:val="ListParagraph"/>
        <w:keepNext/>
        <w:numPr>
          <w:ilvl w:val="0"/>
          <w:numId w:val="52"/>
        </w:numPr>
        <w:contextualSpacing w:val="0"/>
        <w:jc w:val="left"/>
        <w:rPr>
          <w:sz w:val="20"/>
          <w:szCs w:val="20"/>
        </w:rPr>
      </w:pPr>
      <w:r w:rsidRPr="000B7FC2">
        <w:rPr>
          <w:sz w:val="20"/>
          <w:szCs w:val="20"/>
        </w:rPr>
        <w:t xml:space="preserve">5+ </w:t>
      </w:r>
    </w:p>
    <w:p w14:paraId="40F28041" w14:textId="77777777" w:rsidR="00E964DF" w:rsidRPr="000B7FC2" w:rsidRDefault="00E964DF" w:rsidP="000B7FC2">
      <w:pPr>
        <w:spacing w:line="240" w:lineRule="auto"/>
        <w:rPr>
          <w:sz w:val="20"/>
          <w:szCs w:val="20"/>
        </w:rPr>
      </w:pPr>
    </w:p>
    <w:p w14:paraId="322F1295" w14:textId="77777777" w:rsidR="00E964DF" w:rsidRPr="000B7FC2" w:rsidRDefault="00E964DF" w:rsidP="000B7FC2">
      <w:pPr>
        <w:keepNext/>
        <w:spacing w:line="240" w:lineRule="auto"/>
        <w:rPr>
          <w:sz w:val="20"/>
          <w:szCs w:val="20"/>
        </w:rPr>
      </w:pPr>
      <w:r w:rsidRPr="000B7FC2">
        <w:rPr>
          <w:sz w:val="20"/>
          <w:szCs w:val="20"/>
        </w:rPr>
        <w:t>Please specify the one that you use most commonly (lead author and title):</w:t>
      </w:r>
    </w:p>
    <w:p w14:paraId="52E8B738" w14:textId="77777777" w:rsidR="00E964DF" w:rsidRPr="000B7FC2" w:rsidRDefault="00E964DF" w:rsidP="00E964DF">
      <w:pPr>
        <w:pStyle w:val="TextEntryLine"/>
        <w:ind w:firstLine="400"/>
        <w:rPr>
          <w:sz w:val="20"/>
          <w:szCs w:val="20"/>
        </w:rPr>
      </w:pPr>
      <w:r w:rsidRPr="000B7FC2">
        <w:rPr>
          <w:sz w:val="20"/>
          <w:szCs w:val="20"/>
        </w:rPr>
        <w:t>________________________________________________________________</w:t>
      </w:r>
    </w:p>
    <w:p w14:paraId="44C9B80F" w14:textId="77777777" w:rsidR="00E964DF" w:rsidRPr="000B7FC2" w:rsidRDefault="00E964DF" w:rsidP="00E964DF">
      <w:pPr>
        <w:rPr>
          <w:sz w:val="20"/>
          <w:szCs w:val="20"/>
        </w:rPr>
      </w:pPr>
    </w:p>
    <w:p w14:paraId="09A6F3B1" w14:textId="77777777" w:rsidR="00E964DF" w:rsidRPr="000B7FC2" w:rsidRDefault="00E964DF" w:rsidP="00E964DF">
      <w:pPr>
        <w:keepNext/>
        <w:rPr>
          <w:sz w:val="20"/>
          <w:szCs w:val="20"/>
        </w:rPr>
      </w:pPr>
      <w:r w:rsidRPr="000B7FC2">
        <w:rPr>
          <w:b/>
          <w:sz w:val="20"/>
          <w:szCs w:val="20"/>
        </w:rPr>
        <w:t>You will be presented with three clinical cases that your supervisee has brought to you in their supervision sessions. For each case you will be asked a series of questions regarding how the therapist should approach treating the patient.</w:t>
      </w:r>
    </w:p>
    <w:p w14:paraId="6B0EDE79" w14:textId="77777777" w:rsidR="00E964DF" w:rsidRPr="000B7FC2" w:rsidRDefault="00E964DF" w:rsidP="00E964DF">
      <w:pPr>
        <w:keepNext/>
        <w:rPr>
          <w:sz w:val="20"/>
          <w:szCs w:val="20"/>
        </w:rPr>
      </w:pPr>
      <w:r w:rsidRPr="000B7FC2">
        <w:rPr>
          <w:sz w:val="20"/>
          <w:szCs w:val="20"/>
        </w:rPr>
        <w:t>Mary is 36 and lives with her two children. She got divorced from her husband two years ago, and currently has a partner of about four months. She has been unhappy with life for approximately four years. In recent months, she has shown more and more signs of depression, including a low mood and poor self-esteem, though there are no biological signs. Although she is still doing her job in a bakery, she is becoming increasingly socially isolated. She has given no indication that she is suicidal. She was referred because of her low mood.</w:t>
      </w:r>
    </w:p>
    <w:p w14:paraId="3F0EFDEC" w14:textId="77777777" w:rsidR="00E964DF" w:rsidRPr="000B7FC2" w:rsidRDefault="00E964DF" w:rsidP="00E964DF">
      <w:pPr>
        <w:keepNext/>
        <w:rPr>
          <w:sz w:val="20"/>
          <w:szCs w:val="20"/>
        </w:rPr>
      </w:pPr>
      <w:r w:rsidRPr="000B7FC2">
        <w:rPr>
          <w:sz w:val="20"/>
          <w:szCs w:val="20"/>
        </w:rPr>
        <w:t xml:space="preserve">Midway through Mary's course of therapy, the clinician comes to you and outlines her condition. Using the sliders below, please indicate how likely you are to focus on each of the </w:t>
      </w:r>
      <w:r w:rsidRPr="000B7FC2">
        <w:rPr>
          <w:sz w:val="20"/>
          <w:szCs w:val="20"/>
        </w:rPr>
        <w:lastRenderedPageBreak/>
        <w:t>following techniques when giving the clinician advice during supervision.     (Where 0 is 'I would not focus on this' and 100 is 'I would focus entirely on this')      </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200748E4" w14:textId="77777777" w:rsidTr="00C31046">
        <w:tc>
          <w:tcPr>
            <w:tcW w:w="4788" w:type="dxa"/>
          </w:tcPr>
          <w:p w14:paraId="3D300B85" w14:textId="77777777" w:rsidR="00E964DF" w:rsidRPr="000B7FC2" w:rsidRDefault="00E964DF" w:rsidP="00C31046">
            <w:pPr>
              <w:rPr>
                <w:sz w:val="20"/>
                <w:szCs w:val="20"/>
              </w:rPr>
            </w:pPr>
          </w:p>
        </w:tc>
        <w:tc>
          <w:tcPr>
            <w:tcW w:w="435" w:type="dxa"/>
          </w:tcPr>
          <w:p w14:paraId="7736BD69" w14:textId="77777777" w:rsidR="00E964DF" w:rsidRPr="000B7FC2" w:rsidRDefault="00E964DF" w:rsidP="00C31046">
            <w:pPr>
              <w:rPr>
                <w:sz w:val="20"/>
                <w:szCs w:val="20"/>
              </w:rPr>
            </w:pPr>
            <w:r w:rsidRPr="000B7FC2">
              <w:rPr>
                <w:sz w:val="20"/>
                <w:szCs w:val="20"/>
              </w:rPr>
              <w:t>0</w:t>
            </w:r>
          </w:p>
        </w:tc>
        <w:tc>
          <w:tcPr>
            <w:tcW w:w="435" w:type="dxa"/>
          </w:tcPr>
          <w:p w14:paraId="0A0D6C05" w14:textId="77777777" w:rsidR="00E964DF" w:rsidRPr="000B7FC2" w:rsidRDefault="00E964DF" w:rsidP="00C31046">
            <w:pPr>
              <w:rPr>
                <w:sz w:val="20"/>
                <w:szCs w:val="20"/>
              </w:rPr>
            </w:pPr>
            <w:r w:rsidRPr="000B7FC2">
              <w:rPr>
                <w:sz w:val="20"/>
                <w:szCs w:val="20"/>
              </w:rPr>
              <w:t>10</w:t>
            </w:r>
          </w:p>
        </w:tc>
        <w:tc>
          <w:tcPr>
            <w:tcW w:w="435" w:type="dxa"/>
          </w:tcPr>
          <w:p w14:paraId="3FF5AD7F" w14:textId="77777777" w:rsidR="00E964DF" w:rsidRPr="000B7FC2" w:rsidRDefault="00E964DF" w:rsidP="00C31046">
            <w:pPr>
              <w:rPr>
                <w:sz w:val="20"/>
                <w:szCs w:val="20"/>
              </w:rPr>
            </w:pPr>
            <w:r w:rsidRPr="000B7FC2">
              <w:rPr>
                <w:sz w:val="20"/>
                <w:szCs w:val="20"/>
              </w:rPr>
              <w:t>20</w:t>
            </w:r>
          </w:p>
        </w:tc>
        <w:tc>
          <w:tcPr>
            <w:tcW w:w="435" w:type="dxa"/>
          </w:tcPr>
          <w:p w14:paraId="4F0DA505" w14:textId="77777777" w:rsidR="00E964DF" w:rsidRPr="000B7FC2" w:rsidRDefault="00E964DF" w:rsidP="00C31046">
            <w:pPr>
              <w:rPr>
                <w:sz w:val="20"/>
                <w:szCs w:val="20"/>
              </w:rPr>
            </w:pPr>
            <w:r w:rsidRPr="000B7FC2">
              <w:rPr>
                <w:sz w:val="20"/>
                <w:szCs w:val="20"/>
              </w:rPr>
              <w:t>30</w:t>
            </w:r>
          </w:p>
        </w:tc>
        <w:tc>
          <w:tcPr>
            <w:tcW w:w="435" w:type="dxa"/>
          </w:tcPr>
          <w:p w14:paraId="5980A062" w14:textId="77777777" w:rsidR="00E964DF" w:rsidRPr="000B7FC2" w:rsidRDefault="00E964DF" w:rsidP="00C31046">
            <w:pPr>
              <w:rPr>
                <w:sz w:val="20"/>
                <w:szCs w:val="20"/>
              </w:rPr>
            </w:pPr>
            <w:r w:rsidRPr="000B7FC2">
              <w:rPr>
                <w:sz w:val="20"/>
                <w:szCs w:val="20"/>
              </w:rPr>
              <w:t>40</w:t>
            </w:r>
          </w:p>
        </w:tc>
        <w:tc>
          <w:tcPr>
            <w:tcW w:w="435" w:type="dxa"/>
          </w:tcPr>
          <w:p w14:paraId="3695BB33" w14:textId="77777777" w:rsidR="00E964DF" w:rsidRPr="000B7FC2" w:rsidRDefault="00E964DF" w:rsidP="00C31046">
            <w:pPr>
              <w:rPr>
                <w:sz w:val="20"/>
                <w:szCs w:val="20"/>
              </w:rPr>
            </w:pPr>
            <w:r w:rsidRPr="000B7FC2">
              <w:rPr>
                <w:sz w:val="20"/>
                <w:szCs w:val="20"/>
              </w:rPr>
              <w:t>50</w:t>
            </w:r>
          </w:p>
        </w:tc>
        <w:tc>
          <w:tcPr>
            <w:tcW w:w="435" w:type="dxa"/>
          </w:tcPr>
          <w:p w14:paraId="293B6713" w14:textId="77777777" w:rsidR="00E964DF" w:rsidRPr="000B7FC2" w:rsidRDefault="00E964DF" w:rsidP="00C31046">
            <w:pPr>
              <w:rPr>
                <w:sz w:val="20"/>
                <w:szCs w:val="20"/>
              </w:rPr>
            </w:pPr>
            <w:r w:rsidRPr="000B7FC2">
              <w:rPr>
                <w:sz w:val="20"/>
                <w:szCs w:val="20"/>
              </w:rPr>
              <w:t>60</w:t>
            </w:r>
          </w:p>
        </w:tc>
        <w:tc>
          <w:tcPr>
            <w:tcW w:w="435" w:type="dxa"/>
          </w:tcPr>
          <w:p w14:paraId="66EE0BAE" w14:textId="77777777" w:rsidR="00E964DF" w:rsidRPr="000B7FC2" w:rsidRDefault="00E964DF" w:rsidP="00C31046">
            <w:pPr>
              <w:rPr>
                <w:sz w:val="20"/>
                <w:szCs w:val="20"/>
              </w:rPr>
            </w:pPr>
            <w:r w:rsidRPr="000B7FC2">
              <w:rPr>
                <w:sz w:val="20"/>
                <w:szCs w:val="20"/>
              </w:rPr>
              <w:t>70</w:t>
            </w:r>
          </w:p>
        </w:tc>
        <w:tc>
          <w:tcPr>
            <w:tcW w:w="435" w:type="dxa"/>
          </w:tcPr>
          <w:p w14:paraId="554312DD" w14:textId="77777777" w:rsidR="00E964DF" w:rsidRPr="000B7FC2" w:rsidRDefault="00E964DF" w:rsidP="00C31046">
            <w:pPr>
              <w:rPr>
                <w:sz w:val="20"/>
                <w:szCs w:val="20"/>
              </w:rPr>
            </w:pPr>
            <w:r w:rsidRPr="000B7FC2">
              <w:rPr>
                <w:sz w:val="20"/>
                <w:szCs w:val="20"/>
              </w:rPr>
              <w:t>80</w:t>
            </w:r>
          </w:p>
        </w:tc>
        <w:tc>
          <w:tcPr>
            <w:tcW w:w="435" w:type="dxa"/>
          </w:tcPr>
          <w:p w14:paraId="09377D68" w14:textId="77777777" w:rsidR="00E964DF" w:rsidRPr="000B7FC2" w:rsidRDefault="00E964DF" w:rsidP="00C31046">
            <w:pPr>
              <w:rPr>
                <w:sz w:val="20"/>
                <w:szCs w:val="20"/>
              </w:rPr>
            </w:pPr>
            <w:r w:rsidRPr="000B7FC2">
              <w:rPr>
                <w:sz w:val="20"/>
                <w:szCs w:val="20"/>
              </w:rPr>
              <w:t>90</w:t>
            </w:r>
          </w:p>
        </w:tc>
        <w:tc>
          <w:tcPr>
            <w:tcW w:w="435" w:type="dxa"/>
          </w:tcPr>
          <w:p w14:paraId="30D2BF72" w14:textId="77777777" w:rsidR="00E964DF" w:rsidRPr="000B7FC2" w:rsidRDefault="00E964DF" w:rsidP="00C31046">
            <w:pPr>
              <w:rPr>
                <w:sz w:val="20"/>
                <w:szCs w:val="20"/>
              </w:rPr>
            </w:pPr>
            <w:r w:rsidRPr="000B7FC2">
              <w:rPr>
                <w:sz w:val="20"/>
                <w:szCs w:val="20"/>
              </w:rPr>
              <w:t>100</w:t>
            </w:r>
          </w:p>
        </w:tc>
      </w:tr>
    </w:tbl>
    <w:p w14:paraId="52840973" w14:textId="77777777" w:rsidR="00E964DF" w:rsidRPr="000B7FC2" w:rsidRDefault="00E964DF" w:rsidP="00E964DF">
      <w:pPr>
        <w:rPr>
          <w:sz w:val="20"/>
          <w:szCs w:val="20"/>
        </w:rPr>
      </w:pPr>
    </w:p>
    <w:tbl>
      <w:tblPr>
        <w:tblStyle w:val="QStandardSliderTable"/>
        <w:tblW w:w="9576" w:type="auto"/>
        <w:tblLook w:val="07E0" w:firstRow="1" w:lastRow="1" w:firstColumn="1" w:lastColumn="1" w:noHBand="1" w:noVBand="1"/>
      </w:tblPr>
      <w:tblGrid>
        <w:gridCol w:w="3841"/>
        <w:gridCol w:w="4357"/>
      </w:tblGrid>
      <w:tr w:rsidR="00E964DF" w:rsidRPr="00E964DF" w14:paraId="7C7D73A3"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2E6B6A94" w14:textId="77777777" w:rsidR="00E964DF" w:rsidRPr="000B7FC2" w:rsidRDefault="00E964DF" w:rsidP="00C31046">
            <w:pPr>
              <w:keepNext/>
              <w:rPr>
                <w:sz w:val="20"/>
              </w:rPr>
            </w:pPr>
            <w:r w:rsidRPr="000B7FC2">
              <w:rPr>
                <w:sz w:val="20"/>
              </w:rPr>
              <w:t>Focus on the development of the therapeutic alliance  with the patient</w:t>
            </w:r>
          </w:p>
        </w:tc>
        <w:tc>
          <w:tcPr>
            <w:tcW w:w="4788" w:type="dxa"/>
          </w:tcPr>
          <w:p w14:paraId="69E47586"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6686C8E5" wp14:editId="5BD5E2FD">
                  <wp:extent cx="1905000" cy="304800"/>
                  <wp:effectExtent l="0" t="0" r="0" b="0"/>
                  <wp:docPr id="9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FC76C4C"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73CA2BDF" w14:textId="77777777" w:rsidR="00E964DF" w:rsidRPr="000B7FC2" w:rsidRDefault="00E964DF" w:rsidP="00C31046">
            <w:pPr>
              <w:keepNext/>
              <w:rPr>
                <w:sz w:val="20"/>
              </w:rPr>
            </w:pPr>
            <w:r w:rsidRPr="000B7FC2">
              <w:rPr>
                <w:sz w:val="20"/>
              </w:rPr>
              <w:t>Focus on evidence-based therapeutic techniques</w:t>
            </w:r>
          </w:p>
        </w:tc>
        <w:tc>
          <w:tcPr>
            <w:tcW w:w="4788" w:type="dxa"/>
          </w:tcPr>
          <w:p w14:paraId="2E020D5D"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3771F008" wp14:editId="291240DE">
                  <wp:extent cx="1905000" cy="304800"/>
                  <wp:effectExtent l="0" t="0" r="0" b="0"/>
                  <wp:docPr id="9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62A6C4D"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40926C56" w14:textId="77777777" w:rsidR="00E964DF" w:rsidRPr="000B7FC2" w:rsidRDefault="00E964DF" w:rsidP="00C31046">
            <w:pPr>
              <w:keepNext/>
              <w:rPr>
                <w:sz w:val="20"/>
              </w:rPr>
            </w:pPr>
            <w:r w:rsidRPr="000B7FC2">
              <w:rPr>
                <w:sz w:val="20"/>
              </w:rPr>
              <w:t>Focus on other issues in supervision</w:t>
            </w:r>
          </w:p>
        </w:tc>
        <w:tc>
          <w:tcPr>
            <w:tcW w:w="4788" w:type="dxa"/>
          </w:tcPr>
          <w:p w14:paraId="4C52F915"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3C4F55F2" wp14:editId="4AA101D3">
                  <wp:extent cx="1905000" cy="304800"/>
                  <wp:effectExtent l="0" t="0" r="0" b="0"/>
                  <wp:docPr id="19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44899F5D" w14:textId="77777777" w:rsidR="00E964DF" w:rsidRPr="000B7FC2" w:rsidRDefault="00E964DF" w:rsidP="00E964DF">
      <w:pPr>
        <w:rPr>
          <w:sz w:val="20"/>
          <w:szCs w:val="20"/>
        </w:rPr>
      </w:pPr>
    </w:p>
    <w:p w14:paraId="6EB38102" w14:textId="77777777" w:rsidR="00E964DF" w:rsidRPr="000B7FC2" w:rsidRDefault="00E964DF" w:rsidP="00E964DF">
      <w:pPr>
        <w:keepNext/>
        <w:rPr>
          <w:sz w:val="20"/>
          <w:szCs w:val="20"/>
        </w:rPr>
      </w:pPr>
      <w:r w:rsidRPr="000B7FC2">
        <w:rPr>
          <w:sz w:val="20"/>
          <w:szCs w:val="20"/>
        </w:rPr>
        <w:t>To what extent would you focus on the following areas of the </w:t>
      </w:r>
      <w:r w:rsidRPr="000B7FC2">
        <w:rPr>
          <w:b/>
          <w:sz w:val="20"/>
          <w:szCs w:val="20"/>
        </w:rPr>
        <w:t>therapeutic relationship</w:t>
      </w:r>
      <w:r w:rsidRPr="000B7FC2">
        <w:rPr>
          <w:sz w:val="20"/>
          <w:szCs w:val="20"/>
        </w:rPr>
        <w:t>?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146EF84F" w14:textId="77777777" w:rsidTr="00C31046">
        <w:tc>
          <w:tcPr>
            <w:tcW w:w="4788" w:type="dxa"/>
          </w:tcPr>
          <w:p w14:paraId="77691BD7" w14:textId="77777777" w:rsidR="00E964DF" w:rsidRPr="000B7FC2" w:rsidRDefault="00E964DF" w:rsidP="00C31046">
            <w:pPr>
              <w:rPr>
                <w:sz w:val="20"/>
                <w:szCs w:val="20"/>
              </w:rPr>
            </w:pPr>
          </w:p>
        </w:tc>
        <w:tc>
          <w:tcPr>
            <w:tcW w:w="435" w:type="dxa"/>
          </w:tcPr>
          <w:p w14:paraId="165DF986" w14:textId="77777777" w:rsidR="00E964DF" w:rsidRPr="000B7FC2" w:rsidRDefault="00E964DF" w:rsidP="00C31046">
            <w:pPr>
              <w:rPr>
                <w:sz w:val="20"/>
                <w:szCs w:val="20"/>
              </w:rPr>
            </w:pPr>
            <w:r w:rsidRPr="000B7FC2">
              <w:rPr>
                <w:sz w:val="20"/>
                <w:szCs w:val="20"/>
              </w:rPr>
              <w:t>0</w:t>
            </w:r>
          </w:p>
        </w:tc>
        <w:tc>
          <w:tcPr>
            <w:tcW w:w="435" w:type="dxa"/>
          </w:tcPr>
          <w:p w14:paraId="2E3A4B3E" w14:textId="77777777" w:rsidR="00E964DF" w:rsidRPr="000B7FC2" w:rsidRDefault="00E964DF" w:rsidP="00C31046">
            <w:pPr>
              <w:rPr>
                <w:sz w:val="20"/>
                <w:szCs w:val="20"/>
              </w:rPr>
            </w:pPr>
            <w:r w:rsidRPr="000B7FC2">
              <w:rPr>
                <w:sz w:val="20"/>
                <w:szCs w:val="20"/>
              </w:rPr>
              <w:t>10</w:t>
            </w:r>
          </w:p>
        </w:tc>
        <w:tc>
          <w:tcPr>
            <w:tcW w:w="435" w:type="dxa"/>
          </w:tcPr>
          <w:p w14:paraId="0D6560E5" w14:textId="77777777" w:rsidR="00E964DF" w:rsidRPr="000B7FC2" w:rsidRDefault="00E964DF" w:rsidP="00C31046">
            <w:pPr>
              <w:rPr>
                <w:sz w:val="20"/>
                <w:szCs w:val="20"/>
              </w:rPr>
            </w:pPr>
            <w:r w:rsidRPr="000B7FC2">
              <w:rPr>
                <w:sz w:val="20"/>
                <w:szCs w:val="20"/>
              </w:rPr>
              <w:t>20</w:t>
            </w:r>
          </w:p>
        </w:tc>
        <w:tc>
          <w:tcPr>
            <w:tcW w:w="435" w:type="dxa"/>
          </w:tcPr>
          <w:p w14:paraId="0542DCBB" w14:textId="77777777" w:rsidR="00E964DF" w:rsidRPr="000B7FC2" w:rsidRDefault="00E964DF" w:rsidP="00C31046">
            <w:pPr>
              <w:rPr>
                <w:sz w:val="20"/>
                <w:szCs w:val="20"/>
              </w:rPr>
            </w:pPr>
            <w:r w:rsidRPr="000B7FC2">
              <w:rPr>
                <w:sz w:val="20"/>
                <w:szCs w:val="20"/>
              </w:rPr>
              <w:t>30</w:t>
            </w:r>
          </w:p>
        </w:tc>
        <w:tc>
          <w:tcPr>
            <w:tcW w:w="435" w:type="dxa"/>
          </w:tcPr>
          <w:p w14:paraId="711A9380" w14:textId="77777777" w:rsidR="00E964DF" w:rsidRPr="000B7FC2" w:rsidRDefault="00E964DF" w:rsidP="00C31046">
            <w:pPr>
              <w:rPr>
                <w:sz w:val="20"/>
                <w:szCs w:val="20"/>
              </w:rPr>
            </w:pPr>
            <w:r w:rsidRPr="000B7FC2">
              <w:rPr>
                <w:sz w:val="20"/>
                <w:szCs w:val="20"/>
              </w:rPr>
              <w:t>40</w:t>
            </w:r>
          </w:p>
        </w:tc>
        <w:tc>
          <w:tcPr>
            <w:tcW w:w="435" w:type="dxa"/>
          </w:tcPr>
          <w:p w14:paraId="23997DBA" w14:textId="77777777" w:rsidR="00E964DF" w:rsidRPr="000B7FC2" w:rsidRDefault="00E964DF" w:rsidP="00C31046">
            <w:pPr>
              <w:rPr>
                <w:sz w:val="20"/>
                <w:szCs w:val="20"/>
              </w:rPr>
            </w:pPr>
            <w:r w:rsidRPr="000B7FC2">
              <w:rPr>
                <w:sz w:val="20"/>
                <w:szCs w:val="20"/>
              </w:rPr>
              <w:t>50</w:t>
            </w:r>
          </w:p>
        </w:tc>
        <w:tc>
          <w:tcPr>
            <w:tcW w:w="435" w:type="dxa"/>
          </w:tcPr>
          <w:p w14:paraId="52791585" w14:textId="77777777" w:rsidR="00E964DF" w:rsidRPr="000B7FC2" w:rsidRDefault="00E964DF" w:rsidP="00C31046">
            <w:pPr>
              <w:rPr>
                <w:sz w:val="20"/>
                <w:szCs w:val="20"/>
              </w:rPr>
            </w:pPr>
            <w:r w:rsidRPr="000B7FC2">
              <w:rPr>
                <w:sz w:val="20"/>
                <w:szCs w:val="20"/>
              </w:rPr>
              <w:t>60</w:t>
            </w:r>
          </w:p>
        </w:tc>
        <w:tc>
          <w:tcPr>
            <w:tcW w:w="435" w:type="dxa"/>
          </w:tcPr>
          <w:p w14:paraId="0A3B7E10" w14:textId="77777777" w:rsidR="00E964DF" w:rsidRPr="000B7FC2" w:rsidRDefault="00E964DF" w:rsidP="00C31046">
            <w:pPr>
              <w:rPr>
                <w:sz w:val="20"/>
                <w:szCs w:val="20"/>
              </w:rPr>
            </w:pPr>
            <w:r w:rsidRPr="000B7FC2">
              <w:rPr>
                <w:sz w:val="20"/>
                <w:szCs w:val="20"/>
              </w:rPr>
              <w:t>70</w:t>
            </w:r>
          </w:p>
        </w:tc>
        <w:tc>
          <w:tcPr>
            <w:tcW w:w="435" w:type="dxa"/>
          </w:tcPr>
          <w:p w14:paraId="275FF11F" w14:textId="77777777" w:rsidR="00E964DF" w:rsidRPr="000B7FC2" w:rsidRDefault="00E964DF" w:rsidP="00C31046">
            <w:pPr>
              <w:rPr>
                <w:sz w:val="20"/>
                <w:szCs w:val="20"/>
              </w:rPr>
            </w:pPr>
            <w:r w:rsidRPr="000B7FC2">
              <w:rPr>
                <w:sz w:val="20"/>
                <w:szCs w:val="20"/>
              </w:rPr>
              <w:t>80</w:t>
            </w:r>
          </w:p>
        </w:tc>
        <w:tc>
          <w:tcPr>
            <w:tcW w:w="435" w:type="dxa"/>
          </w:tcPr>
          <w:p w14:paraId="26B20CC7" w14:textId="77777777" w:rsidR="00E964DF" w:rsidRPr="000B7FC2" w:rsidRDefault="00E964DF" w:rsidP="00C31046">
            <w:pPr>
              <w:rPr>
                <w:sz w:val="20"/>
                <w:szCs w:val="20"/>
              </w:rPr>
            </w:pPr>
            <w:r w:rsidRPr="000B7FC2">
              <w:rPr>
                <w:sz w:val="20"/>
                <w:szCs w:val="20"/>
              </w:rPr>
              <w:t>90</w:t>
            </w:r>
          </w:p>
        </w:tc>
        <w:tc>
          <w:tcPr>
            <w:tcW w:w="435" w:type="dxa"/>
          </w:tcPr>
          <w:p w14:paraId="17A0F1F5" w14:textId="77777777" w:rsidR="00E964DF" w:rsidRPr="000B7FC2" w:rsidRDefault="00E964DF" w:rsidP="00C31046">
            <w:pPr>
              <w:rPr>
                <w:sz w:val="20"/>
                <w:szCs w:val="20"/>
              </w:rPr>
            </w:pPr>
            <w:r w:rsidRPr="000B7FC2">
              <w:rPr>
                <w:sz w:val="20"/>
                <w:szCs w:val="20"/>
              </w:rPr>
              <w:t>100</w:t>
            </w:r>
          </w:p>
        </w:tc>
      </w:tr>
    </w:tbl>
    <w:p w14:paraId="003899F0" w14:textId="77777777" w:rsidR="00E964DF" w:rsidRPr="000B7FC2" w:rsidRDefault="00E964DF" w:rsidP="00E964DF">
      <w:pPr>
        <w:rPr>
          <w:sz w:val="20"/>
          <w:szCs w:val="20"/>
        </w:rPr>
      </w:pPr>
    </w:p>
    <w:tbl>
      <w:tblPr>
        <w:tblStyle w:val="QStandardSliderTable"/>
        <w:tblW w:w="9576" w:type="auto"/>
        <w:tblLook w:val="07E0" w:firstRow="1" w:lastRow="1" w:firstColumn="1" w:lastColumn="1" w:noHBand="1" w:noVBand="1"/>
      </w:tblPr>
      <w:tblGrid>
        <w:gridCol w:w="3833"/>
        <w:gridCol w:w="4365"/>
      </w:tblGrid>
      <w:tr w:rsidR="00E964DF" w:rsidRPr="00E964DF" w14:paraId="7248268A"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6763840" w14:textId="77777777" w:rsidR="00E964DF" w:rsidRPr="000B7FC2" w:rsidRDefault="00E964DF" w:rsidP="00C31046">
            <w:pPr>
              <w:keepNext/>
              <w:rPr>
                <w:sz w:val="20"/>
              </w:rPr>
            </w:pPr>
            <w:r w:rsidRPr="000B7FC2">
              <w:rPr>
                <w:sz w:val="20"/>
              </w:rPr>
              <w:t>Therapeutic bond (attachment between patient and clinician)</w:t>
            </w:r>
          </w:p>
        </w:tc>
        <w:tc>
          <w:tcPr>
            <w:tcW w:w="4788" w:type="dxa"/>
          </w:tcPr>
          <w:p w14:paraId="50589B3C"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1DCFDE7C" wp14:editId="4A9704ED">
                  <wp:extent cx="1905000" cy="304800"/>
                  <wp:effectExtent l="0" t="0" r="0" b="0"/>
                  <wp:docPr id="19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3964ABE"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54FB7511" w14:textId="77777777" w:rsidR="00E964DF" w:rsidRPr="000B7FC2" w:rsidRDefault="00E964DF" w:rsidP="00C31046">
            <w:pPr>
              <w:keepNext/>
              <w:rPr>
                <w:sz w:val="20"/>
              </w:rPr>
            </w:pPr>
            <w:r w:rsidRPr="000B7FC2">
              <w:rPr>
                <w:sz w:val="20"/>
              </w:rPr>
              <w:t>Agreement on the goals of therapy</w:t>
            </w:r>
          </w:p>
        </w:tc>
        <w:tc>
          <w:tcPr>
            <w:tcW w:w="4788" w:type="dxa"/>
          </w:tcPr>
          <w:p w14:paraId="4DC6ED9C"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1EA4D5AF" wp14:editId="34A66F65">
                  <wp:extent cx="1905000" cy="304800"/>
                  <wp:effectExtent l="0" t="0" r="0" b="0"/>
                  <wp:docPr id="19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0738D70"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7BE4965" w14:textId="77777777" w:rsidR="00E964DF" w:rsidRPr="000B7FC2" w:rsidRDefault="00E964DF" w:rsidP="00C31046">
            <w:pPr>
              <w:keepNext/>
              <w:rPr>
                <w:sz w:val="20"/>
              </w:rPr>
            </w:pPr>
            <w:r w:rsidRPr="000B7FC2">
              <w:rPr>
                <w:sz w:val="20"/>
              </w:rPr>
              <w:t>Agreement on the tasks of therapy</w:t>
            </w:r>
          </w:p>
        </w:tc>
        <w:tc>
          <w:tcPr>
            <w:tcW w:w="4788" w:type="dxa"/>
          </w:tcPr>
          <w:p w14:paraId="7A127085"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700C40D8" wp14:editId="21207F6E">
                  <wp:extent cx="1905000" cy="304800"/>
                  <wp:effectExtent l="0" t="0" r="0" b="0"/>
                  <wp:docPr id="19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5C05C38C" w14:textId="77777777" w:rsidR="00E964DF" w:rsidRPr="000B7FC2" w:rsidRDefault="00E964DF" w:rsidP="00E964DF">
      <w:pPr>
        <w:rPr>
          <w:sz w:val="20"/>
          <w:szCs w:val="20"/>
        </w:rPr>
      </w:pPr>
    </w:p>
    <w:p w14:paraId="7E3537DB" w14:textId="77777777" w:rsidR="00E964DF" w:rsidRPr="000B7FC2" w:rsidRDefault="00E964DF" w:rsidP="00E964DF">
      <w:pPr>
        <w:keepNext/>
        <w:rPr>
          <w:sz w:val="20"/>
          <w:szCs w:val="20"/>
        </w:rPr>
      </w:pPr>
      <w:r w:rsidRPr="000B7FC2">
        <w:rPr>
          <w:sz w:val="20"/>
          <w:szCs w:val="20"/>
        </w:rPr>
        <w:lastRenderedPageBreak/>
        <w:t xml:space="preserve">Of the </w:t>
      </w:r>
      <w:r w:rsidRPr="000B7FC2">
        <w:rPr>
          <w:b/>
          <w:sz w:val="20"/>
          <w:szCs w:val="20"/>
        </w:rPr>
        <w:t xml:space="preserve">evidence-based therapeutic techniques </w:t>
      </w:r>
      <w:r w:rsidRPr="000B7FC2">
        <w:rPr>
          <w:sz w:val="20"/>
          <w:szCs w:val="20"/>
        </w:rPr>
        <w:t>available, how much would you focus on each of the following?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4C08B73C" w14:textId="77777777" w:rsidTr="00C31046">
        <w:tc>
          <w:tcPr>
            <w:tcW w:w="4788" w:type="dxa"/>
          </w:tcPr>
          <w:p w14:paraId="5AACBC5A" w14:textId="77777777" w:rsidR="00E964DF" w:rsidRPr="000B7FC2" w:rsidRDefault="00E964DF" w:rsidP="00C31046">
            <w:pPr>
              <w:rPr>
                <w:sz w:val="20"/>
                <w:szCs w:val="20"/>
              </w:rPr>
            </w:pPr>
          </w:p>
        </w:tc>
        <w:tc>
          <w:tcPr>
            <w:tcW w:w="435" w:type="dxa"/>
          </w:tcPr>
          <w:p w14:paraId="2FC2A2D6" w14:textId="77777777" w:rsidR="00E964DF" w:rsidRPr="000B7FC2" w:rsidRDefault="00E964DF" w:rsidP="00C31046">
            <w:pPr>
              <w:rPr>
                <w:sz w:val="20"/>
                <w:szCs w:val="20"/>
              </w:rPr>
            </w:pPr>
            <w:r w:rsidRPr="000B7FC2">
              <w:rPr>
                <w:sz w:val="20"/>
                <w:szCs w:val="20"/>
              </w:rPr>
              <w:t>0</w:t>
            </w:r>
          </w:p>
        </w:tc>
        <w:tc>
          <w:tcPr>
            <w:tcW w:w="435" w:type="dxa"/>
          </w:tcPr>
          <w:p w14:paraId="58EDB2EC" w14:textId="77777777" w:rsidR="00E964DF" w:rsidRPr="000B7FC2" w:rsidRDefault="00E964DF" w:rsidP="00C31046">
            <w:pPr>
              <w:rPr>
                <w:sz w:val="20"/>
                <w:szCs w:val="20"/>
              </w:rPr>
            </w:pPr>
            <w:r w:rsidRPr="000B7FC2">
              <w:rPr>
                <w:sz w:val="20"/>
                <w:szCs w:val="20"/>
              </w:rPr>
              <w:t>10</w:t>
            </w:r>
          </w:p>
        </w:tc>
        <w:tc>
          <w:tcPr>
            <w:tcW w:w="435" w:type="dxa"/>
          </w:tcPr>
          <w:p w14:paraId="31F5F701" w14:textId="77777777" w:rsidR="00E964DF" w:rsidRPr="000B7FC2" w:rsidRDefault="00E964DF" w:rsidP="00C31046">
            <w:pPr>
              <w:rPr>
                <w:sz w:val="20"/>
                <w:szCs w:val="20"/>
              </w:rPr>
            </w:pPr>
            <w:r w:rsidRPr="000B7FC2">
              <w:rPr>
                <w:sz w:val="20"/>
                <w:szCs w:val="20"/>
              </w:rPr>
              <w:t>20</w:t>
            </w:r>
          </w:p>
        </w:tc>
        <w:tc>
          <w:tcPr>
            <w:tcW w:w="435" w:type="dxa"/>
          </w:tcPr>
          <w:p w14:paraId="4411B116" w14:textId="77777777" w:rsidR="00E964DF" w:rsidRPr="000B7FC2" w:rsidRDefault="00E964DF" w:rsidP="00C31046">
            <w:pPr>
              <w:rPr>
                <w:sz w:val="20"/>
                <w:szCs w:val="20"/>
              </w:rPr>
            </w:pPr>
            <w:r w:rsidRPr="000B7FC2">
              <w:rPr>
                <w:sz w:val="20"/>
                <w:szCs w:val="20"/>
              </w:rPr>
              <w:t>30</w:t>
            </w:r>
          </w:p>
        </w:tc>
        <w:tc>
          <w:tcPr>
            <w:tcW w:w="435" w:type="dxa"/>
          </w:tcPr>
          <w:p w14:paraId="75C37D05" w14:textId="77777777" w:rsidR="00E964DF" w:rsidRPr="000B7FC2" w:rsidRDefault="00E964DF" w:rsidP="00C31046">
            <w:pPr>
              <w:rPr>
                <w:sz w:val="20"/>
                <w:szCs w:val="20"/>
              </w:rPr>
            </w:pPr>
            <w:r w:rsidRPr="000B7FC2">
              <w:rPr>
                <w:sz w:val="20"/>
                <w:szCs w:val="20"/>
              </w:rPr>
              <w:t>40</w:t>
            </w:r>
          </w:p>
        </w:tc>
        <w:tc>
          <w:tcPr>
            <w:tcW w:w="435" w:type="dxa"/>
          </w:tcPr>
          <w:p w14:paraId="67A01576" w14:textId="77777777" w:rsidR="00E964DF" w:rsidRPr="000B7FC2" w:rsidRDefault="00E964DF" w:rsidP="00C31046">
            <w:pPr>
              <w:rPr>
                <w:sz w:val="20"/>
                <w:szCs w:val="20"/>
              </w:rPr>
            </w:pPr>
            <w:r w:rsidRPr="000B7FC2">
              <w:rPr>
                <w:sz w:val="20"/>
                <w:szCs w:val="20"/>
              </w:rPr>
              <w:t>50</w:t>
            </w:r>
          </w:p>
        </w:tc>
        <w:tc>
          <w:tcPr>
            <w:tcW w:w="435" w:type="dxa"/>
          </w:tcPr>
          <w:p w14:paraId="03643865" w14:textId="77777777" w:rsidR="00E964DF" w:rsidRPr="000B7FC2" w:rsidRDefault="00E964DF" w:rsidP="00C31046">
            <w:pPr>
              <w:rPr>
                <w:sz w:val="20"/>
                <w:szCs w:val="20"/>
              </w:rPr>
            </w:pPr>
            <w:r w:rsidRPr="000B7FC2">
              <w:rPr>
                <w:sz w:val="20"/>
                <w:szCs w:val="20"/>
              </w:rPr>
              <w:t>60</w:t>
            </w:r>
          </w:p>
        </w:tc>
        <w:tc>
          <w:tcPr>
            <w:tcW w:w="435" w:type="dxa"/>
          </w:tcPr>
          <w:p w14:paraId="36D43D14" w14:textId="77777777" w:rsidR="00E964DF" w:rsidRPr="000B7FC2" w:rsidRDefault="00E964DF" w:rsidP="00C31046">
            <w:pPr>
              <w:rPr>
                <w:sz w:val="20"/>
                <w:szCs w:val="20"/>
              </w:rPr>
            </w:pPr>
            <w:r w:rsidRPr="000B7FC2">
              <w:rPr>
                <w:sz w:val="20"/>
                <w:szCs w:val="20"/>
              </w:rPr>
              <w:t>70</w:t>
            </w:r>
          </w:p>
        </w:tc>
        <w:tc>
          <w:tcPr>
            <w:tcW w:w="435" w:type="dxa"/>
          </w:tcPr>
          <w:p w14:paraId="0737FF90" w14:textId="77777777" w:rsidR="00E964DF" w:rsidRPr="000B7FC2" w:rsidRDefault="00E964DF" w:rsidP="00C31046">
            <w:pPr>
              <w:rPr>
                <w:sz w:val="20"/>
                <w:szCs w:val="20"/>
              </w:rPr>
            </w:pPr>
            <w:r w:rsidRPr="000B7FC2">
              <w:rPr>
                <w:sz w:val="20"/>
                <w:szCs w:val="20"/>
              </w:rPr>
              <w:t>80</w:t>
            </w:r>
          </w:p>
        </w:tc>
        <w:tc>
          <w:tcPr>
            <w:tcW w:w="435" w:type="dxa"/>
          </w:tcPr>
          <w:p w14:paraId="0A53DBE2" w14:textId="77777777" w:rsidR="00E964DF" w:rsidRPr="000B7FC2" w:rsidRDefault="00E964DF" w:rsidP="00C31046">
            <w:pPr>
              <w:rPr>
                <w:sz w:val="20"/>
                <w:szCs w:val="20"/>
              </w:rPr>
            </w:pPr>
            <w:r w:rsidRPr="000B7FC2">
              <w:rPr>
                <w:sz w:val="20"/>
                <w:szCs w:val="20"/>
              </w:rPr>
              <w:t>90</w:t>
            </w:r>
          </w:p>
        </w:tc>
        <w:tc>
          <w:tcPr>
            <w:tcW w:w="435" w:type="dxa"/>
          </w:tcPr>
          <w:p w14:paraId="4E2712CA" w14:textId="77777777" w:rsidR="00E964DF" w:rsidRPr="000B7FC2" w:rsidRDefault="00E964DF" w:rsidP="00C31046">
            <w:pPr>
              <w:rPr>
                <w:sz w:val="20"/>
                <w:szCs w:val="20"/>
              </w:rPr>
            </w:pPr>
            <w:r w:rsidRPr="000B7FC2">
              <w:rPr>
                <w:sz w:val="20"/>
                <w:szCs w:val="20"/>
              </w:rPr>
              <w:t>100</w:t>
            </w:r>
          </w:p>
        </w:tc>
      </w:tr>
    </w:tbl>
    <w:tbl>
      <w:tblPr>
        <w:tblStyle w:val="QStandardSliderTable"/>
        <w:tblW w:w="0" w:type="auto"/>
        <w:tblLook w:val="07E0" w:firstRow="1" w:lastRow="1" w:firstColumn="1" w:lastColumn="1" w:noHBand="1" w:noVBand="1"/>
      </w:tblPr>
      <w:tblGrid>
        <w:gridCol w:w="3860"/>
        <w:gridCol w:w="4338"/>
      </w:tblGrid>
      <w:tr w:rsidR="00E964DF" w:rsidRPr="00E964DF" w14:paraId="2299B73D"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5986D92E" w14:textId="40EA4911" w:rsidR="00E964DF" w:rsidRPr="000B7FC2" w:rsidRDefault="00E964DF" w:rsidP="00C31046">
            <w:pPr>
              <w:keepNext/>
              <w:rPr>
                <w:sz w:val="20"/>
              </w:rPr>
            </w:pPr>
            <w:r w:rsidRPr="000B7FC2">
              <w:rPr>
                <w:sz w:val="20"/>
              </w:rPr>
              <w:lastRenderedPageBreak/>
              <w:t>eviewing depression levels</w:t>
            </w:r>
          </w:p>
        </w:tc>
        <w:tc>
          <w:tcPr>
            <w:tcW w:w="4338" w:type="dxa"/>
          </w:tcPr>
          <w:p w14:paraId="2546A7A2"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76C5543B" wp14:editId="0B3D6142">
                  <wp:extent cx="1905000" cy="304800"/>
                  <wp:effectExtent l="0" t="0" r="0" b="0"/>
                  <wp:docPr id="19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4D1F6B3"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7E175A46" w14:textId="77777777" w:rsidR="00E964DF" w:rsidRPr="000B7FC2" w:rsidRDefault="00E964DF" w:rsidP="00C31046">
            <w:pPr>
              <w:keepNext/>
              <w:rPr>
                <w:sz w:val="20"/>
              </w:rPr>
            </w:pPr>
            <w:r w:rsidRPr="000B7FC2">
              <w:rPr>
                <w:sz w:val="20"/>
              </w:rPr>
              <w:t>Education into the CBT model</w:t>
            </w:r>
          </w:p>
        </w:tc>
        <w:tc>
          <w:tcPr>
            <w:tcW w:w="4338" w:type="dxa"/>
          </w:tcPr>
          <w:p w14:paraId="60EF3BB2"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4CC8E456" wp14:editId="51EC9C65">
                  <wp:extent cx="1905000" cy="304800"/>
                  <wp:effectExtent l="0" t="0" r="0" b="0"/>
                  <wp:docPr id="19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02BD25E"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15F22578" w14:textId="77777777" w:rsidR="00E964DF" w:rsidRPr="000B7FC2" w:rsidRDefault="00E964DF" w:rsidP="00C31046">
            <w:pPr>
              <w:keepNext/>
              <w:rPr>
                <w:sz w:val="20"/>
              </w:rPr>
            </w:pPr>
            <w:r w:rsidRPr="000B7FC2">
              <w:rPr>
                <w:sz w:val="20"/>
              </w:rPr>
              <w:t>Agenda setting</w:t>
            </w:r>
          </w:p>
        </w:tc>
        <w:tc>
          <w:tcPr>
            <w:tcW w:w="4338" w:type="dxa"/>
          </w:tcPr>
          <w:p w14:paraId="05942A6A"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7D38B0C5" wp14:editId="02E26CDB">
                  <wp:extent cx="1905000" cy="304800"/>
                  <wp:effectExtent l="0" t="0" r="0" b="0"/>
                  <wp:docPr id="19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51DD451"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4C3219EB" w14:textId="77777777" w:rsidR="00E964DF" w:rsidRPr="000B7FC2" w:rsidRDefault="00E964DF" w:rsidP="00C31046">
            <w:pPr>
              <w:keepNext/>
              <w:rPr>
                <w:sz w:val="20"/>
              </w:rPr>
            </w:pPr>
            <w:r w:rsidRPr="000B7FC2">
              <w:rPr>
                <w:sz w:val="20"/>
              </w:rPr>
              <w:t>Socratic questioning</w:t>
            </w:r>
          </w:p>
        </w:tc>
        <w:tc>
          <w:tcPr>
            <w:tcW w:w="4338" w:type="dxa"/>
          </w:tcPr>
          <w:p w14:paraId="391927EF" w14:textId="77777777" w:rsidR="00E964DF" w:rsidRPr="000B7FC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4376C7A1" wp14:editId="3ED53C90">
                  <wp:extent cx="1905000" cy="304800"/>
                  <wp:effectExtent l="0" t="0" r="0" b="0"/>
                  <wp:docPr id="19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66F9445"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3466EEC2" w14:textId="77777777" w:rsidR="00E964DF" w:rsidRPr="000B7FC2" w:rsidRDefault="00E964DF" w:rsidP="00C31046">
            <w:pPr>
              <w:keepNext/>
              <w:rPr>
                <w:sz w:val="20"/>
              </w:rPr>
            </w:pPr>
            <w:r w:rsidRPr="000B7FC2">
              <w:rPr>
                <w:sz w:val="20"/>
              </w:rPr>
              <w:t>Linking cognitions, emotions and behaviour</w:t>
            </w:r>
          </w:p>
        </w:tc>
        <w:tc>
          <w:tcPr>
            <w:tcW w:w="4338" w:type="dxa"/>
          </w:tcPr>
          <w:p w14:paraId="6BE25F51"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0B7FC2">
              <w:rPr>
                <w:noProof/>
                <w:sz w:val="20"/>
              </w:rPr>
              <w:drawing>
                <wp:inline distT="0" distB="0" distL="0" distR="0" wp14:anchorId="15813F53" wp14:editId="1A6712EB">
                  <wp:extent cx="1905000" cy="304800"/>
                  <wp:effectExtent l="0" t="0" r="0" b="0"/>
                  <wp:docPr id="20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7C056DA"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6197FFFE" w14:textId="77777777" w:rsidR="00E964DF" w:rsidRPr="00987943" w:rsidRDefault="00E964DF" w:rsidP="00C31046">
            <w:pPr>
              <w:keepNext/>
              <w:rPr>
                <w:sz w:val="20"/>
              </w:rPr>
            </w:pPr>
            <w:r w:rsidRPr="00987943">
              <w:rPr>
                <w:sz w:val="20"/>
              </w:rPr>
              <w:t>Detection and recording of negative automatic thoughts</w:t>
            </w:r>
          </w:p>
        </w:tc>
        <w:tc>
          <w:tcPr>
            <w:tcW w:w="4338" w:type="dxa"/>
          </w:tcPr>
          <w:p w14:paraId="1F44A6D1"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7F4D8AF2" wp14:editId="5CD8745A">
                  <wp:extent cx="1905000" cy="304800"/>
                  <wp:effectExtent l="0" t="0" r="0" b="0"/>
                  <wp:docPr id="20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7B2BDF1"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18D0A225" w14:textId="77777777" w:rsidR="00E964DF" w:rsidRPr="00987943" w:rsidRDefault="00E964DF" w:rsidP="00C31046">
            <w:pPr>
              <w:keepNext/>
              <w:rPr>
                <w:sz w:val="20"/>
              </w:rPr>
            </w:pPr>
            <w:r w:rsidRPr="00987943">
              <w:rPr>
                <w:sz w:val="20"/>
              </w:rPr>
              <w:t>Clarify dysfunctional assumptions</w:t>
            </w:r>
          </w:p>
        </w:tc>
        <w:tc>
          <w:tcPr>
            <w:tcW w:w="4338" w:type="dxa"/>
          </w:tcPr>
          <w:p w14:paraId="16E91AB8"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76F48612" wp14:editId="1DC85787">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79C6468"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6F2D89C2" w14:textId="77777777" w:rsidR="00E964DF" w:rsidRPr="00987943" w:rsidRDefault="00E964DF" w:rsidP="00C31046">
            <w:pPr>
              <w:keepNext/>
              <w:rPr>
                <w:sz w:val="20"/>
              </w:rPr>
            </w:pPr>
            <w:r w:rsidRPr="00987943">
              <w:rPr>
                <w:sz w:val="20"/>
              </w:rPr>
              <w:t>Develop alternative hypotheses about cognitive distortions</w:t>
            </w:r>
          </w:p>
        </w:tc>
        <w:tc>
          <w:tcPr>
            <w:tcW w:w="4338" w:type="dxa"/>
          </w:tcPr>
          <w:p w14:paraId="410AD50E"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29D29A9B" wp14:editId="0F81E781">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BB7F3D6"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25C4E052" w14:textId="77777777" w:rsidR="00E964DF" w:rsidRPr="00987943" w:rsidRDefault="00E964DF" w:rsidP="00C31046">
            <w:pPr>
              <w:keepNext/>
              <w:rPr>
                <w:sz w:val="20"/>
              </w:rPr>
            </w:pPr>
            <w:r w:rsidRPr="00987943">
              <w:rPr>
                <w:sz w:val="20"/>
              </w:rPr>
              <w:t>Behavioural activation</w:t>
            </w:r>
          </w:p>
        </w:tc>
        <w:tc>
          <w:tcPr>
            <w:tcW w:w="4338" w:type="dxa"/>
          </w:tcPr>
          <w:p w14:paraId="0CDE6AE8"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059B0660" wp14:editId="2750416E">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A3DEC84"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6B12435D" w14:textId="77777777" w:rsidR="00E964DF" w:rsidRPr="00987943" w:rsidRDefault="00E964DF" w:rsidP="00C31046">
            <w:pPr>
              <w:keepNext/>
              <w:rPr>
                <w:sz w:val="20"/>
              </w:rPr>
            </w:pPr>
            <w:r w:rsidRPr="00987943">
              <w:rPr>
                <w:sz w:val="20"/>
              </w:rPr>
              <w:t>Mindfulness</w:t>
            </w:r>
          </w:p>
        </w:tc>
        <w:tc>
          <w:tcPr>
            <w:tcW w:w="4338" w:type="dxa"/>
          </w:tcPr>
          <w:p w14:paraId="36AF32D5"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4CEAE769" wp14:editId="6ABC87CD">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0B92022"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34A78DAC" w14:textId="77777777" w:rsidR="00E964DF" w:rsidRPr="00987943" w:rsidRDefault="00E964DF" w:rsidP="00C31046">
            <w:pPr>
              <w:keepNext/>
              <w:rPr>
                <w:sz w:val="20"/>
              </w:rPr>
            </w:pPr>
            <w:r w:rsidRPr="00987943">
              <w:rPr>
                <w:sz w:val="20"/>
              </w:rPr>
              <w:t>Eye Movement Desensitisation and Reprocessing (EMDR)</w:t>
            </w:r>
          </w:p>
        </w:tc>
        <w:tc>
          <w:tcPr>
            <w:tcW w:w="4338" w:type="dxa"/>
          </w:tcPr>
          <w:p w14:paraId="1AF2D3EE"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5DB2A973" wp14:editId="2A1B82C9">
                  <wp:extent cx="1905000" cy="304800"/>
                  <wp:effectExtent l="0" t="0" r="0" b="0"/>
                  <wp:docPr id="20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4AE6DC4"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0912ADEB" w14:textId="77777777" w:rsidR="00E964DF" w:rsidRPr="00987943" w:rsidRDefault="00E964DF" w:rsidP="00C31046">
            <w:pPr>
              <w:keepNext/>
              <w:rPr>
                <w:sz w:val="20"/>
              </w:rPr>
            </w:pPr>
            <w:r w:rsidRPr="00987943">
              <w:rPr>
                <w:sz w:val="20"/>
              </w:rPr>
              <w:t>Response to feedback from patient</w:t>
            </w:r>
          </w:p>
        </w:tc>
        <w:tc>
          <w:tcPr>
            <w:tcW w:w="4338" w:type="dxa"/>
          </w:tcPr>
          <w:p w14:paraId="2CA6C3B3"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7C7522F8" wp14:editId="34CB8F03">
                  <wp:extent cx="1905000" cy="304800"/>
                  <wp:effectExtent l="0" t="0" r="0" b="0"/>
                  <wp:docPr id="20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FA4D31F"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02B5B37A" w14:textId="77777777" w:rsidR="00E964DF" w:rsidRPr="00987943" w:rsidRDefault="00E964DF" w:rsidP="00C31046">
            <w:pPr>
              <w:keepNext/>
              <w:rPr>
                <w:sz w:val="20"/>
              </w:rPr>
            </w:pPr>
            <w:r w:rsidRPr="00987943">
              <w:rPr>
                <w:sz w:val="20"/>
              </w:rPr>
              <w:t>Discussion of thought records</w:t>
            </w:r>
          </w:p>
        </w:tc>
        <w:tc>
          <w:tcPr>
            <w:tcW w:w="4338" w:type="dxa"/>
          </w:tcPr>
          <w:p w14:paraId="0FB2F670"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003A36F1" wp14:editId="545A6EA7">
                  <wp:extent cx="1905000" cy="304800"/>
                  <wp:effectExtent l="0" t="0" r="0" b="0"/>
                  <wp:docPr id="20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FDFD7CB"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51443217" w14:textId="77777777" w:rsidR="00E964DF" w:rsidRPr="00987943" w:rsidRDefault="00E964DF" w:rsidP="00C31046">
            <w:pPr>
              <w:keepNext/>
              <w:rPr>
                <w:sz w:val="20"/>
              </w:rPr>
            </w:pPr>
            <w:r w:rsidRPr="00987943">
              <w:rPr>
                <w:sz w:val="20"/>
              </w:rPr>
              <w:t>Review other homework tasks</w:t>
            </w:r>
          </w:p>
        </w:tc>
        <w:tc>
          <w:tcPr>
            <w:tcW w:w="4338" w:type="dxa"/>
          </w:tcPr>
          <w:p w14:paraId="4042706D"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2C53D1DD" wp14:editId="26A6E14E">
                  <wp:extent cx="1905000" cy="304800"/>
                  <wp:effectExtent l="0" t="0" r="0" b="0"/>
                  <wp:docPr id="20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504241B"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59666A8D" w14:textId="77777777" w:rsidR="00E964DF" w:rsidRPr="00987943" w:rsidRDefault="00E964DF" w:rsidP="00C31046">
            <w:pPr>
              <w:keepNext/>
              <w:rPr>
                <w:sz w:val="20"/>
              </w:rPr>
            </w:pPr>
            <w:r w:rsidRPr="00987943">
              <w:rPr>
                <w:sz w:val="20"/>
              </w:rPr>
              <w:t>Testing alternative hypotheses via behavioural experiments</w:t>
            </w:r>
          </w:p>
        </w:tc>
        <w:tc>
          <w:tcPr>
            <w:tcW w:w="4338" w:type="dxa"/>
          </w:tcPr>
          <w:p w14:paraId="49127AF7"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6B1E34E4" wp14:editId="00DFFA94">
                  <wp:extent cx="1905000" cy="304800"/>
                  <wp:effectExtent l="0" t="0" r="0" b="0"/>
                  <wp:docPr id="20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9264A6E"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6AE9F97F" w14:textId="77777777" w:rsidR="00E964DF" w:rsidRPr="00987943" w:rsidRDefault="00E964DF" w:rsidP="00C31046">
            <w:pPr>
              <w:keepNext/>
              <w:rPr>
                <w:sz w:val="20"/>
              </w:rPr>
            </w:pPr>
            <w:r w:rsidRPr="00987943">
              <w:rPr>
                <w:sz w:val="20"/>
              </w:rPr>
              <w:t>Cognitive rehearsal</w:t>
            </w:r>
          </w:p>
        </w:tc>
        <w:tc>
          <w:tcPr>
            <w:tcW w:w="4338" w:type="dxa"/>
          </w:tcPr>
          <w:p w14:paraId="2D15673D" w14:textId="77777777" w:rsidR="00E964DF" w:rsidRPr="00987943"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987943">
              <w:rPr>
                <w:noProof/>
                <w:sz w:val="20"/>
              </w:rPr>
              <w:drawing>
                <wp:inline distT="0" distB="0" distL="0" distR="0" wp14:anchorId="2B9CBB09" wp14:editId="36C015BF">
                  <wp:extent cx="1905000" cy="304800"/>
                  <wp:effectExtent l="0" t="0" r="0" b="0"/>
                  <wp:docPr id="2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F5575DE"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3D022B70" w14:textId="77777777" w:rsidR="00E964DF" w:rsidRPr="002C75D2" w:rsidRDefault="00E964DF" w:rsidP="00C31046">
            <w:pPr>
              <w:keepNext/>
              <w:rPr>
                <w:sz w:val="20"/>
              </w:rPr>
            </w:pPr>
            <w:r w:rsidRPr="002C75D2">
              <w:rPr>
                <w:sz w:val="20"/>
              </w:rPr>
              <w:lastRenderedPageBreak/>
              <w:t>Assertiveness training</w:t>
            </w:r>
          </w:p>
        </w:tc>
        <w:tc>
          <w:tcPr>
            <w:tcW w:w="4338" w:type="dxa"/>
          </w:tcPr>
          <w:p w14:paraId="17493A7C"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20F1EB0" wp14:editId="1918FD16">
                  <wp:extent cx="1905000" cy="304800"/>
                  <wp:effectExtent l="0" t="0" r="0" b="0"/>
                  <wp:docPr id="2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9D3EA19"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3C97C926" w14:textId="77777777" w:rsidR="00E964DF" w:rsidRPr="002C75D2" w:rsidRDefault="00E964DF" w:rsidP="00C31046">
            <w:pPr>
              <w:keepNext/>
              <w:rPr>
                <w:sz w:val="20"/>
              </w:rPr>
            </w:pPr>
            <w:r w:rsidRPr="002C75D2">
              <w:rPr>
                <w:sz w:val="20"/>
              </w:rPr>
              <w:t>Use of reattribution</w:t>
            </w:r>
          </w:p>
        </w:tc>
        <w:tc>
          <w:tcPr>
            <w:tcW w:w="4338" w:type="dxa"/>
          </w:tcPr>
          <w:p w14:paraId="260C8841"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EB202D8" wp14:editId="3E23FEBF">
                  <wp:extent cx="1905000" cy="304800"/>
                  <wp:effectExtent l="0" t="0" r="0" b="0"/>
                  <wp:docPr id="25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78A8F14"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61C89BAB" w14:textId="77777777" w:rsidR="00E964DF" w:rsidRPr="002C75D2" w:rsidRDefault="00E964DF" w:rsidP="00C31046">
            <w:pPr>
              <w:keepNext/>
              <w:rPr>
                <w:sz w:val="20"/>
              </w:rPr>
            </w:pPr>
            <w:r w:rsidRPr="002C75D2">
              <w:rPr>
                <w:sz w:val="20"/>
              </w:rPr>
              <w:t>Relapse prevention techniques</w:t>
            </w:r>
          </w:p>
        </w:tc>
        <w:tc>
          <w:tcPr>
            <w:tcW w:w="4338" w:type="dxa"/>
          </w:tcPr>
          <w:p w14:paraId="6808E01C"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5F0BCFB" wp14:editId="7F8EA99E">
                  <wp:extent cx="1905000" cy="304800"/>
                  <wp:effectExtent l="0" t="0" r="0" b="0"/>
                  <wp:docPr id="2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23F4E8E" w14:textId="77777777" w:rsidTr="000B7FC2">
        <w:tc>
          <w:tcPr>
            <w:cnfStyle w:val="001000000000" w:firstRow="0" w:lastRow="0" w:firstColumn="1" w:lastColumn="0" w:oddVBand="0" w:evenVBand="0" w:oddHBand="0" w:evenHBand="0" w:firstRowFirstColumn="0" w:firstRowLastColumn="0" w:lastRowFirstColumn="0" w:lastRowLastColumn="0"/>
            <w:tcW w:w="3860" w:type="dxa"/>
          </w:tcPr>
          <w:p w14:paraId="599FC43C" w14:textId="77777777" w:rsidR="00E964DF" w:rsidRPr="002C75D2" w:rsidRDefault="00E964DF" w:rsidP="00C31046">
            <w:pPr>
              <w:keepNext/>
              <w:rPr>
                <w:sz w:val="20"/>
              </w:rPr>
            </w:pPr>
            <w:r w:rsidRPr="002C75D2">
              <w:rPr>
                <w:sz w:val="20"/>
              </w:rPr>
              <w:t>Other (please indicate)</w:t>
            </w:r>
          </w:p>
        </w:tc>
        <w:tc>
          <w:tcPr>
            <w:tcW w:w="4338" w:type="dxa"/>
          </w:tcPr>
          <w:p w14:paraId="6138270F"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F0E1AB2" wp14:editId="7B22E1B9">
                  <wp:extent cx="1905000" cy="304800"/>
                  <wp:effectExtent l="0" t="0" r="0" b="0"/>
                  <wp:docPr id="25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77D077FE" w14:textId="77777777" w:rsidR="00E964DF" w:rsidRPr="002C75D2" w:rsidRDefault="00E964DF" w:rsidP="00E964DF">
      <w:pPr>
        <w:rPr>
          <w:sz w:val="20"/>
          <w:szCs w:val="20"/>
        </w:rPr>
      </w:pPr>
    </w:p>
    <w:p w14:paraId="13984CD4" w14:textId="77777777" w:rsidR="00E964DF" w:rsidRPr="002C75D2" w:rsidRDefault="00E964DF" w:rsidP="00E964DF">
      <w:pPr>
        <w:keepNext/>
        <w:rPr>
          <w:sz w:val="20"/>
          <w:szCs w:val="20"/>
        </w:rPr>
      </w:pPr>
      <w:r w:rsidRPr="002C75D2">
        <w:rPr>
          <w:sz w:val="20"/>
          <w:szCs w:val="20"/>
        </w:rPr>
        <w:t xml:space="preserve">To what extent would you focus on these </w:t>
      </w:r>
      <w:r w:rsidRPr="002C75D2">
        <w:rPr>
          <w:b/>
          <w:sz w:val="20"/>
          <w:szCs w:val="20"/>
        </w:rPr>
        <w:t xml:space="preserve">other issues </w:t>
      </w:r>
      <w:r w:rsidRPr="002C75D2">
        <w:rPr>
          <w:sz w:val="20"/>
          <w:szCs w:val="20"/>
        </w:rPr>
        <w:t>in supervision?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059BAB89" w14:textId="77777777" w:rsidTr="00C31046">
        <w:tc>
          <w:tcPr>
            <w:tcW w:w="4788" w:type="dxa"/>
          </w:tcPr>
          <w:p w14:paraId="54C816BD" w14:textId="77777777" w:rsidR="00E964DF" w:rsidRPr="002C75D2" w:rsidRDefault="00E964DF" w:rsidP="00C31046">
            <w:pPr>
              <w:rPr>
                <w:sz w:val="20"/>
                <w:szCs w:val="20"/>
              </w:rPr>
            </w:pPr>
          </w:p>
        </w:tc>
        <w:tc>
          <w:tcPr>
            <w:tcW w:w="435" w:type="dxa"/>
          </w:tcPr>
          <w:p w14:paraId="1B1D3391" w14:textId="77777777" w:rsidR="00E964DF" w:rsidRPr="002C75D2" w:rsidRDefault="00E964DF" w:rsidP="00C31046">
            <w:pPr>
              <w:rPr>
                <w:sz w:val="20"/>
                <w:szCs w:val="20"/>
              </w:rPr>
            </w:pPr>
            <w:r w:rsidRPr="002C75D2">
              <w:rPr>
                <w:sz w:val="20"/>
                <w:szCs w:val="20"/>
              </w:rPr>
              <w:t>0</w:t>
            </w:r>
          </w:p>
        </w:tc>
        <w:tc>
          <w:tcPr>
            <w:tcW w:w="435" w:type="dxa"/>
          </w:tcPr>
          <w:p w14:paraId="4A501286" w14:textId="77777777" w:rsidR="00E964DF" w:rsidRPr="002C75D2" w:rsidRDefault="00E964DF" w:rsidP="00C31046">
            <w:pPr>
              <w:rPr>
                <w:sz w:val="20"/>
                <w:szCs w:val="20"/>
              </w:rPr>
            </w:pPr>
            <w:r w:rsidRPr="002C75D2">
              <w:rPr>
                <w:sz w:val="20"/>
                <w:szCs w:val="20"/>
              </w:rPr>
              <w:t>10</w:t>
            </w:r>
          </w:p>
        </w:tc>
        <w:tc>
          <w:tcPr>
            <w:tcW w:w="435" w:type="dxa"/>
          </w:tcPr>
          <w:p w14:paraId="7CE37824" w14:textId="77777777" w:rsidR="00E964DF" w:rsidRPr="002C75D2" w:rsidRDefault="00E964DF" w:rsidP="00C31046">
            <w:pPr>
              <w:rPr>
                <w:sz w:val="20"/>
                <w:szCs w:val="20"/>
              </w:rPr>
            </w:pPr>
            <w:r w:rsidRPr="002C75D2">
              <w:rPr>
                <w:sz w:val="20"/>
                <w:szCs w:val="20"/>
              </w:rPr>
              <w:t>20</w:t>
            </w:r>
          </w:p>
        </w:tc>
        <w:tc>
          <w:tcPr>
            <w:tcW w:w="435" w:type="dxa"/>
          </w:tcPr>
          <w:p w14:paraId="3D84F8A3" w14:textId="77777777" w:rsidR="00E964DF" w:rsidRPr="002C75D2" w:rsidRDefault="00E964DF" w:rsidP="00C31046">
            <w:pPr>
              <w:rPr>
                <w:sz w:val="20"/>
                <w:szCs w:val="20"/>
              </w:rPr>
            </w:pPr>
            <w:r w:rsidRPr="002C75D2">
              <w:rPr>
                <w:sz w:val="20"/>
                <w:szCs w:val="20"/>
              </w:rPr>
              <w:t>30</w:t>
            </w:r>
          </w:p>
        </w:tc>
        <w:tc>
          <w:tcPr>
            <w:tcW w:w="435" w:type="dxa"/>
          </w:tcPr>
          <w:p w14:paraId="31434CEC" w14:textId="77777777" w:rsidR="00E964DF" w:rsidRPr="002C75D2" w:rsidRDefault="00E964DF" w:rsidP="00C31046">
            <w:pPr>
              <w:rPr>
                <w:sz w:val="20"/>
                <w:szCs w:val="20"/>
              </w:rPr>
            </w:pPr>
            <w:r w:rsidRPr="002C75D2">
              <w:rPr>
                <w:sz w:val="20"/>
                <w:szCs w:val="20"/>
              </w:rPr>
              <w:t>40</w:t>
            </w:r>
          </w:p>
        </w:tc>
        <w:tc>
          <w:tcPr>
            <w:tcW w:w="435" w:type="dxa"/>
          </w:tcPr>
          <w:p w14:paraId="7DEACD0D" w14:textId="77777777" w:rsidR="00E964DF" w:rsidRPr="002C75D2" w:rsidRDefault="00E964DF" w:rsidP="00C31046">
            <w:pPr>
              <w:rPr>
                <w:sz w:val="20"/>
                <w:szCs w:val="20"/>
              </w:rPr>
            </w:pPr>
            <w:r w:rsidRPr="002C75D2">
              <w:rPr>
                <w:sz w:val="20"/>
                <w:szCs w:val="20"/>
              </w:rPr>
              <w:t>50</w:t>
            </w:r>
          </w:p>
        </w:tc>
        <w:tc>
          <w:tcPr>
            <w:tcW w:w="435" w:type="dxa"/>
          </w:tcPr>
          <w:p w14:paraId="33C96B54" w14:textId="77777777" w:rsidR="00E964DF" w:rsidRPr="002C75D2" w:rsidRDefault="00E964DF" w:rsidP="00C31046">
            <w:pPr>
              <w:rPr>
                <w:sz w:val="20"/>
                <w:szCs w:val="20"/>
              </w:rPr>
            </w:pPr>
            <w:r w:rsidRPr="002C75D2">
              <w:rPr>
                <w:sz w:val="20"/>
                <w:szCs w:val="20"/>
              </w:rPr>
              <w:t>60</w:t>
            </w:r>
          </w:p>
        </w:tc>
        <w:tc>
          <w:tcPr>
            <w:tcW w:w="435" w:type="dxa"/>
          </w:tcPr>
          <w:p w14:paraId="512735E1" w14:textId="77777777" w:rsidR="00E964DF" w:rsidRPr="002C75D2" w:rsidRDefault="00E964DF" w:rsidP="00C31046">
            <w:pPr>
              <w:rPr>
                <w:sz w:val="20"/>
                <w:szCs w:val="20"/>
              </w:rPr>
            </w:pPr>
            <w:r w:rsidRPr="002C75D2">
              <w:rPr>
                <w:sz w:val="20"/>
                <w:szCs w:val="20"/>
              </w:rPr>
              <w:t>70</w:t>
            </w:r>
          </w:p>
        </w:tc>
        <w:tc>
          <w:tcPr>
            <w:tcW w:w="435" w:type="dxa"/>
          </w:tcPr>
          <w:p w14:paraId="684AD3B3" w14:textId="77777777" w:rsidR="00E964DF" w:rsidRPr="002C75D2" w:rsidRDefault="00E964DF" w:rsidP="00C31046">
            <w:pPr>
              <w:rPr>
                <w:sz w:val="20"/>
                <w:szCs w:val="20"/>
              </w:rPr>
            </w:pPr>
            <w:r w:rsidRPr="002C75D2">
              <w:rPr>
                <w:sz w:val="20"/>
                <w:szCs w:val="20"/>
              </w:rPr>
              <w:t>80</w:t>
            </w:r>
          </w:p>
        </w:tc>
        <w:tc>
          <w:tcPr>
            <w:tcW w:w="435" w:type="dxa"/>
          </w:tcPr>
          <w:p w14:paraId="19A86780" w14:textId="77777777" w:rsidR="00E964DF" w:rsidRPr="002C75D2" w:rsidRDefault="00E964DF" w:rsidP="00C31046">
            <w:pPr>
              <w:rPr>
                <w:sz w:val="20"/>
                <w:szCs w:val="20"/>
              </w:rPr>
            </w:pPr>
            <w:r w:rsidRPr="002C75D2">
              <w:rPr>
                <w:sz w:val="20"/>
                <w:szCs w:val="20"/>
              </w:rPr>
              <w:t>90</w:t>
            </w:r>
          </w:p>
        </w:tc>
        <w:tc>
          <w:tcPr>
            <w:tcW w:w="435" w:type="dxa"/>
          </w:tcPr>
          <w:p w14:paraId="6C975B6F" w14:textId="77777777" w:rsidR="00E964DF" w:rsidRPr="002C75D2" w:rsidRDefault="00E964DF" w:rsidP="00C31046">
            <w:pPr>
              <w:rPr>
                <w:sz w:val="20"/>
                <w:szCs w:val="20"/>
              </w:rPr>
            </w:pPr>
            <w:r w:rsidRPr="002C75D2">
              <w:rPr>
                <w:sz w:val="20"/>
                <w:szCs w:val="20"/>
              </w:rPr>
              <w:t>100</w:t>
            </w:r>
          </w:p>
        </w:tc>
      </w:tr>
    </w:tbl>
    <w:p w14:paraId="40106423"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984"/>
        <w:gridCol w:w="4214"/>
      </w:tblGrid>
      <w:tr w:rsidR="00E964DF" w:rsidRPr="00E964DF" w14:paraId="66469198"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4FDE637D" w14:textId="77777777" w:rsidR="00E964DF" w:rsidRPr="002C75D2" w:rsidRDefault="00E964DF" w:rsidP="00C31046">
            <w:pPr>
              <w:keepNext/>
              <w:rPr>
                <w:sz w:val="20"/>
              </w:rPr>
            </w:pPr>
            <w:r w:rsidRPr="002C75D2">
              <w:rPr>
                <w:sz w:val="20"/>
              </w:rPr>
              <w:t>Focus on risk (to the patient or others)</w:t>
            </w:r>
          </w:p>
        </w:tc>
        <w:tc>
          <w:tcPr>
            <w:tcW w:w="4788" w:type="dxa"/>
          </w:tcPr>
          <w:p w14:paraId="219B84E9"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43A65DB" wp14:editId="4F62288C">
                  <wp:extent cx="1905000" cy="304800"/>
                  <wp:effectExtent l="0" t="0" r="0" b="0"/>
                  <wp:docPr id="26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42D1CC9"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3C4C61D7" w14:textId="77777777" w:rsidR="00E964DF" w:rsidRPr="002C75D2" w:rsidRDefault="00E964DF" w:rsidP="00C31046">
            <w:pPr>
              <w:keepNext/>
              <w:rPr>
                <w:sz w:val="20"/>
              </w:rPr>
            </w:pPr>
            <w:r w:rsidRPr="002C75D2">
              <w:rPr>
                <w:sz w:val="20"/>
              </w:rPr>
              <w:t>Focus on the patient's capacity to use treatment and benefit from it</w:t>
            </w:r>
          </w:p>
        </w:tc>
        <w:tc>
          <w:tcPr>
            <w:tcW w:w="4788" w:type="dxa"/>
          </w:tcPr>
          <w:p w14:paraId="595244FA"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3BA6039" wp14:editId="200A2AA0">
                  <wp:extent cx="1905000" cy="304800"/>
                  <wp:effectExtent l="0" t="0" r="0" b="0"/>
                  <wp:docPr id="26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FFA3C31"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1B62F6D" w14:textId="77777777" w:rsidR="00E964DF" w:rsidRPr="002C75D2" w:rsidRDefault="00E964DF" w:rsidP="00C31046">
            <w:pPr>
              <w:keepNext/>
              <w:rPr>
                <w:sz w:val="20"/>
              </w:rPr>
            </w:pPr>
            <w:r w:rsidRPr="002C75D2">
              <w:rPr>
                <w:sz w:val="20"/>
              </w:rPr>
              <w:t>Focus on the patient's week</w:t>
            </w:r>
          </w:p>
        </w:tc>
        <w:tc>
          <w:tcPr>
            <w:tcW w:w="4788" w:type="dxa"/>
          </w:tcPr>
          <w:p w14:paraId="15462B5D"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4111ED47" wp14:editId="67C89CA0">
                  <wp:extent cx="1905000" cy="304800"/>
                  <wp:effectExtent l="0" t="0" r="0" b="0"/>
                  <wp:docPr id="26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FE87E7C"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7DE4007C" w14:textId="77777777" w:rsidR="00E964DF" w:rsidRPr="002C75D2" w:rsidRDefault="00E964DF" w:rsidP="00C31046">
            <w:pPr>
              <w:keepNext/>
              <w:rPr>
                <w:sz w:val="20"/>
              </w:rPr>
            </w:pPr>
            <w:r w:rsidRPr="002C75D2">
              <w:rPr>
                <w:sz w:val="20"/>
              </w:rPr>
              <w:t>Encouragement/motivation of the clinician to remain on task</w:t>
            </w:r>
          </w:p>
        </w:tc>
        <w:tc>
          <w:tcPr>
            <w:tcW w:w="4788" w:type="dxa"/>
          </w:tcPr>
          <w:p w14:paraId="2EF38956"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62D8C2E" wp14:editId="6C678352">
                  <wp:extent cx="1905000" cy="304800"/>
                  <wp:effectExtent l="0" t="0" r="0" b="0"/>
                  <wp:docPr id="26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0582448"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25493783" w14:textId="77777777" w:rsidR="00E964DF" w:rsidRPr="002C75D2" w:rsidRDefault="00E964DF" w:rsidP="00C31046">
            <w:pPr>
              <w:keepNext/>
              <w:rPr>
                <w:sz w:val="20"/>
              </w:rPr>
            </w:pPr>
            <w:r w:rsidRPr="002C75D2">
              <w:rPr>
                <w:sz w:val="20"/>
              </w:rPr>
              <w:t>Other (please state)</w:t>
            </w:r>
          </w:p>
        </w:tc>
        <w:tc>
          <w:tcPr>
            <w:tcW w:w="4788" w:type="dxa"/>
          </w:tcPr>
          <w:p w14:paraId="04E3559D"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A25CCFC" wp14:editId="7735C479">
                  <wp:extent cx="1905000" cy="304800"/>
                  <wp:effectExtent l="0" t="0" r="0" b="0"/>
                  <wp:docPr id="3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70749321" w14:textId="77777777" w:rsidR="00E964DF" w:rsidRPr="002C75D2" w:rsidRDefault="00E964DF" w:rsidP="00E964DF">
      <w:pPr>
        <w:rPr>
          <w:sz w:val="20"/>
          <w:szCs w:val="20"/>
        </w:rPr>
      </w:pPr>
    </w:p>
    <w:p w14:paraId="203DC509" w14:textId="77777777" w:rsidR="00E964DF" w:rsidRPr="002C75D2" w:rsidRDefault="00E964DF" w:rsidP="00E964DF">
      <w:pPr>
        <w:keepNext/>
        <w:rPr>
          <w:sz w:val="20"/>
          <w:szCs w:val="20"/>
        </w:rPr>
      </w:pPr>
      <w:r w:rsidRPr="002C75D2">
        <w:rPr>
          <w:sz w:val="20"/>
          <w:szCs w:val="20"/>
        </w:rPr>
        <w:t xml:space="preserve">Joanne is 38 and lives with her husband and son. She describes her relationship as “solid”, though she and her husband do not always get on well. She works as a classroom assistant, though she would like to do something more challenging. Her mood has generally been okay, but she reports feeling detached from the world and feeling a lack of direction in her life. She </w:t>
      </w:r>
      <w:r w:rsidRPr="002C75D2">
        <w:rPr>
          <w:sz w:val="20"/>
          <w:szCs w:val="20"/>
        </w:rPr>
        <w:lastRenderedPageBreak/>
        <w:t>finds herself feeling “down”, though would not harm herself. She sought a referral so that she would have opportunity to talk about where she is going in life.</w:t>
      </w:r>
    </w:p>
    <w:p w14:paraId="6C75091D" w14:textId="77777777" w:rsidR="00E964DF" w:rsidRPr="002C75D2" w:rsidRDefault="00E964DF" w:rsidP="00E964DF">
      <w:pPr>
        <w:keepNext/>
        <w:rPr>
          <w:sz w:val="20"/>
          <w:szCs w:val="20"/>
        </w:rPr>
      </w:pPr>
      <w:r w:rsidRPr="002C75D2">
        <w:rPr>
          <w:sz w:val="20"/>
          <w:szCs w:val="20"/>
        </w:rPr>
        <w:t>Midway through Joanne's course of therapy, the clinician comes to you and outlines her condition. Using the sliders below, please indicate how likely you are to focus on each of the following techniques when giving the clinician advice during supervision.     (Where 0 is 'I would not focus on this' and 100 is 'I would focus entirely on this')      </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243B2B18" w14:textId="77777777" w:rsidTr="00C31046">
        <w:tc>
          <w:tcPr>
            <w:tcW w:w="4788" w:type="dxa"/>
          </w:tcPr>
          <w:p w14:paraId="60EB9A97" w14:textId="77777777" w:rsidR="00E964DF" w:rsidRPr="002C75D2" w:rsidRDefault="00E964DF" w:rsidP="00C31046">
            <w:pPr>
              <w:rPr>
                <w:sz w:val="20"/>
                <w:szCs w:val="20"/>
              </w:rPr>
            </w:pPr>
          </w:p>
        </w:tc>
        <w:tc>
          <w:tcPr>
            <w:tcW w:w="435" w:type="dxa"/>
          </w:tcPr>
          <w:p w14:paraId="499672D7" w14:textId="77777777" w:rsidR="00E964DF" w:rsidRPr="002C75D2" w:rsidRDefault="00E964DF" w:rsidP="00C31046">
            <w:pPr>
              <w:rPr>
                <w:sz w:val="20"/>
                <w:szCs w:val="20"/>
              </w:rPr>
            </w:pPr>
            <w:r w:rsidRPr="002C75D2">
              <w:rPr>
                <w:sz w:val="20"/>
                <w:szCs w:val="20"/>
              </w:rPr>
              <w:t>0</w:t>
            </w:r>
          </w:p>
        </w:tc>
        <w:tc>
          <w:tcPr>
            <w:tcW w:w="435" w:type="dxa"/>
          </w:tcPr>
          <w:p w14:paraId="2BC06FBC" w14:textId="77777777" w:rsidR="00E964DF" w:rsidRPr="002C75D2" w:rsidRDefault="00E964DF" w:rsidP="00C31046">
            <w:pPr>
              <w:rPr>
                <w:sz w:val="20"/>
                <w:szCs w:val="20"/>
              </w:rPr>
            </w:pPr>
            <w:r w:rsidRPr="002C75D2">
              <w:rPr>
                <w:sz w:val="20"/>
                <w:szCs w:val="20"/>
              </w:rPr>
              <w:t>10</w:t>
            </w:r>
          </w:p>
        </w:tc>
        <w:tc>
          <w:tcPr>
            <w:tcW w:w="435" w:type="dxa"/>
          </w:tcPr>
          <w:p w14:paraId="108B39AB" w14:textId="77777777" w:rsidR="00E964DF" w:rsidRPr="002C75D2" w:rsidRDefault="00E964DF" w:rsidP="00C31046">
            <w:pPr>
              <w:rPr>
                <w:sz w:val="20"/>
                <w:szCs w:val="20"/>
              </w:rPr>
            </w:pPr>
            <w:r w:rsidRPr="002C75D2">
              <w:rPr>
                <w:sz w:val="20"/>
                <w:szCs w:val="20"/>
              </w:rPr>
              <w:t>20</w:t>
            </w:r>
          </w:p>
        </w:tc>
        <w:tc>
          <w:tcPr>
            <w:tcW w:w="435" w:type="dxa"/>
          </w:tcPr>
          <w:p w14:paraId="48301BB4" w14:textId="77777777" w:rsidR="00E964DF" w:rsidRPr="002C75D2" w:rsidRDefault="00E964DF" w:rsidP="00C31046">
            <w:pPr>
              <w:rPr>
                <w:sz w:val="20"/>
                <w:szCs w:val="20"/>
              </w:rPr>
            </w:pPr>
            <w:r w:rsidRPr="002C75D2">
              <w:rPr>
                <w:sz w:val="20"/>
                <w:szCs w:val="20"/>
              </w:rPr>
              <w:t>30</w:t>
            </w:r>
          </w:p>
        </w:tc>
        <w:tc>
          <w:tcPr>
            <w:tcW w:w="435" w:type="dxa"/>
          </w:tcPr>
          <w:p w14:paraId="78A3A646" w14:textId="77777777" w:rsidR="00E964DF" w:rsidRPr="002C75D2" w:rsidRDefault="00E964DF" w:rsidP="00C31046">
            <w:pPr>
              <w:rPr>
                <w:sz w:val="20"/>
                <w:szCs w:val="20"/>
              </w:rPr>
            </w:pPr>
            <w:r w:rsidRPr="002C75D2">
              <w:rPr>
                <w:sz w:val="20"/>
                <w:szCs w:val="20"/>
              </w:rPr>
              <w:t>40</w:t>
            </w:r>
          </w:p>
        </w:tc>
        <w:tc>
          <w:tcPr>
            <w:tcW w:w="435" w:type="dxa"/>
          </w:tcPr>
          <w:p w14:paraId="392EBC1F" w14:textId="77777777" w:rsidR="00E964DF" w:rsidRPr="002C75D2" w:rsidRDefault="00E964DF" w:rsidP="00C31046">
            <w:pPr>
              <w:rPr>
                <w:sz w:val="20"/>
                <w:szCs w:val="20"/>
              </w:rPr>
            </w:pPr>
            <w:r w:rsidRPr="002C75D2">
              <w:rPr>
                <w:sz w:val="20"/>
                <w:szCs w:val="20"/>
              </w:rPr>
              <w:t>50</w:t>
            </w:r>
          </w:p>
        </w:tc>
        <w:tc>
          <w:tcPr>
            <w:tcW w:w="435" w:type="dxa"/>
          </w:tcPr>
          <w:p w14:paraId="50F3D24B" w14:textId="77777777" w:rsidR="00E964DF" w:rsidRPr="002C75D2" w:rsidRDefault="00E964DF" w:rsidP="00C31046">
            <w:pPr>
              <w:rPr>
                <w:sz w:val="20"/>
                <w:szCs w:val="20"/>
              </w:rPr>
            </w:pPr>
            <w:r w:rsidRPr="002C75D2">
              <w:rPr>
                <w:sz w:val="20"/>
                <w:szCs w:val="20"/>
              </w:rPr>
              <w:t>60</w:t>
            </w:r>
          </w:p>
        </w:tc>
        <w:tc>
          <w:tcPr>
            <w:tcW w:w="435" w:type="dxa"/>
          </w:tcPr>
          <w:p w14:paraId="34D769B4" w14:textId="77777777" w:rsidR="00E964DF" w:rsidRPr="002C75D2" w:rsidRDefault="00E964DF" w:rsidP="00C31046">
            <w:pPr>
              <w:rPr>
                <w:sz w:val="20"/>
                <w:szCs w:val="20"/>
              </w:rPr>
            </w:pPr>
            <w:r w:rsidRPr="002C75D2">
              <w:rPr>
                <w:sz w:val="20"/>
                <w:szCs w:val="20"/>
              </w:rPr>
              <w:t>70</w:t>
            </w:r>
          </w:p>
        </w:tc>
        <w:tc>
          <w:tcPr>
            <w:tcW w:w="435" w:type="dxa"/>
          </w:tcPr>
          <w:p w14:paraId="46FEEBCB" w14:textId="77777777" w:rsidR="00E964DF" w:rsidRPr="002C75D2" w:rsidRDefault="00E964DF" w:rsidP="00C31046">
            <w:pPr>
              <w:rPr>
                <w:sz w:val="20"/>
                <w:szCs w:val="20"/>
              </w:rPr>
            </w:pPr>
            <w:r w:rsidRPr="002C75D2">
              <w:rPr>
                <w:sz w:val="20"/>
                <w:szCs w:val="20"/>
              </w:rPr>
              <w:t>80</w:t>
            </w:r>
          </w:p>
        </w:tc>
        <w:tc>
          <w:tcPr>
            <w:tcW w:w="435" w:type="dxa"/>
          </w:tcPr>
          <w:p w14:paraId="3CA89693" w14:textId="77777777" w:rsidR="00E964DF" w:rsidRPr="002C75D2" w:rsidRDefault="00E964DF" w:rsidP="00C31046">
            <w:pPr>
              <w:rPr>
                <w:sz w:val="20"/>
                <w:szCs w:val="20"/>
              </w:rPr>
            </w:pPr>
            <w:r w:rsidRPr="002C75D2">
              <w:rPr>
                <w:sz w:val="20"/>
                <w:szCs w:val="20"/>
              </w:rPr>
              <w:t>90</w:t>
            </w:r>
          </w:p>
        </w:tc>
        <w:tc>
          <w:tcPr>
            <w:tcW w:w="435" w:type="dxa"/>
          </w:tcPr>
          <w:p w14:paraId="2AA55859" w14:textId="77777777" w:rsidR="00E964DF" w:rsidRPr="002C75D2" w:rsidRDefault="00E964DF" w:rsidP="00C31046">
            <w:pPr>
              <w:rPr>
                <w:sz w:val="20"/>
                <w:szCs w:val="20"/>
              </w:rPr>
            </w:pPr>
            <w:r w:rsidRPr="002C75D2">
              <w:rPr>
                <w:sz w:val="20"/>
                <w:szCs w:val="20"/>
              </w:rPr>
              <w:t>100</w:t>
            </w:r>
          </w:p>
        </w:tc>
      </w:tr>
    </w:tbl>
    <w:p w14:paraId="0CF10C9E"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841"/>
        <w:gridCol w:w="4357"/>
      </w:tblGrid>
      <w:tr w:rsidR="00E964DF" w:rsidRPr="00E964DF" w14:paraId="3FCA9E03"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67DB529" w14:textId="77777777" w:rsidR="00E964DF" w:rsidRPr="002C75D2" w:rsidRDefault="00E964DF" w:rsidP="00C31046">
            <w:pPr>
              <w:keepNext/>
              <w:rPr>
                <w:sz w:val="20"/>
              </w:rPr>
            </w:pPr>
            <w:r w:rsidRPr="002C75D2">
              <w:rPr>
                <w:sz w:val="20"/>
              </w:rPr>
              <w:t>Focus on the development of the therapeutic alliance  with the patient</w:t>
            </w:r>
          </w:p>
        </w:tc>
        <w:tc>
          <w:tcPr>
            <w:tcW w:w="4788" w:type="dxa"/>
          </w:tcPr>
          <w:p w14:paraId="6F9B9C5D"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4BF497F" wp14:editId="19736A93">
                  <wp:extent cx="1905000" cy="304800"/>
                  <wp:effectExtent l="0" t="0" r="0" b="0"/>
                  <wp:docPr id="26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22038CD"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5B1CA73D" w14:textId="77777777" w:rsidR="00E964DF" w:rsidRPr="002C75D2" w:rsidRDefault="00E964DF" w:rsidP="00C31046">
            <w:pPr>
              <w:keepNext/>
              <w:rPr>
                <w:sz w:val="20"/>
              </w:rPr>
            </w:pPr>
            <w:r w:rsidRPr="002C75D2">
              <w:rPr>
                <w:sz w:val="20"/>
              </w:rPr>
              <w:t>Focus on evidence-based therapeutic techniques</w:t>
            </w:r>
          </w:p>
        </w:tc>
        <w:tc>
          <w:tcPr>
            <w:tcW w:w="4788" w:type="dxa"/>
          </w:tcPr>
          <w:p w14:paraId="7548BA4E"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BCC5048" wp14:editId="6830D3EA">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60E1ED5"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292FCAB2" w14:textId="77777777" w:rsidR="00E964DF" w:rsidRPr="002C75D2" w:rsidRDefault="00E964DF" w:rsidP="00C31046">
            <w:pPr>
              <w:keepNext/>
              <w:rPr>
                <w:sz w:val="20"/>
              </w:rPr>
            </w:pPr>
            <w:r w:rsidRPr="002C75D2">
              <w:rPr>
                <w:sz w:val="20"/>
              </w:rPr>
              <w:t>Focus on other issues in supervision</w:t>
            </w:r>
          </w:p>
        </w:tc>
        <w:tc>
          <w:tcPr>
            <w:tcW w:w="4788" w:type="dxa"/>
          </w:tcPr>
          <w:p w14:paraId="297FC750"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43E984B" wp14:editId="60653861">
                  <wp:extent cx="1905000" cy="304800"/>
                  <wp:effectExtent l="0" t="0" r="0" b="0"/>
                  <wp:docPr id="3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06C191E5" w14:textId="77777777" w:rsidR="00E964DF" w:rsidRPr="002C75D2" w:rsidRDefault="00E964DF" w:rsidP="00E964DF">
      <w:pPr>
        <w:rPr>
          <w:sz w:val="20"/>
          <w:szCs w:val="20"/>
        </w:rPr>
      </w:pPr>
    </w:p>
    <w:p w14:paraId="5D1C84CC" w14:textId="77777777" w:rsidR="00E964DF" w:rsidRPr="002C75D2" w:rsidRDefault="00E964DF" w:rsidP="00E964DF">
      <w:pPr>
        <w:keepNext/>
        <w:rPr>
          <w:sz w:val="20"/>
          <w:szCs w:val="20"/>
        </w:rPr>
      </w:pPr>
      <w:r w:rsidRPr="002C75D2">
        <w:rPr>
          <w:sz w:val="20"/>
          <w:szCs w:val="20"/>
        </w:rPr>
        <w:t>To what extent would you focus on the following areas of the </w:t>
      </w:r>
      <w:r w:rsidRPr="002C75D2">
        <w:rPr>
          <w:b/>
          <w:sz w:val="20"/>
          <w:szCs w:val="20"/>
        </w:rPr>
        <w:t>therapeutic relationship</w:t>
      </w:r>
      <w:r w:rsidRPr="002C75D2">
        <w:rPr>
          <w:sz w:val="20"/>
          <w:szCs w:val="20"/>
        </w:rPr>
        <w:t>?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32B98A99" w14:textId="77777777" w:rsidTr="00C31046">
        <w:tc>
          <w:tcPr>
            <w:tcW w:w="4788" w:type="dxa"/>
          </w:tcPr>
          <w:p w14:paraId="2A1F6F29" w14:textId="77777777" w:rsidR="00E964DF" w:rsidRPr="002C75D2" w:rsidRDefault="00E964DF" w:rsidP="00C31046">
            <w:pPr>
              <w:rPr>
                <w:sz w:val="20"/>
                <w:szCs w:val="20"/>
              </w:rPr>
            </w:pPr>
          </w:p>
        </w:tc>
        <w:tc>
          <w:tcPr>
            <w:tcW w:w="435" w:type="dxa"/>
          </w:tcPr>
          <w:p w14:paraId="12F844B3" w14:textId="77777777" w:rsidR="00E964DF" w:rsidRPr="002C75D2" w:rsidRDefault="00E964DF" w:rsidP="00C31046">
            <w:pPr>
              <w:rPr>
                <w:sz w:val="20"/>
                <w:szCs w:val="20"/>
              </w:rPr>
            </w:pPr>
            <w:r w:rsidRPr="002C75D2">
              <w:rPr>
                <w:sz w:val="20"/>
                <w:szCs w:val="20"/>
              </w:rPr>
              <w:t>0</w:t>
            </w:r>
          </w:p>
        </w:tc>
        <w:tc>
          <w:tcPr>
            <w:tcW w:w="435" w:type="dxa"/>
          </w:tcPr>
          <w:p w14:paraId="59704178" w14:textId="77777777" w:rsidR="00E964DF" w:rsidRPr="002C75D2" w:rsidRDefault="00E964DF" w:rsidP="00C31046">
            <w:pPr>
              <w:rPr>
                <w:sz w:val="20"/>
                <w:szCs w:val="20"/>
              </w:rPr>
            </w:pPr>
            <w:r w:rsidRPr="002C75D2">
              <w:rPr>
                <w:sz w:val="20"/>
                <w:szCs w:val="20"/>
              </w:rPr>
              <w:t>10</w:t>
            </w:r>
          </w:p>
        </w:tc>
        <w:tc>
          <w:tcPr>
            <w:tcW w:w="435" w:type="dxa"/>
          </w:tcPr>
          <w:p w14:paraId="428C8C82" w14:textId="77777777" w:rsidR="00E964DF" w:rsidRPr="002C75D2" w:rsidRDefault="00E964DF" w:rsidP="00C31046">
            <w:pPr>
              <w:rPr>
                <w:sz w:val="20"/>
                <w:szCs w:val="20"/>
              </w:rPr>
            </w:pPr>
            <w:r w:rsidRPr="002C75D2">
              <w:rPr>
                <w:sz w:val="20"/>
                <w:szCs w:val="20"/>
              </w:rPr>
              <w:t>20</w:t>
            </w:r>
          </w:p>
        </w:tc>
        <w:tc>
          <w:tcPr>
            <w:tcW w:w="435" w:type="dxa"/>
          </w:tcPr>
          <w:p w14:paraId="24F730FE" w14:textId="77777777" w:rsidR="00E964DF" w:rsidRPr="002C75D2" w:rsidRDefault="00E964DF" w:rsidP="00C31046">
            <w:pPr>
              <w:rPr>
                <w:sz w:val="20"/>
                <w:szCs w:val="20"/>
              </w:rPr>
            </w:pPr>
            <w:r w:rsidRPr="002C75D2">
              <w:rPr>
                <w:sz w:val="20"/>
                <w:szCs w:val="20"/>
              </w:rPr>
              <w:t>30</w:t>
            </w:r>
          </w:p>
        </w:tc>
        <w:tc>
          <w:tcPr>
            <w:tcW w:w="435" w:type="dxa"/>
          </w:tcPr>
          <w:p w14:paraId="3A1F4AFA" w14:textId="77777777" w:rsidR="00E964DF" w:rsidRPr="002C75D2" w:rsidRDefault="00E964DF" w:rsidP="00C31046">
            <w:pPr>
              <w:rPr>
                <w:sz w:val="20"/>
                <w:szCs w:val="20"/>
              </w:rPr>
            </w:pPr>
            <w:r w:rsidRPr="002C75D2">
              <w:rPr>
                <w:sz w:val="20"/>
                <w:szCs w:val="20"/>
              </w:rPr>
              <w:t>40</w:t>
            </w:r>
          </w:p>
        </w:tc>
        <w:tc>
          <w:tcPr>
            <w:tcW w:w="435" w:type="dxa"/>
          </w:tcPr>
          <w:p w14:paraId="5D8C3654" w14:textId="77777777" w:rsidR="00E964DF" w:rsidRPr="002C75D2" w:rsidRDefault="00E964DF" w:rsidP="00C31046">
            <w:pPr>
              <w:rPr>
                <w:sz w:val="20"/>
                <w:szCs w:val="20"/>
              </w:rPr>
            </w:pPr>
            <w:r w:rsidRPr="002C75D2">
              <w:rPr>
                <w:sz w:val="20"/>
                <w:szCs w:val="20"/>
              </w:rPr>
              <w:t>50</w:t>
            </w:r>
          </w:p>
        </w:tc>
        <w:tc>
          <w:tcPr>
            <w:tcW w:w="435" w:type="dxa"/>
          </w:tcPr>
          <w:p w14:paraId="670D28BA" w14:textId="77777777" w:rsidR="00E964DF" w:rsidRPr="002C75D2" w:rsidRDefault="00E964DF" w:rsidP="00C31046">
            <w:pPr>
              <w:rPr>
                <w:sz w:val="20"/>
                <w:szCs w:val="20"/>
              </w:rPr>
            </w:pPr>
            <w:r w:rsidRPr="002C75D2">
              <w:rPr>
                <w:sz w:val="20"/>
                <w:szCs w:val="20"/>
              </w:rPr>
              <w:t>60</w:t>
            </w:r>
          </w:p>
        </w:tc>
        <w:tc>
          <w:tcPr>
            <w:tcW w:w="435" w:type="dxa"/>
          </w:tcPr>
          <w:p w14:paraId="7EE05D34" w14:textId="77777777" w:rsidR="00E964DF" w:rsidRPr="002C75D2" w:rsidRDefault="00E964DF" w:rsidP="00C31046">
            <w:pPr>
              <w:rPr>
                <w:sz w:val="20"/>
                <w:szCs w:val="20"/>
              </w:rPr>
            </w:pPr>
            <w:r w:rsidRPr="002C75D2">
              <w:rPr>
                <w:sz w:val="20"/>
                <w:szCs w:val="20"/>
              </w:rPr>
              <w:t>70</w:t>
            </w:r>
          </w:p>
        </w:tc>
        <w:tc>
          <w:tcPr>
            <w:tcW w:w="435" w:type="dxa"/>
          </w:tcPr>
          <w:p w14:paraId="00649AD7" w14:textId="77777777" w:rsidR="00E964DF" w:rsidRPr="002C75D2" w:rsidRDefault="00E964DF" w:rsidP="00C31046">
            <w:pPr>
              <w:rPr>
                <w:sz w:val="20"/>
                <w:szCs w:val="20"/>
              </w:rPr>
            </w:pPr>
            <w:r w:rsidRPr="002C75D2">
              <w:rPr>
                <w:sz w:val="20"/>
                <w:szCs w:val="20"/>
              </w:rPr>
              <w:t>80</w:t>
            </w:r>
          </w:p>
        </w:tc>
        <w:tc>
          <w:tcPr>
            <w:tcW w:w="435" w:type="dxa"/>
          </w:tcPr>
          <w:p w14:paraId="2E94E2D4" w14:textId="77777777" w:rsidR="00E964DF" w:rsidRPr="002C75D2" w:rsidRDefault="00E964DF" w:rsidP="00C31046">
            <w:pPr>
              <w:rPr>
                <w:sz w:val="20"/>
                <w:szCs w:val="20"/>
              </w:rPr>
            </w:pPr>
            <w:r w:rsidRPr="002C75D2">
              <w:rPr>
                <w:sz w:val="20"/>
                <w:szCs w:val="20"/>
              </w:rPr>
              <w:t>90</w:t>
            </w:r>
          </w:p>
        </w:tc>
        <w:tc>
          <w:tcPr>
            <w:tcW w:w="435" w:type="dxa"/>
          </w:tcPr>
          <w:p w14:paraId="20CEA5C0" w14:textId="77777777" w:rsidR="00E964DF" w:rsidRPr="002C75D2" w:rsidRDefault="00E964DF" w:rsidP="00C31046">
            <w:pPr>
              <w:rPr>
                <w:sz w:val="20"/>
                <w:szCs w:val="20"/>
              </w:rPr>
            </w:pPr>
            <w:r w:rsidRPr="002C75D2">
              <w:rPr>
                <w:sz w:val="20"/>
                <w:szCs w:val="20"/>
              </w:rPr>
              <w:t>100</w:t>
            </w:r>
          </w:p>
        </w:tc>
      </w:tr>
    </w:tbl>
    <w:p w14:paraId="1306CCE0"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833"/>
        <w:gridCol w:w="4365"/>
      </w:tblGrid>
      <w:tr w:rsidR="00E964DF" w:rsidRPr="00E964DF" w14:paraId="271CCD75"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06EE772F" w14:textId="77777777" w:rsidR="00E964DF" w:rsidRPr="002C75D2" w:rsidRDefault="00E964DF" w:rsidP="00C31046">
            <w:pPr>
              <w:keepNext/>
              <w:rPr>
                <w:sz w:val="20"/>
              </w:rPr>
            </w:pPr>
            <w:r w:rsidRPr="002C75D2">
              <w:rPr>
                <w:sz w:val="20"/>
              </w:rPr>
              <w:t>Therapeutic bond (attachment between patient and clinician)</w:t>
            </w:r>
          </w:p>
        </w:tc>
        <w:tc>
          <w:tcPr>
            <w:tcW w:w="4788" w:type="dxa"/>
          </w:tcPr>
          <w:p w14:paraId="055EF655"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630D7DA" wp14:editId="3AD58E47">
                  <wp:extent cx="1905000" cy="304800"/>
                  <wp:effectExtent l="0" t="0" r="0" b="0"/>
                  <wp:docPr id="3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C6198F2"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702CC49" w14:textId="77777777" w:rsidR="00E964DF" w:rsidRPr="002C75D2" w:rsidRDefault="00E964DF" w:rsidP="00C31046">
            <w:pPr>
              <w:keepNext/>
              <w:rPr>
                <w:sz w:val="20"/>
              </w:rPr>
            </w:pPr>
            <w:r w:rsidRPr="002C75D2">
              <w:rPr>
                <w:sz w:val="20"/>
              </w:rPr>
              <w:t>Agreement on the goals of therapy</w:t>
            </w:r>
          </w:p>
        </w:tc>
        <w:tc>
          <w:tcPr>
            <w:tcW w:w="4788" w:type="dxa"/>
          </w:tcPr>
          <w:p w14:paraId="6163CAA2"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DC00998" wp14:editId="3B3CD0DB">
                  <wp:extent cx="1905000" cy="304800"/>
                  <wp:effectExtent l="0" t="0" r="0" b="0"/>
                  <wp:docPr id="3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99B1D47"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57354B90" w14:textId="77777777" w:rsidR="00E964DF" w:rsidRPr="002C75D2" w:rsidRDefault="00E964DF" w:rsidP="00C31046">
            <w:pPr>
              <w:keepNext/>
              <w:rPr>
                <w:sz w:val="20"/>
              </w:rPr>
            </w:pPr>
            <w:r w:rsidRPr="002C75D2">
              <w:rPr>
                <w:sz w:val="20"/>
              </w:rPr>
              <w:t>Agreement on the tasks of therapy</w:t>
            </w:r>
          </w:p>
        </w:tc>
        <w:tc>
          <w:tcPr>
            <w:tcW w:w="4788" w:type="dxa"/>
          </w:tcPr>
          <w:p w14:paraId="32A0B060"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72523B9" wp14:editId="56D83298">
                  <wp:extent cx="1905000" cy="304800"/>
                  <wp:effectExtent l="0" t="0" r="0" b="0"/>
                  <wp:docPr id="3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2EBF14CB" w14:textId="77777777" w:rsidR="00E964DF" w:rsidRPr="002C75D2" w:rsidRDefault="00E964DF" w:rsidP="00E964DF">
      <w:pPr>
        <w:rPr>
          <w:sz w:val="20"/>
          <w:szCs w:val="20"/>
        </w:rPr>
      </w:pPr>
    </w:p>
    <w:p w14:paraId="738D8E14" w14:textId="77777777" w:rsidR="00E964DF" w:rsidRPr="002C75D2" w:rsidRDefault="00E964DF" w:rsidP="00E964DF">
      <w:pPr>
        <w:keepNext/>
        <w:rPr>
          <w:sz w:val="20"/>
          <w:szCs w:val="20"/>
        </w:rPr>
      </w:pPr>
      <w:r w:rsidRPr="002C75D2">
        <w:rPr>
          <w:sz w:val="20"/>
          <w:szCs w:val="20"/>
        </w:rPr>
        <w:lastRenderedPageBreak/>
        <w:t xml:space="preserve">Of the </w:t>
      </w:r>
      <w:r w:rsidRPr="002C75D2">
        <w:rPr>
          <w:b/>
          <w:sz w:val="20"/>
          <w:szCs w:val="20"/>
        </w:rPr>
        <w:t xml:space="preserve">evidence-based therapeutic techniques </w:t>
      </w:r>
      <w:r w:rsidRPr="002C75D2">
        <w:rPr>
          <w:sz w:val="20"/>
          <w:szCs w:val="20"/>
        </w:rPr>
        <w:t>available, how much would you focus on each of the following?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4A626113" w14:textId="77777777" w:rsidTr="00C31046">
        <w:tc>
          <w:tcPr>
            <w:tcW w:w="4788" w:type="dxa"/>
          </w:tcPr>
          <w:p w14:paraId="18908968" w14:textId="77777777" w:rsidR="00E964DF" w:rsidRPr="002C75D2" w:rsidRDefault="00E964DF" w:rsidP="00C31046">
            <w:pPr>
              <w:rPr>
                <w:sz w:val="20"/>
                <w:szCs w:val="20"/>
              </w:rPr>
            </w:pPr>
          </w:p>
        </w:tc>
        <w:tc>
          <w:tcPr>
            <w:tcW w:w="435" w:type="dxa"/>
          </w:tcPr>
          <w:p w14:paraId="7BF4233C" w14:textId="77777777" w:rsidR="00E964DF" w:rsidRPr="002C75D2" w:rsidRDefault="00E964DF" w:rsidP="00C31046">
            <w:pPr>
              <w:rPr>
                <w:sz w:val="20"/>
                <w:szCs w:val="20"/>
              </w:rPr>
            </w:pPr>
            <w:r w:rsidRPr="002C75D2">
              <w:rPr>
                <w:sz w:val="20"/>
                <w:szCs w:val="20"/>
              </w:rPr>
              <w:t>0</w:t>
            </w:r>
          </w:p>
        </w:tc>
        <w:tc>
          <w:tcPr>
            <w:tcW w:w="435" w:type="dxa"/>
          </w:tcPr>
          <w:p w14:paraId="5FF8A770" w14:textId="77777777" w:rsidR="00E964DF" w:rsidRPr="002C75D2" w:rsidRDefault="00E964DF" w:rsidP="00C31046">
            <w:pPr>
              <w:rPr>
                <w:sz w:val="20"/>
                <w:szCs w:val="20"/>
              </w:rPr>
            </w:pPr>
            <w:r w:rsidRPr="002C75D2">
              <w:rPr>
                <w:sz w:val="20"/>
                <w:szCs w:val="20"/>
              </w:rPr>
              <w:t>10</w:t>
            </w:r>
          </w:p>
        </w:tc>
        <w:tc>
          <w:tcPr>
            <w:tcW w:w="435" w:type="dxa"/>
          </w:tcPr>
          <w:p w14:paraId="613C4A3A" w14:textId="77777777" w:rsidR="00E964DF" w:rsidRPr="002C75D2" w:rsidRDefault="00E964DF" w:rsidP="00C31046">
            <w:pPr>
              <w:rPr>
                <w:sz w:val="20"/>
                <w:szCs w:val="20"/>
              </w:rPr>
            </w:pPr>
            <w:r w:rsidRPr="002C75D2">
              <w:rPr>
                <w:sz w:val="20"/>
                <w:szCs w:val="20"/>
              </w:rPr>
              <w:t>20</w:t>
            </w:r>
          </w:p>
        </w:tc>
        <w:tc>
          <w:tcPr>
            <w:tcW w:w="435" w:type="dxa"/>
          </w:tcPr>
          <w:p w14:paraId="60F88B67" w14:textId="77777777" w:rsidR="00E964DF" w:rsidRPr="002C75D2" w:rsidRDefault="00E964DF" w:rsidP="00C31046">
            <w:pPr>
              <w:rPr>
                <w:sz w:val="20"/>
                <w:szCs w:val="20"/>
              </w:rPr>
            </w:pPr>
            <w:r w:rsidRPr="002C75D2">
              <w:rPr>
                <w:sz w:val="20"/>
                <w:szCs w:val="20"/>
              </w:rPr>
              <w:t>30</w:t>
            </w:r>
          </w:p>
        </w:tc>
        <w:tc>
          <w:tcPr>
            <w:tcW w:w="435" w:type="dxa"/>
          </w:tcPr>
          <w:p w14:paraId="3A08E3AE" w14:textId="77777777" w:rsidR="00E964DF" w:rsidRPr="002C75D2" w:rsidRDefault="00E964DF" w:rsidP="00C31046">
            <w:pPr>
              <w:rPr>
                <w:sz w:val="20"/>
                <w:szCs w:val="20"/>
              </w:rPr>
            </w:pPr>
            <w:r w:rsidRPr="002C75D2">
              <w:rPr>
                <w:sz w:val="20"/>
                <w:szCs w:val="20"/>
              </w:rPr>
              <w:t>40</w:t>
            </w:r>
          </w:p>
        </w:tc>
        <w:tc>
          <w:tcPr>
            <w:tcW w:w="435" w:type="dxa"/>
          </w:tcPr>
          <w:p w14:paraId="02136E52" w14:textId="77777777" w:rsidR="00E964DF" w:rsidRPr="002C75D2" w:rsidRDefault="00E964DF" w:rsidP="00C31046">
            <w:pPr>
              <w:rPr>
                <w:sz w:val="20"/>
                <w:szCs w:val="20"/>
              </w:rPr>
            </w:pPr>
            <w:r w:rsidRPr="002C75D2">
              <w:rPr>
                <w:sz w:val="20"/>
                <w:szCs w:val="20"/>
              </w:rPr>
              <w:t>50</w:t>
            </w:r>
          </w:p>
        </w:tc>
        <w:tc>
          <w:tcPr>
            <w:tcW w:w="435" w:type="dxa"/>
          </w:tcPr>
          <w:p w14:paraId="3E7BE6AD" w14:textId="77777777" w:rsidR="00E964DF" w:rsidRPr="002C75D2" w:rsidRDefault="00E964DF" w:rsidP="00C31046">
            <w:pPr>
              <w:rPr>
                <w:sz w:val="20"/>
                <w:szCs w:val="20"/>
              </w:rPr>
            </w:pPr>
            <w:r w:rsidRPr="002C75D2">
              <w:rPr>
                <w:sz w:val="20"/>
                <w:szCs w:val="20"/>
              </w:rPr>
              <w:t>60</w:t>
            </w:r>
          </w:p>
        </w:tc>
        <w:tc>
          <w:tcPr>
            <w:tcW w:w="435" w:type="dxa"/>
          </w:tcPr>
          <w:p w14:paraId="324D5F1B" w14:textId="77777777" w:rsidR="00E964DF" w:rsidRPr="002C75D2" w:rsidRDefault="00E964DF" w:rsidP="00C31046">
            <w:pPr>
              <w:rPr>
                <w:sz w:val="20"/>
                <w:szCs w:val="20"/>
              </w:rPr>
            </w:pPr>
            <w:r w:rsidRPr="002C75D2">
              <w:rPr>
                <w:sz w:val="20"/>
                <w:szCs w:val="20"/>
              </w:rPr>
              <w:t>70</w:t>
            </w:r>
          </w:p>
        </w:tc>
        <w:tc>
          <w:tcPr>
            <w:tcW w:w="435" w:type="dxa"/>
          </w:tcPr>
          <w:p w14:paraId="5D465AA2" w14:textId="77777777" w:rsidR="00E964DF" w:rsidRPr="002C75D2" w:rsidRDefault="00E964DF" w:rsidP="00C31046">
            <w:pPr>
              <w:rPr>
                <w:sz w:val="20"/>
                <w:szCs w:val="20"/>
              </w:rPr>
            </w:pPr>
            <w:r w:rsidRPr="002C75D2">
              <w:rPr>
                <w:sz w:val="20"/>
                <w:szCs w:val="20"/>
              </w:rPr>
              <w:t>80</w:t>
            </w:r>
          </w:p>
        </w:tc>
        <w:tc>
          <w:tcPr>
            <w:tcW w:w="435" w:type="dxa"/>
          </w:tcPr>
          <w:p w14:paraId="6F0FF228" w14:textId="77777777" w:rsidR="00E964DF" w:rsidRPr="002C75D2" w:rsidRDefault="00E964DF" w:rsidP="00C31046">
            <w:pPr>
              <w:rPr>
                <w:sz w:val="20"/>
                <w:szCs w:val="20"/>
              </w:rPr>
            </w:pPr>
            <w:r w:rsidRPr="002C75D2">
              <w:rPr>
                <w:sz w:val="20"/>
                <w:szCs w:val="20"/>
              </w:rPr>
              <w:t>90</w:t>
            </w:r>
          </w:p>
        </w:tc>
        <w:tc>
          <w:tcPr>
            <w:tcW w:w="435" w:type="dxa"/>
          </w:tcPr>
          <w:p w14:paraId="51C9EBA8" w14:textId="77777777" w:rsidR="00E964DF" w:rsidRPr="002C75D2" w:rsidRDefault="00E964DF" w:rsidP="00C31046">
            <w:pPr>
              <w:rPr>
                <w:sz w:val="20"/>
                <w:szCs w:val="20"/>
              </w:rPr>
            </w:pPr>
            <w:r w:rsidRPr="002C75D2">
              <w:rPr>
                <w:sz w:val="20"/>
                <w:szCs w:val="20"/>
              </w:rPr>
              <w:t>100</w:t>
            </w:r>
          </w:p>
        </w:tc>
      </w:tr>
    </w:tbl>
    <w:p w14:paraId="3B32F5F6" w14:textId="77777777" w:rsidR="00E964DF" w:rsidRPr="002C75D2" w:rsidRDefault="00E964DF" w:rsidP="00E964DF">
      <w:pPr>
        <w:rPr>
          <w:sz w:val="20"/>
          <w:szCs w:val="20"/>
        </w:rPr>
      </w:pPr>
    </w:p>
    <w:tbl>
      <w:tblPr>
        <w:tblStyle w:val="QStandardSliderTable"/>
        <w:tblpPr w:leftFromText="180" w:rightFromText="180" w:vertAnchor="text" w:tblpY="1"/>
        <w:tblOverlap w:val="never"/>
        <w:tblW w:w="9576" w:type="auto"/>
        <w:tblLook w:val="07E0" w:firstRow="1" w:lastRow="1" w:firstColumn="1" w:lastColumn="1" w:noHBand="1" w:noVBand="1"/>
      </w:tblPr>
      <w:tblGrid>
        <w:gridCol w:w="3860"/>
        <w:gridCol w:w="4338"/>
      </w:tblGrid>
      <w:tr w:rsidR="00E964DF" w:rsidRPr="00E964DF" w14:paraId="5CD05B24"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2D12B2F6" w14:textId="77777777" w:rsidR="00E964DF" w:rsidRPr="002C75D2" w:rsidRDefault="00E964DF" w:rsidP="00CE04C8">
            <w:pPr>
              <w:keepNext/>
              <w:rPr>
                <w:sz w:val="20"/>
              </w:rPr>
            </w:pPr>
            <w:r w:rsidRPr="002C75D2">
              <w:rPr>
                <w:sz w:val="20"/>
              </w:rPr>
              <w:t>Reviewing depression levels</w:t>
            </w:r>
          </w:p>
        </w:tc>
        <w:tc>
          <w:tcPr>
            <w:tcW w:w="4788" w:type="dxa"/>
          </w:tcPr>
          <w:p w14:paraId="416863FB"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F19C883" wp14:editId="5B2E1484">
                  <wp:extent cx="1905000" cy="304800"/>
                  <wp:effectExtent l="0" t="0" r="0" b="0"/>
                  <wp:docPr id="3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4071E9F"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0454E71" w14:textId="77777777" w:rsidR="00E964DF" w:rsidRPr="002C75D2" w:rsidRDefault="00E964DF" w:rsidP="00CE04C8">
            <w:pPr>
              <w:keepNext/>
              <w:rPr>
                <w:sz w:val="20"/>
              </w:rPr>
            </w:pPr>
            <w:r w:rsidRPr="002C75D2">
              <w:rPr>
                <w:sz w:val="20"/>
              </w:rPr>
              <w:t>Education into the CBT model</w:t>
            </w:r>
          </w:p>
        </w:tc>
        <w:tc>
          <w:tcPr>
            <w:tcW w:w="4788" w:type="dxa"/>
          </w:tcPr>
          <w:p w14:paraId="3DDF2123"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1D5FE5F" wp14:editId="598C43FF">
                  <wp:extent cx="1905000" cy="304800"/>
                  <wp:effectExtent l="0" t="0" r="0" b="0"/>
                  <wp:docPr id="3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E437FE8"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02E8A9D" w14:textId="77777777" w:rsidR="00E964DF" w:rsidRPr="002C75D2" w:rsidRDefault="00E964DF" w:rsidP="00CE04C8">
            <w:pPr>
              <w:keepNext/>
              <w:rPr>
                <w:sz w:val="20"/>
              </w:rPr>
            </w:pPr>
            <w:r w:rsidRPr="002C75D2">
              <w:rPr>
                <w:sz w:val="20"/>
              </w:rPr>
              <w:t>Agenda setting</w:t>
            </w:r>
          </w:p>
        </w:tc>
        <w:tc>
          <w:tcPr>
            <w:tcW w:w="4788" w:type="dxa"/>
          </w:tcPr>
          <w:p w14:paraId="64885C22"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5198465" wp14:editId="6EF91312">
                  <wp:extent cx="1905000" cy="304800"/>
                  <wp:effectExtent l="0" t="0" r="0" b="0"/>
                  <wp:docPr id="4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99C55CE"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E8ED546" w14:textId="77777777" w:rsidR="00E964DF" w:rsidRPr="002C75D2" w:rsidRDefault="00E964DF" w:rsidP="00CE04C8">
            <w:pPr>
              <w:keepNext/>
              <w:rPr>
                <w:sz w:val="20"/>
              </w:rPr>
            </w:pPr>
            <w:r w:rsidRPr="002C75D2">
              <w:rPr>
                <w:sz w:val="20"/>
              </w:rPr>
              <w:t>Socratic questioning</w:t>
            </w:r>
          </w:p>
        </w:tc>
        <w:tc>
          <w:tcPr>
            <w:tcW w:w="4788" w:type="dxa"/>
          </w:tcPr>
          <w:p w14:paraId="2898D126"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45D8775" wp14:editId="73227F53">
                  <wp:extent cx="1905000" cy="304800"/>
                  <wp:effectExtent l="0" t="0" r="0" b="0"/>
                  <wp:docPr id="4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2DDD089"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D947FC0" w14:textId="77777777" w:rsidR="00E964DF" w:rsidRPr="002C75D2" w:rsidRDefault="00E964DF" w:rsidP="00CE04C8">
            <w:pPr>
              <w:keepNext/>
              <w:rPr>
                <w:sz w:val="20"/>
              </w:rPr>
            </w:pPr>
            <w:r w:rsidRPr="002C75D2">
              <w:rPr>
                <w:sz w:val="20"/>
              </w:rPr>
              <w:t>Linking cognitions, emotions and behaviour</w:t>
            </w:r>
          </w:p>
        </w:tc>
        <w:tc>
          <w:tcPr>
            <w:tcW w:w="4788" w:type="dxa"/>
          </w:tcPr>
          <w:p w14:paraId="54F5C044"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D7B7B9B" wp14:editId="5541A4E0">
                  <wp:extent cx="1905000" cy="304800"/>
                  <wp:effectExtent l="0" t="0" r="0" b="0"/>
                  <wp:docPr id="4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72E9847"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295FDD2" w14:textId="77777777" w:rsidR="00E964DF" w:rsidRPr="002C75D2" w:rsidRDefault="00E964DF" w:rsidP="00CE04C8">
            <w:pPr>
              <w:keepNext/>
              <w:rPr>
                <w:sz w:val="20"/>
              </w:rPr>
            </w:pPr>
            <w:r w:rsidRPr="002C75D2">
              <w:rPr>
                <w:sz w:val="20"/>
              </w:rPr>
              <w:t>Detection and recording of negative automatic thoughts</w:t>
            </w:r>
          </w:p>
        </w:tc>
        <w:tc>
          <w:tcPr>
            <w:tcW w:w="4788" w:type="dxa"/>
          </w:tcPr>
          <w:p w14:paraId="0F374A6B"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25F0EB9" wp14:editId="23C4B7E2">
                  <wp:extent cx="1905000" cy="304800"/>
                  <wp:effectExtent l="0" t="0" r="0" b="0"/>
                  <wp:docPr id="4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A017AEB"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3194B87B" w14:textId="77777777" w:rsidR="00E964DF" w:rsidRPr="002C75D2" w:rsidRDefault="00E964DF" w:rsidP="00CE04C8">
            <w:pPr>
              <w:keepNext/>
              <w:rPr>
                <w:sz w:val="20"/>
              </w:rPr>
            </w:pPr>
            <w:r w:rsidRPr="002C75D2">
              <w:rPr>
                <w:sz w:val="20"/>
              </w:rPr>
              <w:t>Clarify dysfunctional assumptions</w:t>
            </w:r>
          </w:p>
        </w:tc>
        <w:tc>
          <w:tcPr>
            <w:tcW w:w="4788" w:type="dxa"/>
          </w:tcPr>
          <w:p w14:paraId="3176149C"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4CCF296D" wp14:editId="427509A6">
                  <wp:extent cx="1905000" cy="304800"/>
                  <wp:effectExtent l="0" t="0" r="0" b="0"/>
                  <wp:docPr id="4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EB5026D"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5D53F78" w14:textId="77777777" w:rsidR="00E964DF" w:rsidRPr="002C75D2" w:rsidRDefault="00E964DF" w:rsidP="00CE04C8">
            <w:pPr>
              <w:keepNext/>
              <w:rPr>
                <w:sz w:val="20"/>
              </w:rPr>
            </w:pPr>
            <w:r w:rsidRPr="002C75D2">
              <w:rPr>
                <w:sz w:val="20"/>
              </w:rPr>
              <w:t>Develop alternative hypotheses about cognitive distortions</w:t>
            </w:r>
          </w:p>
        </w:tc>
        <w:tc>
          <w:tcPr>
            <w:tcW w:w="4788" w:type="dxa"/>
          </w:tcPr>
          <w:p w14:paraId="20F0BDFB"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EFFF0FC" wp14:editId="5BCCB88E">
                  <wp:extent cx="1905000" cy="304800"/>
                  <wp:effectExtent l="0" t="0" r="0" b="0"/>
                  <wp:docPr id="4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6EDCB9F"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12AEAF0" w14:textId="77777777" w:rsidR="00E964DF" w:rsidRPr="002C75D2" w:rsidRDefault="00E964DF" w:rsidP="00CE04C8">
            <w:pPr>
              <w:keepNext/>
              <w:rPr>
                <w:sz w:val="20"/>
              </w:rPr>
            </w:pPr>
            <w:r w:rsidRPr="002C75D2">
              <w:rPr>
                <w:sz w:val="20"/>
              </w:rPr>
              <w:t>Behavioural activation</w:t>
            </w:r>
          </w:p>
        </w:tc>
        <w:tc>
          <w:tcPr>
            <w:tcW w:w="4788" w:type="dxa"/>
          </w:tcPr>
          <w:p w14:paraId="3683BCC6"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7D10497" wp14:editId="08A9E901">
                  <wp:extent cx="1905000" cy="304800"/>
                  <wp:effectExtent l="0" t="0" r="0" b="0"/>
                  <wp:docPr id="4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7A18BD3"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BA98ED8" w14:textId="77777777" w:rsidR="00E964DF" w:rsidRPr="002C75D2" w:rsidRDefault="00E964DF" w:rsidP="00CE04C8">
            <w:pPr>
              <w:keepNext/>
              <w:rPr>
                <w:sz w:val="20"/>
              </w:rPr>
            </w:pPr>
            <w:r w:rsidRPr="002C75D2">
              <w:rPr>
                <w:sz w:val="20"/>
              </w:rPr>
              <w:t>Mindfulness</w:t>
            </w:r>
          </w:p>
        </w:tc>
        <w:tc>
          <w:tcPr>
            <w:tcW w:w="4788" w:type="dxa"/>
          </w:tcPr>
          <w:p w14:paraId="52D9C684"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95C7E29" wp14:editId="6C60F0F0">
                  <wp:extent cx="1905000" cy="304800"/>
                  <wp:effectExtent l="0" t="0" r="0" b="0"/>
                  <wp:docPr id="4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E3007D2"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B7DD745" w14:textId="77777777" w:rsidR="00E964DF" w:rsidRPr="002C75D2" w:rsidRDefault="00E964DF" w:rsidP="00CE04C8">
            <w:pPr>
              <w:keepNext/>
              <w:rPr>
                <w:sz w:val="20"/>
              </w:rPr>
            </w:pPr>
            <w:r w:rsidRPr="002C75D2">
              <w:rPr>
                <w:sz w:val="20"/>
              </w:rPr>
              <w:t>Eye Movement Desensitisation and Reprocessing (EMDR)</w:t>
            </w:r>
          </w:p>
        </w:tc>
        <w:tc>
          <w:tcPr>
            <w:tcW w:w="4788" w:type="dxa"/>
          </w:tcPr>
          <w:p w14:paraId="05B8660F"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E0825BD" wp14:editId="799CBBEB">
                  <wp:extent cx="1905000" cy="304800"/>
                  <wp:effectExtent l="0" t="0" r="0" b="0"/>
                  <wp:docPr id="4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C9A3AE3"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3A8C9DF" w14:textId="77777777" w:rsidR="00E964DF" w:rsidRPr="002C75D2" w:rsidRDefault="00E964DF" w:rsidP="00CE04C8">
            <w:pPr>
              <w:keepNext/>
              <w:rPr>
                <w:sz w:val="20"/>
              </w:rPr>
            </w:pPr>
            <w:r w:rsidRPr="002C75D2">
              <w:rPr>
                <w:sz w:val="20"/>
              </w:rPr>
              <w:t>Response to feedback from patient</w:t>
            </w:r>
          </w:p>
        </w:tc>
        <w:tc>
          <w:tcPr>
            <w:tcW w:w="4788" w:type="dxa"/>
          </w:tcPr>
          <w:p w14:paraId="5D554DE5"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CE214AB" wp14:editId="583FA5FB">
                  <wp:extent cx="1905000" cy="304800"/>
                  <wp:effectExtent l="0" t="0" r="0" b="0"/>
                  <wp:docPr id="4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1D9BD9A"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33D1D123" w14:textId="77777777" w:rsidR="00E964DF" w:rsidRPr="002C75D2" w:rsidRDefault="00E964DF" w:rsidP="00CE04C8">
            <w:pPr>
              <w:keepNext/>
              <w:rPr>
                <w:sz w:val="20"/>
              </w:rPr>
            </w:pPr>
            <w:r w:rsidRPr="002C75D2">
              <w:rPr>
                <w:sz w:val="20"/>
              </w:rPr>
              <w:t>Discussion of thought records</w:t>
            </w:r>
          </w:p>
        </w:tc>
        <w:tc>
          <w:tcPr>
            <w:tcW w:w="4788" w:type="dxa"/>
          </w:tcPr>
          <w:p w14:paraId="1350E7CF"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CCF816D" wp14:editId="5FA4F402">
                  <wp:extent cx="1905000" cy="304800"/>
                  <wp:effectExtent l="0" t="0" r="0" b="0"/>
                  <wp:docPr id="5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007FC24"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394B88C6" w14:textId="77777777" w:rsidR="00E964DF" w:rsidRPr="002C75D2" w:rsidRDefault="00E964DF" w:rsidP="00CE04C8">
            <w:pPr>
              <w:keepNext/>
              <w:rPr>
                <w:sz w:val="20"/>
              </w:rPr>
            </w:pPr>
            <w:r w:rsidRPr="002C75D2">
              <w:rPr>
                <w:sz w:val="20"/>
              </w:rPr>
              <w:lastRenderedPageBreak/>
              <w:t>Review other homework tasks</w:t>
            </w:r>
          </w:p>
        </w:tc>
        <w:tc>
          <w:tcPr>
            <w:tcW w:w="4788" w:type="dxa"/>
          </w:tcPr>
          <w:p w14:paraId="21CAE6E1"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631E085" wp14:editId="527F2874">
                  <wp:extent cx="1905000" cy="304800"/>
                  <wp:effectExtent l="0" t="0" r="0" b="0"/>
                  <wp:docPr id="5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DFD5739"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D609F9C" w14:textId="77777777" w:rsidR="00E964DF" w:rsidRPr="002C75D2" w:rsidRDefault="00E964DF" w:rsidP="00CE04C8">
            <w:pPr>
              <w:keepNext/>
              <w:rPr>
                <w:sz w:val="20"/>
              </w:rPr>
            </w:pPr>
            <w:r w:rsidRPr="002C75D2">
              <w:rPr>
                <w:sz w:val="20"/>
              </w:rPr>
              <w:t>Testing alternative hypotheses via behavioural experiments</w:t>
            </w:r>
          </w:p>
        </w:tc>
        <w:tc>
          <w:tcPr>
            <w:tcW w:w="4788" w:type="dxa"/>
          </w:tcPr>
          <w:p w14:paraId="0ED7F5CC"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33FD7AF" wp14:editId="734243D7">
                  <wp:extent cx="1905000" cy="304800"/>
                  <wp:effectExtent l="0" t="0" r="0" b="0"/>
                  <wp:docPr id="5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D14598C"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4B07DD74" w14:textId="77777777" w:rsidR="00E964DF" w:rsidRPr="002C75D2" w:rsidRDefault="00E964DF" w:rsidP="00CE04C8">
            <w:pPr>
              <w:keepNext/>
              <w:rPr>
                <w:sz w:val="20"/>
              </w:rPr>
            </w:pPr>
            <w:r w:rsidRPr="002C75D2">
              <w:rPr>
                <w:sz w:val="20"/>
              </w:rPr>
              <w:t>Cognitive rehearsal</w:t>
            </w:r>
          </w:p>
        </w:tc>
        <w:tc>
          <w:tcPr>
            <w:tcW w:w="4788" w:type="dxa"/>
          </w:tcPr>
          <w:p w14:paraId="07C78A61"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0318544" wp14:editId="16D26CC7">
                  <wp:extent cx="1905000" cy="304800"/>
                  <wp:effectExtent l="0" t="0" r="0" b="0"/>
                  <wp:docPr id="5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2D56F2F"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0BC0D13" w14:textId="77777777" w:rsidR="00E964DF" w:rsidRPr="002C75D2" w:rsidRDefault="00E964DF" w:rsidP="00CE04C8">
            <w:pPr>
              <w:keepNext/>
              <w:rPr>
                <w:sz w:val="20"/>
              </w:rPr>
            </w:pPr>
            <w:r w:rsidRPr="002C75D2">
              <w:rPr>
                <w:sz w:val="20"/>
              </w:rPr>
              <w:t>Assertiveness training</w:t>
            </w:r>
          </w:p>
        </w:tc>
        <w:tc>
          <w:tcPr>
            <w:tcW w:w="4788" w:type="dxa"/>
          </w:tcPr>
          <w:p w14:paraId="294E7B1A"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1A3D76D" wp14:editId="258C2EDD">
                  <wp:extent cx="1905000" cy="304800"/>
                  <wp:effectExtent l="0" t="0" r="0" b="0"/>
                  <wp:docPr id="5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C402D75"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11736A5" w14:textId="77777777" w:rsidR="00E964DF" w:rsidRPr="002C75D2" w:rsidRDefault="00E964DF" w:rsidP="00CE04C8">
            <w:pPr>
              <w:keepNext/>
              <w:rPr>
                <w:sz w:val="20"/>
              </w:rPr>
            </w:pPr>
            <w:r w:rsidRPr="002C75D2">
              <w:rPr>
                <w:sz w:val="20"/>
              </w:rPr>
              <w:t>Use of reattribution</w:t>
            </w:r>
          </w:p>
        </w:tc>
        <w:tc>
          <w:tcPr>
            <w:tcW w:w="4788" w:type="dxa"/>
          </w:tcPr>
          <w:p w14:paraId="4297FFE1"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DEEABF4" wp14:editId="1847770D">
                  <wp:extent cx="1905000" cy="304800"/>
                  <wp:effectExtent l="0" t="0" r="0" b="0"/>
                  <wp:docPr id="5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92C1F3A"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251CCFBA" w14:textId="77777777" w:rsidR="00E964DF" w:rsidRPr="002C75D2" w:rsidRDefault="00E964DF" w:rsidP="00CE04C8">
            <w:pPr>
              <w:keepNext/>
              <w:rPr>
                <w:sz w:val="20"/>
              </w:rPr>
            </w:pPr>
            <w:r w:rsidRPr="002C75D2">
              <w:rPr>
                <w:sz w:val="20"/>
              </w:rPr>
              <w:t>Relapse prevention techniques</w:t>
            </w:r>
          </w:p>
        </w:tc>
        <w:tc>
          <w:tcPr>
            <w:tcW w:w="4788" w:type="dxa"/>
          </w:tcPr>
          <w:p w14:paraId="5D59CD76"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8AEE52C" wp14:editId="389A8C58">
                  <wp:extent cx="1905000" cy="304800"/>
                  <wp:effectExtent l="0" t="0" r="0" b="0"/>
                  <wp:docPr id="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D011C06"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0CB6DB7A" w14:textId="77777777" w:rsidR="00E964DF" w:rsidRPr="002C75D2" w:rsidRDefault="00E964DF" w:rsidP="00CE04C8">
            <w:pPr>
              <w:keepNext/>
              <w:rPr>
                <w:sz w:val="20"/>
              </w:rPr>
            </w:pPr>
            <w:r w:rsidRPr="002C75D2">
              <w:rPr>
                <w:sz w:val="20"/>
              </w:rPr>
              <w:t>Other (please indicate)</w:t>
            </w:r>
          </w:p>
        </w:tc>
        <w:tc>
          <w:tcPr>
            <w:tcW w:w="4788" w:type="dxa"/>
          </w:tcPr>
          <w:p w14:paraId="5E0E7DE8" w14:textId="77777777" w:rsidR="00E964DF" w:rsidRPr="002C75D2" w:rsidRDefault="00E964DF" w:rsidP="00CE04C8">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C06F120" wp14:editId="515D1458">
                  <wp:extent cx="1905000" cy="304800"/>
                  <wp:effectExtent l="0" t="0" r="0" b="0"/>
                  <wp:docPr id="5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5E9CFDDA" w14:textId="77777777" w:rsidR="00E964DF" w:rsidRPr="002C75D2" w:rsidRDefault="00E964DF" w:rsidP="00E964DF">
      <w:pPr>
        <w:rPr>
          <w:sz w:val="20"/>
          <w:szCs w:val="20"/>
        </w:rPr>
      </w:pPr>
    </w:p>
    <w:p w14:paraId="7D1CAD5C" w14:textId="77777777" w:rsidR="00CE04C8" w:rsidRDefault="00CE04C8" w:rsidP="00E964DF">
      <w:pPr>
        <w:keepNext/>
        <w:rPr>
          <w:sz w:val="20"/>
          <w:szCs w:val="20"/>
        </w:rPr>
      </w:pPr>
    </w:p>
    <w:p w14:paraId="73542637" w14:textId="77777777" w:rsidR="00CE04C8" w:rsidRDefault="00CE04C8" w:rsidP="00E964DF">
      <w:pPr>
        <w:keepNext/>
        <w:rPr>
          <w:sz w:val="20"/>
          <w:szCs w:val="20"/>
        </w:rPr>
      </w:pPr>
    </w:p>
    <w:p w14:paraId="189DCE38" w14:textId="77777777" w:rsidR="00CE04C8" w:rsidRDefault="00CE04C8" w:rsidP="00E964DF">
      <w:pPr>
        <w:keepNext/>
        <w:rPr>
          <w:sz w:val="20"/>
          <w:szCs w:val="20"/>
        </w:rPr>
      </w:pPr>
    </w:p>
    <w:p w14:paraId="13CA6702" w14:textId="77777777" w:rsidR="00CE04C8" w:rsidRDefault="00CE04C8" w:rsidP="00E964DF">
      <w:pPr>
        <w:keepNext/>
        <w:rPr>
          <w:sz w:val="20"/>
          <w:szCs w:val="20"/>
        </w:rPr>
      </w:pPr>
    </w:p>
    <w:p w14:paraId="26686B95" w14:textId="77777777" w:rsidR="00CE04C8" w:rsidRDefault="00CE04C8" w:rsidP="00E964DF">
      <w:pPr>
        <w:keepNext/>
        <w:rPr>
          <w:sz w:val="20"/>
          <w:szCs w:val="20"/>
        </w:rPr>
      </w:pPr>
    </w:p>
    <w:p w14:paraId="782A7372" w14:textId="77777777" w:rsidR="00CE04C8" w:rsidRDefault="00CE04C8" w:rsidP="00E964DF">
      <w:pPr>
        <w:keepNext/>
        <w:rPr>
          <w:sz w:val="20"/>
          <w:szCs w:val="20"/>
        </w:rPr>
      </w:pPr>
    </w:p>
    <w:p w14:paraId="78310352" w14:textId="77777777" w:rsidR="00CE04C8" w:rsidRDefault="00CE04C8" w:rsidP="00E964DF">
      <w:pPr>
        <w:keepNext/>
        <w:rPr>
          <w:sz w:val="20"/>
          <w:szCs w:val="20"/>
        </w:rPr>
      </w:pPr>
    </w:p>
    <w:p w14:paraId="739B996F" w14:textId="77777777" w:rsidR="00CE04C8" w:rsidRDefault="00CE04C8" w:rsidP="00E964DF">
      <w:pPr>
        <w:keepNext/>
        <w:rPr>
          <w:sz w:val="20"/>
          <w:szCs w:val="20"/>
        </w:rPr>
      </w:pPr>
    </w:p>
    <w:p w14:paraId="4BFA24D2" w14:textId="77777777" w:rsidR="00CE04C8" w:rsidRDefault="00CE04C8" w:rsidP="00E964DF">
      <w:pPr>
        <w:keepNext/>
        <w:rPr>
          <w:sz w:val="20"/>
          <w:szCs w:val="20"/>
        </w:rPr>
      </w:pPr>
    </w:p>
    <w:p w14:paraId="47C36EC9" w14:textId="55843535" w:rsidR="00E964DF" w:rsidRPr="002C75D2" w:rsidRDefault="00E964DF" w:rsidP="00E964DF">
      <w:pPr>
        <w:keepNext/>
        <w:rPr>
          <w:sz w:val="20"/>
          <w:szCs w:val="20"/>
        </w:rPr>
      </w:pPr>
      <w:r w:rsidRPr="002C75D2">
        <w:rPr>
          <w:sz w:val="20"/>
          <w:szCs w:val="20"/>
        </w:rPr>
        <w:t xml:space="preserve">To what extent would you focus on these </w:t>
      </w:r>
      <w:r w:rsidRPr="002C75D2">
        <w:rPr>
          <w:b/>
          <w:sz w:val="20"/>
          <w:szCs w:val="20"/>
        </w:rPr>
        <w:t xml:space="preserve">other issues </w:t>
      </w:r>
      <w:r w:rsidRPr="002C75D2">
        <w:rPr>
          <w:sz w:val="20"/>
          <w:szCs w:val="20"/>
        </w:rPr>
        <w:t>in supervision?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5510761B" w14:textId="77777777" w:rsidTr="00C31046">
        <w:tc>
          <w:tcPr>
            <w:tcW w:w="4788" w:type="dxa"/>
          </w:tcPr>
          <w:p w14:paraId="2F7DDFA6" w14:textId="77777777" w:rsidR="00E964DF" w:rsidRPr="002C75D2" w:rsidRDefault="00E964DF" w:rsidP="00C31046">
            <w:pPr>
              <w:rPr>
                <w:sz w:val="20"/>
                <w:szCs w:val="20"/>
              </w:rPr>
            </w:pPr>
          </w:p>
        </w:tc>
        <w:tc>
          <w:tcPr>
            <w:tcW w:w="435" w:type="dxa"/>
          </w:tcPr>
          <w:p w14:paraId="0AF9B9DA" w14:textId="77777777" w:rsidR="00E964DF" w:rsidRPr="002C75D2" w:rsidRDefault="00E964DF" w:rsidP="00C31046">
            <w:pPr>
              <w:rPr>
                <w:sz w:val="20"/>
                <w:szCs w:val="20"/>
              </w:rPr>
            </w:pPr>
            <w:r w:rsidRPr="002C75D2">
              <w:rPr>
                <w:sz w:val="20"/>
                <w:szCs w:val="20"/>
              </w:rPr>
              <w:t>0</w:t>
            </w:r>
          </w:p>
        </w:tc>
        <w:tc>
          <w:tcPr>
            <w:tcW w:w="435" w:type="dxa"/>
          </w:tcPr>
          <w:p w14:paraId="295B8BCE" w14:textId="77777777" w:rsidR="00E964DF" w:rsidRPr="002C75D2" w:rsidRDefault="00E964DF" w:rsidP="00C31046">
            <w:pPr>
              <w:rPr>
                <w:sz w:val="20"/>
                <w:szCs w:val="20"/>
              </w:rPr>
            </w:pPr>
            <w:r w:rsidRPr="002C75D2">
              <w:rPr>
                <w:sz w:val="20"/>
                <w:szCs w:val="20"/>
              </w:rPr>
              <w:t>10</w:t>
            </w:r>
          </w:p>
        </w:tc>
        <w:tc>
          <w:tcPr>
            <w:tcW w:w="435" w:type="dxa"/>
          </w:tcPr>
          <w:p w14:paraId="380F2CBC" w14:textId="77777777" w:rsidR="00E964DF" w:rsidRPr="002C75D2" w:rsidRDefault="00E964DF" w:rsidP="00C31046">
            <w:pPr>
              <w:rPr>
                <w:sz w:val="20"/>
                <w:szCs w:val="20"/>
              </w:rPr>
            </w:pPr>
            <w:r w:rsidRPr="002C75D2">
              <w:rPr>
                <w:sz w:val="20"/>
                <w:szCs w:val="20"/>
              </w:rPr>
              <w:t>20</w:t>
            </w:r>
          </w:p>
        </w:tc>
        <w:tc>
          <w:tcPr>
            <w:tcW w:w="435" w:type="dxa"/>
          </w:tcPr>
          <w:p w14:paraId="39340C67" w14:textId="77777777" w:rsidR="00E964DF" w:rsidRPr="002C75D2" w:rsidRDefault="00E964DF" w:rsidP="00C31046">
            <w:pPr>
              <w:rPr>
                <w:sz w:val="20"/>
                <w:szCs w:val="20"/>
              </w:rPr>
            </w:pPr>
            <w:r w:rsidRPr="002C75D2">
              <w:rPr>
                <w:sz w:val="20"/>
                <w:szCs w:val="20"/>
              </w:rPr>
              <w:t>30</w:t>
            </w:r>
          </w:p>
        </w:tc>
        <w:tc>
          <w:tcPr>
            <w:tcW w:w="435" w:type="dxa"/>
          </w:tcPr>
          <w:p w14:paraId="1CCC98AC" w14:textId="77777777" w:rsidR="00E964DF" w:rsidRPr="002C75D2" w:rsidRDefault="00E964DF" w:rsidP="00C31046">
            <w:pPr>
              <w:rPr>
                <w:sz w:val="20"/>
                <w:szCs w:val="20"/>
              </w:rPr>
            </w:pPr>
            <w:r w:rsidRPr="002C75D2">
              <w:rPr>
                <w:sz w:val="20"/>
                <w:szCs w:val="20"/>
              </w:rPr>
              <w:t>40</w:t>
            </w:r>
          </w:p>
        </w:tc>
        <w:tc>
          <w:tcPr>
            <w:tcW w:w="435" w:type="dxa"/>
          </w:tcPr>
          <w:p w14:paraId="7009BC5F" w14:textId="77777777" w:rsidR="00E964DF" w:rsidRPr="002C75D2" w:rsidRDefault="00E964DF" w:rsidP="00C31046">
            <w:pPr>
              <w:rPr>
                <w:sz w:val="20"/>
                <w:szCs w:val="20"/>
              </w:rPr>
            </w:pPr>
            <w:r w:rsidRPr="002C75D2">
              <w:rPr>
                <w:sz w:val="20"/>
                <w:szCs w:val="20"/>
              </w:rPr>
              <w:t>50</w:t>
            </w:r>
          </w:p>
        </w:tc>
        <w:tc>
          <w:tcPr>
            <w:tcW w:w="435" w:type="dxa"/>
          </w:tcPr>
          <w:p w14:paraId="408C8A10" w14:textId="77777777" w:rsidR="00E964DF" w:rsidRPr="002C75D2" w:rsidRDefault="00E964DF" w:rsidP="00C31046">
            <w:pPr>
              <w:rPr>
                <w:sz w:val="20"/>
                <w:szCs w:val="20"/>
              </w:rPr>
            </w:pPr>
            <w:r w:rsidRPr="002C75D2">
              <w:rPr>
                <w:sz w:val="20"/>
                <w:szCs w:val="20"/>
              </w:rPr>
              <w:t>60</w:t>
            </w:r>
          </w:p>
        </w:tc>
        <w:tc>
          <w:tcPr>
            <w:tcW w:w="435" w:type="dxa"/>
          </w:tcPr>
          <w:p w14:paraId="6A9963E6" w14:textId="77777777" w:rsidR="00E964DF" w:rsidRPr="002C75D2" w:rsidRDefault="00E964DF" w:rsidP="00C31046">
            <w:pPr>
              <w:rPr>
                <w:sz w:val="20"/>
                <w:szCs w:val="20"/>
              </w:rPr>
            </w:pPr>
            <w:r w:rsidRPr="002C75D2">
              <w:rPr>
                <w:sz w:val="20"/>
                <w:szCs w:val="20"/>
              </w:rPr>
              <w:t>70</w:t>
            </w:r>
          </w:p>
        </w:tc>
        <w:tc>
          <w:tcPr>
            <w:tcW w:w="435" w:type="dxa"/>
          </w:tcPr>
          <w:p w14:paraId="199A5176" w14:textId="77777777" w:rsidR="00E964DF" w:rsidRPr="002C75D2" w:rsidRDefault="00E964DF" w:rsidP="00C31046">
            <w:pPr>
              <w:rPr>
                <w:sz w:val="20"/>
                <w:szCs w:val="20"/>
              </w:rPr>
            </w:pPr>
            <w:r w:rsidRPr="002C75D2">
              <w:rPr>
                <w:sz w:val="20"/>
                <w:szCs w:val="20"/>
              </w:rPr>
              <w:t>80</w:t>
            </w:r>
          </w:p>
        </w:tc>
        <w:tc>
          <w:tcPr>
            <w:tcW w:w="435" w:type="dxa"/>
          </w:tcPr>
          <w:p w14:paraId="5033ECB7" w14:textId="77777777" w:rsidR="00E964DF" w:rsidRPr="002C75D2" w:rsidRDefault="00E964DF" w:rsidP="00C31046">
            <w:pPr>
              <w:rPr>
                <w:sz w:val="20"/>
                <w:szCs w:val="20"/>
              </w:rPr>
            </w:pPr>
            <w:r w:rsidRPr="002C75D2">
              <w:rPr>
                <w:sz w:val="20"/>
                <w:szCs w:val="20"/>
              </w:rPr>
              <w:t>90</w:t>
            </w:r>
          </w:p>
        </w:tc>
        <w:tc>
          <w:tcPr>
            <w:tcW w:w="435" w:type="dxa"/>
          </w:tcPr>
          <w:p w14:paraId="730D01F1" w14:textId="77777777" w:rsidR="00E964DF" w:rsidRPr="002C75D2" w:rsidRDefault="00E964DF" w:rsidP="00C31046">
            <w:pPr>
              <w:rPr>
                <w:sz w:val="20"/>
                <w:szCs w:val="20"/>
              </w:rPr>
            </w:pPr>
            <w:r w:rsidRPr="002C75D2">
              <w:rPr>
                <w:sz w:val="20"/>
                <w:szCs w:val="20"/>
              </w:rPr>
              <w:t>100</w:t>
            </w:r>
          </w:p>
        </w:tc>
      </w:tr>
    </w:tbl>
    <w:p w14:paraId="738FD7E0"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984"/>
        <w:gridCol w:w="4214"/>
      </w:tblGrid>
      <w:tr w:rsidR="00E964DF" w:rsidRPr="00E964DF" w14:paraId="6D2454A9"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7059A60E" w14:textId="77777777" w:rsidR="00E964DF" w:rsidRPr="002C75D2" w:rsidRDefault="00E964DF" w:rsidP="00C31046">
            <w:pPr>
              <w:keepNext/>
              <w:rPr>
                <w:sz w:val="20"/>
              </w:rPr>
            </w:pPr>
            <w:r w:rsidRPr="002C75D2">
              <w:rPr>
                <w:sz w:val="20"/>
              </w:rPr>
              <w:t>Focus on risk (to the patient or others)</w:t>
            </w:r>
          </w:p>
        </w:tc>
        <w:tc>
          <w:tcPr>
            <w:tcW w:w="4788" w:type="dxa"/>
          </w:tcPr>
          <w:p w14:paraId="3A4466B1"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AE244E3" wp14:editId="5579BF43">
                  <wp:extent cx="1905000" cy="304800"/>
                  <wp:effectExtent l="0" t="0" r="0" b="0"/>
                  <wp:docPr id="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446BD1C"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25D0D8B9" w14:textId="77777777" w:rsidR="00E964DF" w:rsidRPr="002C75D2" w:rsidRDefault="00E964DF" w:rsidP="00C31046">
            <w:pPr>
              <w:keepNext/>
              <w:rPr>
                <w:sz w:val="20"/>
              </w:rPr>
            </w:pPr>
            <w:r w:rsidRPr="002C75D2">
              <w:rPr>
                <w:sz w:val="20"/>
              </w:rPr>
              <w:t>Focus on the patient's capacity to use treatment and benefit from it</w:t>
            </w:r>
          </w:p>
        </w:tc>
        <w:tc>
          <w:tcPr>
            <w:tcW w:w="4788" w:type="dxa"/>
          </w:tcPr>
          <w:p w14:paraId="5816F876"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AAB3E7D" wp14:editId="56891062">
                  <wp:extent cx="1905000" cy="304800"/>
                  <wp:effectExtent l="0" t="0" r="0" b="0"/>
                  <wp:docPr id="5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C4583FB"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28D1806A" w14:textId="77777777" w:rsidR="00E964DF" w:rsidRPr="002C75D2" w:rsidRDefault="00E964DF" w:rsidP="00C31046">
            <w:pPr>
              <w:keepNext/>
              <w:rPr>
                <w:sz w:val="20"/>
              </w:rPr>
            </w:pPr>
            <w:r w:rsidRPr="002C75D2">
              <w:rPr>
                <w:sz w:val="20"/>
              </w:rPr>
              <w:t>Focus on the patient's week</w:t>
            </w:r>
          </w:p>
        </w:tc>
        <w:tc>
          <w:tcPr>
            <w:tcW w:w="4788" w:type="dxa"/>
          </w:tcPr>
          <w:p w14:paraId="0838208D"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3466AAC" wp14:editId="1F7737FB">
                  <wp:extent cx="1905000" cy="304800"/>
                  <wp:effectExtent l="0" t="0" r="0" b="0"/>
                  <wp:docPr id="6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B130433"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41E52E51" w14:textId="77777777" w:rsidR="00E964DF" w:rsidRPr="002C75D2" w:rsidRDefault="00E964DF" w:rsidP="00C31046">
            <w:pPr>
              <w:keepNext/>
              <w:rPr>
                <w:sz w:val="20"/>
              </w:rPr>
            </w:pPr>
            <w:r w:rsidRPr="002C75D2">
              <w:rPr>
                <w:sz w:val="20"/>
              </w:rPr>
              <w:t>Encouragement/motivation of the clinician to remain on task</w:t>
            </w:r>
          </w:p>
        </w:tc>
        <w:tc>
          <w:tcPr>
            <w:tcW w:w="4788" w:type="dxa"/>
          </w:tcPr>
          <w:p w14:paraId="102EB644"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BAB5673" wp14:editId="37205172">
                  <wp:extent cx="1905000" cy="304800"/>
                  <wp:effectExtent l="0" t="0" r="0" b="0"/>
                  <wp:docPr id="6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4398BD9"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53950CE4" w14:textId="77777777" w:rsidR="00E964DF" w:rsidRPr="002C75D2" w:rsidRDefault="00E964DF" w:rsidP="00C31046">
            <w:pPr>
              <w:keepNext/>
              <w:rPr>
                <w:sz w:val="20"/>
              </w:rPr>
            </w:pPr>
            <w:r w:rsidRPr="002C75D2">
              <w:rPr>
                <w:sz w:val="20"/>
              </w:rPr>
              <w:t>Other (please state)</w:t>
            </w:r>
          </w:p>
        </w:tc>
        <w:tc>
          <w:tcPr>
            <w:tcW w:w="4788" w:type="dxa"/>
          </w:tcPr>
          <w:p w14:paraId="181C641E"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DE149D1" wp14:editId="76D9DB19">
                  <wp:extent cx="1905000" cy="304800"/>
                  <wp:effectExtent l="0" t="0" r="0" b="0"/>
                  <wp:docPr id="6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7EB6B91A" w14:textId="77777777" w:rsidR="00E964DF" w:rsidRPr="002C75D2" w:rsidRDefault="00E964DF" w:rsidP="00E964DF">
      <w:pPr>
        <w:rPr>
          <w:sz w:val="20"/>
          <w:szCs w:val="20"/>
        </w:rPr>
      </w:pPr>
    </w:p>
    <w:p w14:paraId="42E82044" w14:textId="77777777" w:rsidR="00E964DF" w:rsidRPr="002C75D2" w:rsidRDefault="00E964DF" w:rsidP="00E964DF">
      <w:pPr>
        <w:rPr>
          <w:sz w:val="20"/>
          <w:szCs w:val="20"/>
        </w:rPr>
      </w:pPr>
    </w:p>
    <w:p w14:paraId="5E2ABA6D" w14:textId="77777777" w:rsidR="00E964DF" w:rsidRPr="002C75D2" w:rsidRDefault="00E964DF" w:rsidP="00E964DF">
      <w:pPr>
        <w:keepNext/>
        <w:rPr>
          <w:sz w:val="20"/>
          <w:szCs w:val="20"/>
        </w:rPr>
      </w:pPr>
      <w:r w:rsidRPr="002C75D2">
        <w:rPr>
          <w:sz w:val="20"/>
          <w:szCs w:val="20"/>
        </w:rPr>
        <w:t>Susan is 35, and is currently in a relationship that she is unhappy with. She is depressed and socially isolated. Her appetite and sleep are poor and she reports feeling slowed down. She is struggling to find things funny or exciting about life. These symptoms are affecting her ability to do her office job. She has had suicidal ideas, but she is unsure whether she will act upon them, She recently took a small overdose, though she described it as to help her “turn off” for a while. That encouraged her to seek a referral for therapy.</w:t>
      </w:r>
    </w:p>
    <w:p w14:paraId="0C41C3D6" w14:textId="77777777" w:rsidR="00E964DF" w:rsidRPr="002C75D2" w:rsidRDefault="00E964DF" w:rsidP="00E964DF">
      <w:pPr>
        <w:keepNext/>
        <w:rPr>
          <w:sz w:val="20"/>
          <w:szCs w:val="20"/>
        </w:rPr>
      </w:pPr>
      <w:r w:rsidRPr="002C75D2">
        <w:rPr>
          <w:sz w:val="20"/>
          <w:szCs w:val="20"/>
        </w:rPr>
        <w:t>Midway through Susan's course of therapy, the clinician comes to you and outlines her condition. Using the sliders below, please indicate how likely you are to focus on each of the following techniques when giving the clinician advice during supervision.     (Where 0 is 'I would not focus on this' and 100 is 'I would focus entirely on this')      </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039A8A66" w14:textId="77777777" w:rsidTr="00C31046">
        <w:tc>
          <w:tcPr>
            <w:tcW w:w="4788" w:type="dxa"/>
          </w:tcPr>
          <w:p w14:paraId="5202934D" w14:textId="77777777" w:rsidR="00E964DF" w:rsidRPr="002C75D2" w:rsidRDefault="00E964DF" w:rsidP="00C31046">
            <w:pPr>
              <w:rPr>
                <w:sz w:val="20"/>
                <w:szCs w:val="20"/>
              </w:rPr>
            </w:pPr>
          </w:p>
        </w:tc>
        <w:tc>
          <w:tcPr>
            <w:tcW w:w="435" w:type="dxa"/>
          </w:tcPr>
          <w:p w14:paraId="47D9D168" w14:textId="77777777" w:rsidR="00E964DF" w:rsidRPr="002C75D2" w:rsidRDefault="00E964DF" w:rsidP="00C31046">
            <w:pPr>
              <w:rPr>
                <w:sz w:val="20"/>
                <w:szCs w:val="20"/>
              </w:rPr>
            </w:pPr>
            <w:r w:rsidRPr="002C75D2">
              <w:rPr>
                <w:sz w:val="20"/>
                <w:szCs w:val="20"/>
              </w:rPr>
              <w:t>0</w:t>
            </w:r>
          </w:p>
        </w:tc>
        <w:tc>
          <w:tcPr>
            <w:tcW w:w="435" w:type="dxa"/>
          </w:tcPr>
          <w:p w14:paraId="0A4353DB" w14:textId="77777777" w:rsidR="00E964DF" w:rsidRPr="002C75D2" w:rsidRDefault="00E964DF" w:rsidP="00C31046">
            <w:pPr>
              <w:rPr>
                <w:sz w:val="20"/>
                <w:szCs w:val="20"/>
              </w:rPr>
            </w:pPr>
            <w:r w:rsidRPr="002C75D2">
              <w:rPr>
                <w:sz w:val="20"/>
                <w:szCs w:val="20"/>
              </w:rPr>
              <w:t>10</w:t>
            </w:r>
          </w:p>
        </w:tc>
        <w:tc>
          <w:tcPr>
            <w:tcW w:w="435" w:type="dxa"/>
          </w:tcPr>
          <w:p w14:paraId="53F4C090" w14:textId="77777777" w:rsidR="00E964DF" w:rsidRPr="002C75D2" w:rsidRDefault="00E964DF" w:rsidP="00C31046">
            <w:pPr>
              <w:rPr>
                <w:sz w:val="20"/>
                <w:szCs w:val="20"/>
              </w:rPr>
            </w:pPr>
            <w:r w:rsidRPr="002C75D2">
              <w:rPr>
                <w:sz w:val="20"/>
                <w:szCs w:val="20"/>
              </w:rPr>
              <w:t>20</w:t>
            </w:r>
          </w:p>
        </w:tc>
        <w:tc>
          <w:tcPr>
            <w:tcW w:w="435" w:type="dxa"/>
          </w:tcPr>
          <w:p w14:paraId="6F8C4381" w14:textId="77777777" w:rsidR="00E964DF" w:rsidRPr="002C75D2" w:rsidRDefault="00E964DF" w:rsidP="00C31046">
            <w:pPr>
              <w:rPr>
                <w:sz w:val="20"/>
                <w:szCs w:val="20"/>
              </w:rPr>
            </w:pPr>
            <w:r w:rsidRPr="002C75D2">
              <w:rPr>
                <w:sz w:val="20"/>
                <w:szCs w:val="20"/>
              </w:rPr>
              <w:t>30</w:t>
            </w:r>
          </w:p>
        </w:tc>
        <w:tc>
          <w:tcPr>
            <w:tcW w:w="435" w:type="dxa"/>
          </w:tcPr>
          <w:p w14:paraId="73069AFB" w14:textId="77777777" w:rsidR="00E964DF" w:rsidRPr="002C75D2" w:rsidRDefault="00E964DF" w:rsidP="00C31046">
            <w:pPr>
              <w:rPr>
                <w:sz w:val="20"/>
                <w:szCs w:val="20"/>
              </w:rPr>
            </w:pPr>
            <w:r w:rsidRPr="002C75D2">
              <w:rPr>
                <w:sz w:val="20"/>
                <w:szCs w:val="20"/>
              </w:rPr>
              <w:t>40</w:t>
            </w:r>
          </w:p>
        </w:tc>
        <w:tc>
          <w:tcPr>
            <w:tcW w:w="435" w:type="dxa"/>
          </w:tcPr>
          <w:p w14:paraId="5F747768" w14:textId="77777777" w:rsidR="00E964DF" w:rsidRPr="002C75D2" w:rsidRDefault="00E964DF" w:rsidP="00C31046">
            <w:pPr>
              <w:rPr>
                <w:sz w:val="20"/>
                <w:szCs w:val="20"/>
              </w:rPr>
            </w:pPr>
            <w:r w:rsidRPr="002C75D2">
              <w:rPr>
                <w:sz w:val="20"/>
                <w:szCs w:val="20"/>
              </w:rPr>
              <w:t>50</w:t>
            </w:r>
          </w:p>
        </w:tc>
        <w:tc>
          <w:tcPr>
            <w:tcW w:w="435" w:type="dxa"/>
          </w:tcPr>
          <w:p w14:paraId="1215C419" w14:textId="77777777" w:rsidR="00E964DF" w:rsidRPr="002C75D2" w:rsidRDefault="00E964DF" w:rsidP="00C31046">
            <w:pPr>
              <w:rPr>
                <w:sz w:val="20"/>
                <w:szCs w:val="20"/>
              </w:rPr>
            </w:pPr>
            <w:r w:rsidRPr="002C75D2">
              <w:rPr>
                <w:sz w:val="20"/>
                <w:szCs w:val="20"/>
              </w:rPr>
              <w:t>60</w:t>
            </w:r>
          </w:p>
        </w:tc>
        <w:tc>
          <w:tcPr>
            <w:tcW w:w="435" w:type="dxa"/>
          </w:tcPr>
          <w:p w14:paraId="6810BB76" w14:textId="77777777" w:rsidR="00E964DF" w:rsidRPr="002C75D2" w:rsidRDefault="00E964DF" w:rsidP="00C31046">
            <w:pPr>
              <w:rPr>
                <w:sz w:val="20"/>
                <w:szCs w:val="20"/>
              </w:rPr>
            </w:pPr>
            <w:r w:rsidRPr="002C75D2">
              <w:rPr>
                <w:sz w:val="20"/>
                <w:szCs w:val="20"/>
              </w:rPr>
              <w:t>70</w:t>
            </w:r>
          </w:p>
        </w:tc>
        <w:tc>
          <w:tcPr>
            <w:tcW w:w="435" w:type="dxa"/>
          </w:tcPr>
          <w:p w14:paraId="64F4898A" w14:textId="77777777" w:rsidR="00E964DF" w:rsidRPr="002C75D2" w:rsidRDefault="00E964DF" w:rsidP="00C31046">
            <w:pPr>
              <w:rPr>
                <w:sz w:val="20"/>
                <w:szCs w:val="20"/>
              </w:rPr>
            </w:pPr>
            <w:r w:rsidRPr="002C75D2">
              <w:rPr>
                <w:sz w:val="20"/>
                <w:szCs w:val="20"/>
              </w:rPr>
              <w:t>80</w:t>
            </w:r>
          </w:p>
        </w:tc>
        <w:tc>
          <w:tcPr>
            <w:tcW w:w="435" w:type="dxa"/>
          </w:tcPr>
          <w:p w14:paraId="144D4DA6" w14:textId="77777777" w:rsidR="00E964DF" w:rsidRPr="002C75D2" w:rsidRDefault="00E964DF" w:rsidP="00C31046">
            <w:pPr>
              <w:rPr>
                <w:sz w:val="20"/>
                <w:szCs w:val="20"/>
              </w:rPr>
            </w:pPr>
            <w:r w:rsidRPr="002C75D2">
              <w:rPr>
                <w:sz w:val="20"/>
                <w:szCs w:val="20"/>
              </w:rPr>
              <w:t>90</w:t>
            </w:r>
          </w:p>
        </w:tc>
        <w:tc>
          <w:tcPr>
            <w:tcW w:w="435" w:type="dxa"/>
          </w:tcPr>
          <w:p w14:paraId="74A89CF6" w14:textId="77777777" w:rsidR="00E964DF" w:rsidRPr="002C75D2" w:rsidRDefault="00E964DF" w:rsidP="00C31046">
            <w:pPr>
              <w:rPr>
                <w:sz w:val="20"/>
                <w:szCs w:val="20"/>
              </w:rPr>
            </w:pPr>
            <w:r w:rsidRPr="002C75D2">
              <w:rPr>
                <w:sz w:val="20"/>
                <w:szCs w:val="20"/>
              </w:rPr>
              <w:t>100</w:t>
            </w:r>
          </w:p>
        </w:tc>
      </w:tr>
    </w:tbl>
    <w:p w14:paraId="5ABC1670"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841"/>
        <w:gridCol w:w="4357"/>
      </w:tblGrid>
      <w:tr w:rsidR="00E964DF" w:rsidRPr="00E964DF" w14:paraId="399A3E6F"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7CB5A70B" w14:textId="77777777" w:rsidR="00E964DF" w:rsidRPr="002C75D2" w:rsidRDefault="00E964DF" w:rsidP="00C31046">
            <w:pPr>
              <w:keepNext/>
              <w:rPr>
                <w:sz w:val="20"/>
              </w:rPr>
            </w:pPr>
            <w:r w:rsidRPr="002C75D2">
              <w:rPr>
                <w:sz w:val="20"/>
              </w:rPr>
              <w:t>Focus on the development of the therapeutic alliance  with the patient</w:t>
            </w:r>
          </w:p>
        </w:tc>
        <w:tc>
          <w:tcPr>
            <w:tcW w:w="4788" w:type="dxa"/>
          </w:tcPr>
          <w:p w14:paraId="5FD64176"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EB737CF" wp14:editId="75E4BF10">
                  <wp:extent cx="1905000" cy="304800"/>
                  <wp:effectExtent l="0" t="0" r="0" b="0"/>
                  <wp:docPr id="6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433C320"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6D59F7BF" w14:textId="77777777" w:rsidR="00E964DF" w:rsidRPr="002C75D2" w:rsidRDefault="00E964DF" w:rsidP="00C31046">
            <w:pPr>
              <w:keepNext/>
              <w:rPr>
                <w:sz w:val="20"/>
              </w:rPr>
            </w:pPr>
            <w:r w:rsidRPr="002C75D2">
              <w:rPr>
                <w:sz w:val="20"/>
              </w:rPr>
              <w:t>Focus on evidence-based therapeutic techniques</w:t>
            </w:r>
          </w:p>
        </w:tc>
        <w:tc>
          <w:tcPr>
            <w:tcW w:w="4788" w:type="dxa"/>
          </w:tcPr>
          <w:p w14:paraId="2F8248E8"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382B1DC" wp14:editId="27EE383D">
                  <wp:extent cx="1905000" cy="304800"/>
                  <wp:effectExtent l="0" t="0" r="0" b="0"/>
                  <wp:docPr id="6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998CA19"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40D16A1B" w14:textId="77777777" w:rsidR="00E964DF" w:rsidRPr="002C75D2" w:rsidRDefault="00E964DF" w:rsidP="00C31046">
            <w:pPr>
              <w:keepNext/>
              <w:rPr>
                <w:sz w:val="20"/>
              </w:rPr>
            </w:pPr>
            <w:r w:rsidRPr="002C75D2">
              <w:rPr>
                <w:sz w:val="20"/>
              </w:rPr>
              <w:t>Focus on other issues in supervision</w:t>
            </w:r>
          </w:p>
        </w:tc>
        <w:tc>
          <w:tcPr>
            <w:tcW w:w="4788" w:type="dxa"/>
          </w:tcPr>
          <w:p w14:paraId="3CE07296"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8F0448A" wp14:editId="34824DCE">
                  <wp:extent cx="1905000" cy="304800"/>
                  <wp:effectExtent l="0" t="0" r="0" b="0"/>
                  <wp:docPr id="6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458DE03F" w14:textId="77777777" w:rsidR="00E964DF" w:rsidRPr="002C75D2" w:rsidRDefault="00E964DF" w:rsidP="00E964DF">
      <w:pPr>
        <w:rPr>
          <w:sz w:val="20"/>
          <w:szCs w:val="20"/>
        </w:rPr>
      </w:pPr>
    </w:p>
    <w:p w14:paraId="6EE0AF72" w14:textId="77777777" w:rsidR="00E964DF" w:rsidRPr="002C75D2" w:rsidRDefault="00E964DF" w:rsidP="00E964DF">
      <w:pPr>
        <w:keepNext/>
        <w:rPr>
          <w:sz w:val="20"/>
          <w:szCs w:val="20"/>
        </w:rPr>
      </w:pPr>
      <w:r w:rsidRPr="002C75D2">
        <w:rPr>
          <w:sz w:val="20"/>
          <w:szCs w:val="20"/>
        </w:rPr>
        <w:t>To what extent would you focus on the following areas of the </w:t>
      </w:r>
      <w:r w:rsidRPr="002C75D2">
        <w:rPr>
          <w:b/>
          <w:sz w:val="20"/>
          <w:szCs w:val="20"/>
        </w:rPr>
        <w:t>therapeutic relationship</w:t>
      </w:r>
      <w:r w:rsidRPr="002C75D2">
        <w:rPr>
          <w:sz w:val="20"/>
          <w:szCs w:val="20"/>
        </w:rPr>
        <w:t>?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7F462042" w14:textId="77777777" w:rsidTr="00C31046">
        <w:tc>
          <w:tcPr>
            <w:tcW w:w="4788" w:type="dxa"/>
          </w:tcPr>
          <w:p w14:paraId="3CB78B18" w14:textId="77777777" w:rsidR="00E964DF" w:rsidRPr="002C75D2" w:rsidRDefault="00E964DF" w:rsidP="00C31046">
            <w:pPr>
              <w:rPr>
                <w:sz w:val="20"/>
                <w:szCs w:val="20"/>
              </w:rPr>
            </w:pPr>
          </w:p>
        </w:tc>
        <w:tc>
          <w:tcPr>
            <w:tcW w:w="435" w:type="dxa"/>
          </w:tcPr>
          <w:p w14:paraId="685FFA19" w14:textId="77777777" w:rsidR="00E964DF" w:rsidRPr="002C75D2" w:rsidRDefault="00E964DF" w:rsidP="00C31046">
            <w:pPr>
              <w:rPr>
                <w:sz w:val="20"/>
                <w:szCs w:val="20"/>
              </w:rPr>
            </w:pPr>
            <w:r w:rsidRPr="002C75D2">
              <w:rPr>
                <w:sz w:val="20"/>
                <w:szCs w:val="20"/>
              </w:rPr>
              <w:t>0</w:t>
            </w:r>
          </w:p>
        </w:tc>
        <w:tc>
          <w:tcPr>
            <w:tcW w:w="435" w:type="dxa"/>
          </w:tcPr>
          <w:p w14:paraId="450A7DE1" w14:textId="77777777" w:rsidR="00E964DF" w:rsidRPr="002C75D2" w:rsidRDefault="00E964DF" w:rsidP="00C31046">
            <w:pPr>
              <w:rPr>
                <w:sz w:val="20"/>
                <w:szCs w:val="20"/>
              </w:rPr>
            </w:pPr>
            <w:r w:rsidRPr="002C75D2">
              <w:rPr>
                <w:sz w:val="20"/>
                <w:szCs w:val="20"/>
              </w:rPr>
              <w:t>10</w:t>
            </w:r>
          </w:p>
        </w:tc>
        <w:tc>
          <w:tcPr>
            <w:tcW w:w="435" w:type="dxa"/>
          </w:tcPr>
          <w:p w14:paraId="3E8BF0B0" w14:textId="77777777" w:rsidR="00E964DF" w:rsidRPr="002C75D2" w:rsidRDefault="00E964DF" w:rsidP="00C31046">
            <w:pPr>
              <w:rPr>
                <w:sz w:val="20"/>
                <w:szCs w:val="20"/>
              </w:rPr>
            </w:pPr>
            <w:r w:rsidRPr="002C75D2">
              <w:rPr>
                <w:sz w:val="20"/>
                <w:szCs w:val="20"/>
              </w:rPr>
              <w:t>20</w:t>
            </w:r>
          </w:p>
        </w:tc>
        <w:tc>
          <w:tcPr>
            <w:tcW w:w="435" w:type="dxa"/>
          </w:tcPr>
          <w:p w14:paraId="199D6283" w14:textId="77777777" w:rsidR="00E964DF" w:rsidRPr="002C75D2" w:rsidRDefault="00E964DF" w:rsidP="00C31046">
            <w:pPr>
              <w:rPr>
                <w:sz w:val="20"/>
                <w:szCs w:val="20"/>
              </w:rPr>
            </w:pPr>
            <w:r w:rsidRPr="002C75D2">
              <w:rPr>
                <w:sz w:val="20"/>
                <w:szCs w:val="20"/>
              </w:rPr>
              <w:t>30</w:t>
            </w:r>
          </w:p>
        </w:tc>
        <w:tc>
          <w:tcPr>
            <w:tcW w:w="435" w:type="dxa"/>
          </w:tcPr>
          <w:p w14:paraId="45D8F582" w14:textId="77777777" w:rsidR="00E964DF" w:rsidRPr="002C75D2" w:rsidRDefault="00E964DF" w:rsidP="00C31046">
            <w:pPr>
              <w:rPr>
                <w:sz w:val="20"/>
                <w:szCs w:val="20"/>
              </w:rPr>
            </w:pPr>
            <w:r w:rsidRPr="002C75D2">
              <w:rPr>
                <w:sz w:val="20"/>
                <w:szCs w:val="20"/>
              </w:rPr>
              <w:t>40</w:t>
            </w:r>
          </w:p>
        </w:tc>
        <w:tc>
          <w:tcPr>
            <w:tcW w:w="435" w:type="dxa"/>
          </w:tcPr>
          <w:p w14:paraId="2F4F65BA" w14:textId="77777777" w:rsidR="00E964DF" w:rsidRPr="002C75D2" w:rsidRDefault="00E964DF" w:rsidP="00C31046">
            <w:pPr>
              <w:rPr>
                <w:sz w:val="20"/>
                <w:szCs w:val="20"/>
              </w:rPr>
            </w:pPr>
            <w:r w:rsidRPr="002C75D2">
              <w:rPr>
                <w:sz w:val="20"/>
                <w:szCs w:val="20"/>
              </w:rPr>
              <w:t>50</w:t>
            </w:r>
          </w:p>
        </w:tc>
        <w:tc>
          <w:tcPr>
            <w:tcW w:w="435" w:type="dxa"/>
          </w:tcPr>
          <w:p w14:paraId="13FE60D2" w14:textId="77777777" w:rsidR="00E964DF" w:rsidRPr="002C75D2" w:rsidRDefault="00E964DF" w:rsidP="00C31046">
            <w:pPr>
              <w:rPr>
                <w:sz w:val="20"/>
                <w:szCs w:val="20"/>
              </w:rPr>
            </w:pPr>
            <w:r w:rsidRPr="002C75D2">
              <w:rPr>
                <w:sz w:val="20"/>
                <w:szCs w:val="20"/>
              </w:rPr>
              <w:t>60</w:t>
            </w:r>
          </w:p>
        </w:tc>
        <w:tc>
          <w:tcPr>
            <w:tcW w:w="435" w:type="dxa"/>
          </w:tcPr>
          <w:p w14:paraId="20D5205F" w14:textId="77777777" w:rsidR="00E964DF" w:rsidRPr="002C75D2" w:rsidRDefault="00E964DF" w:rsidP="00C31046">
            <w:pPr>
              <w:rPr>
                <w:sz w:val="20"/>
                <w:szCs w:val="20"/>
              </w:rPr>
            </w:pPr>
            <w:r w:rsidRPr="002C75D2">
              <w:rPr>
                <w:sz w:val="20"/>
                <w:szCs w:val="20"/>
              </w:rPr>
              <w:t>70</w:t>
            </w:r>
          </w:p>
        </w:tc>
        <w:tc>
          <w:tcPr>
            <w:tcW w:w="435" w:type="dxa"/>
          </w:tcPr>
          <w:p w14:paraId="2B47AC50" w14:textId="77777777" w:rsidR="00E964DF" w:rsidRPr="002C75D2" w:rsidRDefault="00E964DF" w:rsidP="00C31046">
            <w:pPr>
              <w:rPr>
                <w:sz w:val="20"/>
                <w:szCs w:val="20"/>
              </w:rPr>
            </w:pPr>
            <w:r w:rsidRPr="002C75D2">
              <w:rPr>
                <w:sz w:val="20"/>
                <w:szCs w:val="20"/>
              </w:rPr>
              <w:t>80</w:t>
            </w:r>
          </w:p>
        </w:tc>
        <w:tc>
          <w:tcPr>
            <w:tcW w:w="435" w:type="dxa"/>
          </w:tcPr>
          <w:p w14:paraId="77AA3DB2" w14:textId="77777777" w:rsidR="00E964DF" w:rsidRPr="002C75D2" w:rsidRDefault="00E964DF" w:rsidP="00C31046">
            <w:pPr>
              <w:rPr>
                <w:sz w:val="20"/>
                <w:szCs w:val="20"/>
              </w:rPr>
            </w:pPr>
            <w:r w:rsidRPr="002C75D2">
              <w:rPr>
                <w:sz w:val="20"/>
                <w:szCs w:val="20"/>
              </w:rPr>
              <w:t>90</w:t>
            </w:r>
          </w:p>
        </w:tc>
        <w:tc>
          <w:tcPr>
            <w:tcW w:w="435" w:type="dxa"/>
          </w:tcPr>
          <w:p w14:paraId="590DBE30" w14:textId="77777777" w:rsidR="00E964DF" w:rsidRPr="002C75D2" w:rsidRDefault="00E964DF" w:rsidP="00C31046">
            <w:pPr>
              <w:rPr>
                <w:sz w:val="20"/>
                <w:szCs w:val="20"/>
              </w:rPr>
            </w:pPr>
            <w:r w:rsidRPr="002C75D2">
              <w:rPr>
                <w:sz w:val="20"/>
                <w:szCs w:val="20"/>
              </w:rPr>
              <w:t>100</w:t>
            </w:r>
          </w:p>
        </w:tc>
      </w:tr>
    </w:tbl>
    <w:p w14:paraId="4050889A"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833"/>
        <w:gridCol w:w="4365"/>
      </w:tblGrid>
      <w:tr w:rsidR="00E964DF" w:rsidRPr="00E964DF" w14:paraId="38111065"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6C9542E6" w14:textId="77777777" w:rsidR="00E964DF" w:rsidRPr="002C75D2" w:rsidRDefault="00E964DF" w:rsidP="00C31046">
            <w:pPr>
              <w:keepNext/>
              <w:rPr>
                <w:sz w:val="20"/>
              </w:rPr>
            </w:pPr>
            <w:r w:rsidRPr="002C75D2">
              <w:rPr>
                <w:sz w:val="20"/>
              </w:rPr>
              <w:lastRenderedPageBreak/>
              <w:t>Therapeutic bond (attachment between patient and clinician)</w:t>
            </w:r>
          </w:p>
        </w:tc>
        <w:tc>
          <w:tcPr>
            <w:tcW w:w="4788" w:type="dxa"/>
          </w:tcPr>
          <w:p w14:paraId="35347248"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5EFB26E" wp14:editId="579CCA3A">
                  <wp:extent cx="1905000" cy="304800"/>
                  <wp:effectExtent l="0" t="0" r="0" b="0"/>
                  <wp:docPr id="6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828C013"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01AEBD2D" w14:textId="77777777" w:rsidR="00E964DF" w:rsidRPr="002C75D2" w:rsidRDefault="00E964DF" w:rsidP="00C31046">
            <w:pPr>
              <w:keepNext/>
              <w:rPr>
                <w:sz w:val="20"/>
              </w:rPr>
            </w:pPr>
            <w:r w:rsidRPr="002C75D2">
              <w:rPr>
                <w:sz w:val="20"/>
              </w:rPr>
              <w:t>Agreement on the goals of therapy</w:t>
            </w:r>
          </w:p>
        </w:tc>
        <w:tc>
          <w:tcPr>
            <w:tcW w:w="4788" w:type="dxa"/>
          </w:tcPr>
          <w:p w14:paraId="279C0997"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506E99D" wp14:editId="653CFE01">
                  <wp:extent cx="1905000" cy="304800"/>
                  <wp:effectExtent l="0" t="0" r="0" b="0"/>
                  <wp:docPr id="6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B609787"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3E5D57B1" w14:textId="77777777" w:rsidR="00E964DF" w:rsidRPr="002C75D2" w:rsidRDefault="00E964DF" w:rsidP="00C31046">
            <w:pPr>
              <w:keepNext/>
              <w:rPr>
                <w:sz w:val="20"/>
              </w:rPr>
            </w:pPr>
            <w:r w:rsidRPr="002C75D2">
              <w:rPr>
                <w:sz w:val="20"/>
              </w:rPr>
              <w:t>Agreement on the tasks of therapy</w:t>
            </w:r>
          </w:p>
        </w:tc>
        <w:tc>
          <w:tcPr>
            <w:tcW w:w="4788" w:type="dxa"/>
          </w:tcPr>
          <w:p w14:paraId="1DFA0362"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FE961A0" wp14:editId="67531B3A">
                  <wp:extent cx="1905000" cy="304800"/>
                  <wp:effectExtent l="0" t="0" r="0" b="0"/>
                  <wp:docPr id="6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63A1D01C" w14:textId="77777777" w:rsidR="00E964DF" w:rsidRPr="002C75D2" w:rsidRDefault="00E964DF" w:rsidP="00E964DF">
      <w:pPr>
        <w:rPr>
          <w:sz w:val="20"/>
          <w:szCs w:val="20"/>
        </w:rPr>
      </w:pPr>
    </w:p>
    <w:p w14:paraId="51B9B99B" w14:textId="77777777" w:rsidR="00E964DF" w:rsidRPr="002C75D2" w:rsidRDefault="00E964DF" w:rsidP="00447909">
      <w:pPr>
        <w:keepNext/>
        <w:rPr>
          <w:sz w:val="20"/>
          <w:szCs w:val="20"/>
        </w:rPr>
      </w:pPr>
      <w:r w:rsidRPr="002C75D2">
        <w:rPr>
          <w:sz w:val="20"/>
          <w:szCs w:val="20"/>
        </w:rPr>
        <w:t xml:space="preserve">Of the </w:t>
      </w:r>
      <w:r w:rsidRPr="002C75D2">
        <w:rPr>
          <w:b/>
          <w:sz w:val="20"/>
          <w:szCs w:val="20"/>
        </w:rPr>
        <w:t xml:space="preserve">evidence-based therapeutic techniques </w:t>
      </w:r>
      <w:r w:rsidRPr="002C75D2">
        <w:rPr>
          <w:sz w:val="20"/>
          <w:szCs w:val="20"/>
        </w:rPr>
        <w:t>available, how much would you focus on each of the following?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17696F5D" w14:textId="77777777" w:rsidTr="00C31046">
        <w:tc>
          <w:tcPr>
            <w:tcW w:w="4788" w:type="dxa"/>
          </w:tcPr>
          <w:p w14:paraId="5D125DAD" w14:textId="77777777" w:rsidR="00E964DF" w:rsidRPr="002C75D2" w:rsidRDefault="00E964DF" w:rsidP="00447909">
            <w:pPr>
              <w:keepNext/>
              <w:rPr>
                <w:sz w:val="20"/>
                <w:szCs w:val="20"/>
              </w:rPr>
            </w:pPr>
          </w:p>
        </w:tc>
        <w:tc>
          <w:tcPr>
            <w:tcW w:w="435" w:type="dxa"/>
          </w:tcPr>
          <w:p w14:paraId="24A0A50B" w14:textId="77777777" w:rsidR="00E964DF" w:rsidRPr="002C75D2" w:rsidRDefault="00E964DF" w:rsidP="00447909">
            <w:pPr>
              <w:keepNext/>
              <w:rPr>
                <w:sz w:val="20"/>
                <w:szCs w:val="20"/>
              </w:rPr>
            </w:pPr>
            <w:r w:rsidRPr="002C75D2">
              <w:rPr>
                <w:sz w:val="20"/>
                <w:szCs w:val="20"/>
              </w:rPr>
              <w:t>0</w:t>
            </w:r>
          </w:p>
        </w:tc>
        <w:tc>
          <w:tcPr>
            <w:tcW w:w="435" w:type="dxa"/>
          </w:tcPr>
          <w:p w14:paraId="41E85FC0" w14:textId="77777777" w:rsidR="00E964DF" w:rsidRPr="002C75D2" w:rsidRDefault="00E964DF" w:rsidP="00447909">
            <w:pPr>
              <w:keepNext/>
              <w:rPr>
                <w:sz w:val="20"/>
                <w:szCs w:val="20"/>
              </w:rPr>
            </w:pPr>
            <w:r w:rsidRPr="002C75D2">
              <w:rPr>
                <w:sz w:val="20"/>
                <w:szCs w:val="20"/>
              </w:rPr>
              <w:t>10</w:t>
            </w:r>
          </w:p>
        </w:tc>
        <w:tc>
          <w:tcPr>
            <w:tcW w:w="435" w:type="dxa"/>
          </w:tcPr>
          <w:p w14:paraId="0AAE30E7" w14:textId="77777777" w:rsidR="00E964DF" w:rsidRPr="002C75D2" w:rsidRDefault="00E964DF" w:rsidP="00447909">
            <w:pPr>
              <w:keepNext/>
              <w:rPr>
                <w:sz w:val="20"/>
                <w:szCs w:val="20"/>
              </w:rPr>
            </w:pPr>
            <w:r w:rsidRPr="002C75D2">
              <w:rPr>
                <w:sz w:val="20"/>
                <w:szCs w:val="20"/>
              </w:rPr>
              <w:t>20</w:t>
            </w:r>
          </w:p>
        </w:tc>
        <w:tc>
          <w:tcPr>
            <w:tcW w:w="435" w:type="dxa"/>
          </w:tcPr>
          <w:p w14:paraId="5796D3D3" w14:textId="77777777" w:rsidR="00E964DF" w:rsidRPr="002C75D2" w:rsidRDefault="00E964DF" w:rsidP="00447909">
            <w:pPr>
              <w:keepNext/>
              <w:rPr>
                <w:sz w:val="20"/>
                <w:szCs w:val="20"/>
              </w:rPr>
            </w:pPr>
            <w:r w:rsidRPr="002C75D2">
              <w:rPr>
                <w:sz w:val="20"/>
                <w:szCs w:val="20"/>
              </w:rPr>
              <w:t>30</w:t>
            </w:r>
          </w:p>
        </w:tc>
        <w:tc>
          <w:tcPr>
            <w:tcW w:w="435" w:type="dxa"/>
          </w:tcPr>
          <w:p w14:paraId="5049318C" w14:textId="77777777" w:rsidR="00E964DF" w:rsidRPr="002C75D2" w:rsidRDefault="00E964DF" w:rsidP="00447909">
            <w:pPr>
              <w:keepNext/>
              <w:rPr>
                <w:sz w:val="20"/>
                <w:szCs w:val="20"/>
              </w:rPr>
            </w:pPr>
            <w:r w:rsidRPr="002C75D2">
              <w:rPr>
                <w:sz w:val="20"/>
                <w:szCs w:val="20"/>
              </w:rPr>
              <w:t>40</w:t>
            </w:r>
          </w:p>
        </w:tc>
        <w:tc>
          <w:tcPr>
            <w:tcW w:w="435" w:type="dxa"/>
          </w:tcPr>
          <w:p w14:paraId="22FEB748" w14:textId="77777777" w:rsidR="00E964DF" w:rsidRPr="002C75D2" w:rsidRDefault="00E964DF" w:rsidP="00447909">
            <w:pPr>
              <w:keepNext/>
              <w:rPr>
                <w:sz w:val="20"/>
                <w:szCs w:val="20"/>
              </w:rPr>
            </w:pPr>
            <w:r w:rsidRPr="002C75D2">
              <w:rPr>
                <w:sz w:val="20"/>
                <w:szCs w:val="20"/>
              </w:rPr>
              <w:t>50</w:t>
            </w:r>
          </w:p>
        </w:tc>
        <w:tc>
          <w:tcPr>
            <w:tcW w:w="435" w:type="dxa"/>
          </w:tcPr>
          <w:p w14:paraId="20C9FC75" w14:textId="77777777" w:rsidR="00E964DF" w:rsidRPr="002C75D2" w:rsidRDefault="00E964DF" w:rsidP="00447909">
            <w:pPr>
              <w:keepNext/>
              <w:rPr>
                <w:sz w:val="20"/>
                <w:szCs w:val="20"/>
              </w:rPr>
            </w:pPr>
            <w:r w:rsidRPr="002C75D2">
              <w:rPr>
                <w:sz w:val="20"/>
                <w:szCs w:val="20"/>
              </w:rPr>
              <w:t>60</w:t>
            </w:r>
          </w:p>
        </w:tc>
        <w:tc>
          <w:tcPr>
            <w:tcW w:w="435" w:type="dxa"/>
          </w:tcPr>
          <w:p w14:paraId="7FE6C9ED" w14:textId="77777777" w:rsidR="00E964DF" w:rsidRPr="002C75D2" w:rsidRDefault="00E964DF" w:rsidP="00447909">
            <w:pPr>
              <w:keepNext/>
              <w:rPr>
                <w:sz w:val="20"/>
                <w:szCs w:val="20"/>
              </w:rPr>
            </w:pPr>
            <w:r w:rsidRPr="002C75D2">
              <w:rPr>
                <w:sz w:val="20"/>
                <w:szCs w:val="20"/>
              </w:rPr>
              <w:t>70</w:t>
            </w:r>
          </w:p>
        </w:tc>
        <w:tc>
          <w:tcPr>
            <w:tcW w:w="435" w:type="dxa"/>
          </w:tcPr>
          <w:p w14:paraId="53DD767E" w14:textId="77777777" w:rsidR="00E964DF" w:rsidRPr="002C75D2" w:rsidRDefault="00E964DF" w:rsidP="00447909">
            <w:pPr>
              <w:keepNext/>
              <w:rPr>
                <w:sz w:val="20"/>
                <w:szCs w:val="20"/>
              </w:rPr>
            </w:pPr>
            <w:r w:rsidRPr="002C75D2">
              <w:rPr>
                <w:sz w:val="20"/>
                <w:szCs w:val="20"/>
              </w:rPr>
              <w:t>80</w:t>
            </w:r>
          </w:p>
        </w:tc>
        <w:tc>
          <w:tcPr>
            <w:tcW w:w="435" w:type="dxa"/>
          </w:tcPr>
          <w:p w14:paraId="7217A11A" w14:textId="77777777" w:rsidR="00E964DF" w:rsidRPr="002C75D2" w:rsidRDefault="00E964DF" w:rsidP="00447909">
            <w:pPr>
              <w:keepNext/>
              <w:rPr>
                <w:sz w:val="20"/>
                <w:szCs w:val="20"/>
              </w:rPr>
            </w:pPr>
            <w:r w:rsidRPr="002C75D2">
              <w:rPr>
                <w:sz w:val="20"/>
                <w:szCs w:val="20"/>
              </w:rPr>
              <w:t>90</w:t>
            </w:r>
          </w:p>
        </w:tc>
        <w:tc>
          <w:tcPr>
            <w:tcW w:w="435" w:type="dxa"/>
          </w:tcPr>
          <w:p w14:paraId="0F8C60C7" w14:textId="77777777" w:rsidR="00E964DF" w:rsidRPr="002C75D2" w:rsidRDefault="00E964DF" w:rsidP="00447909">
            <w:pPr>
              <w:keepNext/>
              <w:rPr>
                <w:sz w:val="20"/>
                <w:szCs w:val="20"/>
              </w:rPr>
            </w:pPr>
            <w:r w:rsidRPr="002C75D2">
              <w:rPr>
                <w:sz w:val="20"/>
                <w:szCs w:val="20"/>
              </w:rPr>
              <w:t>100</w:t>
            </w:r>
          </w:p>
        </w:tc>
      </w:tr>
    </w:tbl>
    <w:p w14:paraId="42E1F7AF" w14:textId="77777777" w:rsidR="00E964DF" w:rsidRPr="002C75D2" w:rsidRDefault="00E964DF" w:rsidP="00E964DF">
      <w:pPr>
        <w:rPr>
          <w:sz w:val="20"/>
          <w:szCs w:val="20"/>
        </w:rPr>
      </w:pPr>
    </w:p>
    <w:tbl>
      <w:tblPr>
        <w:tblStyle w:val="QStandardSliderTable"/>
        <w:tblpPr w:leftFromText="180" w:rightFromText="180" w:vertAnchor="text" w:tblpY="1"/>
        <w:tblOverlap w:val="never"/>
        <w:tblW w:w="9576" w:type="auto"/>
        <w:tblLook w:val="07E0" w:firstRow="1" w:lastRow="1" w:firstColumn="1" w:lastColumn="1" w:noHBand="1" w:noVBand="1"/>
      </w:tblPr>
      <w:tblGrid>
        <w:gridCol w:w="3860"/>
        <w:gridCol w:w="4338"/>
      </w:tblGrid>
      <w:tr w:rsidR="00E964DF" w:rsidRPr="00E964DF" w14:paraId="08DE56C4"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71E7D78D" w14:textId="77777777" w:rsidR="00E964DF" w:rsidRPr="002C75D2" w:rsidRDefault="00E964DF" w:rsidP="00447909">
            <w:pPr>
              <w:keepNext/>
              <w:rPr>
                <w:sz w:val="20"/>
              </w:rPr>
            </w:pPr>
            <w:r w:rsidRPr="002C75D2">
              <w:rPr>
                <w:sz w:val="20"/>
              </w:rPr>
              <w:t>Reviewing depression levels</w:t>
            </w:r>
          </w:p>
        </w:tc>
        <w:tc>
          <w:tcPr>
            <w:tcW w:w="4788" w:type="dxa"/>
          </w:tcPr>
          <w:p w14:paraId="66453A66"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A4873AE" wp14:editId="488AE4D4">
                  <wp:extent cx="1905000" cy="304800"/>
                  <wp:effectExtent l="0" t="0" r="0" b="0"/>
                  <wp:docPr id="6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353C7B9"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54B34C68" w14:textId="77777777" w:rsidR="00E964DF" w:rsidRPr="002C75D2" w:rsidRDefault="00E964DF" w:rsidP="00447909">
            <w:pPr>
              <w:keepNext/>
              <w:rPr>
                <w:sz w:val="20"/>
              </w:rPr>
            </w:pPr>
            <w:r w:rsidRPr="002C75D2">
              <w:rPr>
                <w:sz w:val="20"/>
              </w:rPr>
              <w:t>Education into the CBT model</w:t>
            </w:r>
          </w:p>
        </w:tc>
        <w:tc>
          <w:tcPr>
            <w:tcW w:w="4788" w:type="dxa"/>
          </w:tcPr>
          <w:p w14:paraId="7D871C40"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379745B" wp14:editId="35718AA5">
                  <wp:extent cx="1905000" cy="304800"/>
                  <wp:effectExtent l="0" t="0" r="0" b="0"/>
                  <wp:docPr id="7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C1C886C"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0021E372" w14:textId="77777777" w:rsidR="00E964DF" w:rsidRPr="002C75D2" w:rsidRDefault="00E964DF" w:rsidP="00447909">
            <w:pPr>
              <w:keepNext/>
              <w:rPr>
                <w:sz w:val="20"/>
              </w:rPr>
            </w:pPr>
            <w:r w:rsidRPr="002C75D2">
              <w:rPr>
                <w:sz w:val="20"/>
              </w:rPr>
              <w:t>Agenda setting</w:t>
            </w:r>
          </w:p>
        </w:tc>
        <w:tc>
          <w:tcPr>
            <w:tcW w:w="4788" w:type="dxa"/>
          </w:tcPr>
          <w:p w14:paraId="2F1F3AB9"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FE0AFA2" wp14:editId="49BED5EF">
                  <wp:extent cx="1905000" cy="304800"/>
                  <wp:effectExtent l="0" t="0" r="0" b="0"/>
                  <wp:docPr id="7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5819262"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4DAA8ED2" w14:textId="77777777" w:rsidR="00E964DF" w:rsidRPr="002C75D2" w:rsidRDefault="00E964DF" w:rsidP="00447909">
            <w:pPr>
              <w:keepNext/>
              <w:rPr>
                <w:sz w:val="20"/>
              </w:rPr>
            </w:pPr>
            <w:r w:rsidRPr="002C75D2">
              <w:rPr>
                <w:sz w:val="20"/>
              </w:rPr>
              <w:t>Socratic questioning</w:t>
            </w:r>
          </w:p>
        </w:tc>
        <w:tc>
          <w:tcPr>
            <w:tcW w:w="4788" w:type="dxa"/>
          </w:tcPr>
          <w:p w14:paraId="2335E43C"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92203DF" wp14:editId="68FB57E1">
                  <wp:extent cx="1905000" cy="304800"/>
                  <wp:effectExtent l="0" t="0" r="0" b="0"/>
                  <wp:docPr id="7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3B05973"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36D9A978" w14:textId="77777777" w:rsidR="00E964DF" w:rsidRPr="002C75D2" w:rsidRDefault="00E964DF" w:rsidP="00447909">
            <w:pPr>
              <w:keepNext/>
              <w:rPr>
                <w:sz w:val="20"/>
              </w:rPr>
            </w:pPr>
            <w:r w:rsidRPr="002C75D2">
              <w:rPr>
                <w:sz w:val="20"/>
              </w:rPr>
              <w:t>Linking cognitions, emotions and behaviour</w:t>
            </w:r>
          </w:p>
        </w:tc>
        <w:tc>
          <w:tcPr>
            <w:tcW w:w="4788" w:type="dxa"/>
          </w:tcPr>
          <w:p w14:paraId="574741B3"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D6732BA" wp14:editId="4B11B0D5">
                  <wp:extent cx="1905000" cy="304800"/>
                  <wp:effectExtent l="0" t="0" r="0" b="0"/>
                  <wp:docPr id="7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A4F472F"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7F64806B" w14:textId="77777777" w:rsidR="00E964DF" w:rsidRPr="002C75D2" w:rsidRDefault="00E964DF" w:rsidP="00447909">
            <w:pPr>
              <w:keepNext/>
              <w:rPr>
                <w:sz w:val="20"/>
              </w:rPr>
            </w:pPr>
            <w:r w:rsidRPr="002C75D2">
              <w:rPr>
                <w:sz w:val="20"/>
              </w:rPr>
              <w:t>Detection and recording of negative automatic thoughts</w:t>
            </w:r>
          </w:p>
        </w:tc>
        <w:tc>
          <w:tcPr>
            <w:tcW w:w="4788" w:type="dxa"/>
          </w:tcPr>
          <w:p w14:paraId="4D9F7B70"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0B9BC1E" wp14:editId="70726B1D">
                  <wp:extent cx="1905000" cy="304800"/>
                  <wp:effectExtent l="0" t="0" r="0" b="0"/>
                  <wp:docPr id="7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08D0F41"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4E6ACB90" w14:textId="77777777" w:rsidR="00E964DF" w:rsidRPr="002C75D2" w:rsidRDefault="00E964DF" w:rsidP="00447909">
            <w:pPr>
              <w:keepNext/>
              <w:rPr>
                <w:sz w:val="20"/>
              </w:rPr>
            </w:pPr>
            <w:r w:rsidRPr="002C75D2">
              <w:rPr>
                <w:sz w:val="20"/>
              </w:rPr>
              <w:t>Clarify dysfunctional assumptions</w:t>
            </w:r>
          </w:p>
        </w:tc>
        <w:tc>
          <w:tcPr>
            <w:tcW w:w="4788" w:type="dxa"/>
          </w:tcPr>
          <w:p w14:paraId="721025F5"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0843BC8" wp14:editId="1BF663F7">
                  <wp:extent cx="1905000" cy="304800"/>
                  <wp:effectExtent l="0" t="0" r="0" b="0"/>
                  <wp:docPr id="7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252CCD8"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6E8F1623" w14:textId="77777777" w:rsidR="00E964DF" w:rsidRPr="002C75D2" w:rsidRDefault="00E964DF" w:rsidP="00447909">
            <w:pPr>
              <w:keepNext/>
              <w:rPr>
                <w:sz w:val="20"/>
              </w:rPr>
            </w:pPr>
            <w:r w:rsidRPr="002C75D2">
              <w:rPr>
                <w:sz w:val="20"/>
              </w:rPr>
              <w:t>Develop alternative hypotheses about cognitive distortions</w:t>
            </w:r>
          </w:p>
        </w:tc>
        <w:tc>
          <w:tcPr>
            <w:tcW w:w="4788" w:type="dxa"/>
          </w:tcPr>
          <w:p w14:paraId="025141B7"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5665BB64" wp14:editId="17D2E22B">
                  <wp:extent cx="1905000" cy="304800"/>
                  <wp:effectExtent l="0" t="0" r="0" b="0"/>
                  <wp:docPr id="7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DFE09A9"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3D893943" w14:textId="77777777" w:rsidR="00E964DF" w:rsidRPr="002C75D2" w:rsidRDefault="00E964DF" w:rsidP="00447909">
            <w:pPr>
              <w:keepNext/>
              <w:rPr>
                <w:sz w:val="20"/>
              </w:rPr>
            </w:pPr>
            <w:r w:rsidRPr="002C75D2">
              <w:rPr>
                <w:sz w:val="20"/>
              </w:rPr>
              <w:t>Behavioural activation</w:t>
            </w:r>
          </w:p>
        </w:tc>
        <w:tc>
          <w:tcPr>
            <w:tcW w:w="4788" w:type="dxa"/>
          </w:tcPr>
          <w:p w14:paraId="5466920E"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03B423F" wp14:editId="4C692E52">
                  <wp:extent cx="1905000" cy="304800"/>
                  <wp:effectExtent l="0" t="0" r="0" b="0"/>
                  <wp:docPr id="7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DC096B2"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15C58BC9" w14:textId="77777777" w:rsidR="00E964DF" w:rsidRPr="002C75D2" w:rsidRDefault="00E964DF" w:rsidP="00447909">
            <w:pPr>
              <w:keepNext/>
              <w:rPr>
                <w:sz w:val="20"/>
              </w:rPr>
            </w:pPr>
            <w:r w:rsidRPr="002C75D2">
              <w:rPr>
                <w:sz w:val="20"/>
              </w:rPr>
              <w:lastRenderedPageBreak/>
              <w:t>Mindfulness</w:t>
            </w:r>
          </w:p>
        </w:tc>
        <w:tc>
          <w:tcPr>
            <w:tcW w:w="4788" w:type="dxa"/>
          </w:tcPr>
          <w:p w14:paraId="56906D5E"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A22EBE8" wp14:editId="28C1279B">
                  <wp:extent cx="1905000" cy="304800"/>
                  <wp:effectExtent l="0" t="0" r="0" b="0"/>
                  <wp:docPr id="7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60CC584"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60622BEA" w14:textId="77777777" w:rsidR="00E964DF" w:rsidRPr="002C75D2" w:rsidRDefault="00E964DF" w:rsidP="00447909">
            <w:pPr>
              <w:keepNext/>
              <w:rPr>
                <w:sz w:val="20"/>
              </w:rPr>
            </w:pPr>
            <w:r w:rsidRPr="002C75D2">
              <w:rPr>
                <w:sz w:val="20"/>
              </w:rPr>
              <w:t>Eye Movement Desensitisation and Reprocessing (EMDR)</w:t>
            </w:r>
          </w:p>
        </w:tc>
        <w:tc>
          <w:tcPr>
            <w:tcW w:w="4788" w:type="dxa"/>
          </w:tcPr>
          <w:p w14:paraId="313B9696"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51936C2" wp14:editId="035674F7">
                  <wp:extent cx="1905000" cy="304800"/>
                  <wp:effectExtent l="0" t="0" r="0" b="0"/>
                  <wp:docPr id="7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CD52C97"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43024EAA" w14:textId="77777777" w:rsidR="00E964DF" w:rsidRPr="002C75D2" w:rsidRDefault="00E964DF" w:rsidP="00447909">
            <w:pPr>
              <w:keepNext/>
              <w:rPr>
                <w:sz w:val="20"/>
              </w:rPr>
            </w:pPr>
            <w:r w:rsidRPr="002C75D2">
              <w:rPr>
                <w:sz w:val="20"/>
              </w:rPr>
              <w:t>Response to feedback from patient</w:t>
            </w:r>
          </w:p>
        </w:tc>
        <w:tc>
          <w:tcPr>
            <w:tcW w:w="4788" w:type="dxa"/>
          </w:tcPr>
          <w:p w14:paraId="4A90B74F"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6D1DBF5" wp14:editId="5BF010A2">
                  <wp:extent cx="1905000" cy="304800"/>
                  <wp:effectExtent l="0" t="0" r="0" b="0"/>
                  <wp:docPr id="8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9454822"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091C5CFF" w14:textId="77777777" w:rsidR="00E964DF" w:rsidRPr="002C75D2" w:rsidRDefault="00E964DF" w:rsidP="00447909">
            <w:pPr>
              <w:keepNext/>
              <w:rPr>
                <w:sz w:val="20"/>
              </w:rPr>
            </w:pPr>
            <w:r w:rsidRPr="002C75D2">
              <w:rPr>
                <w:sz w:val="20"/>
              </w:rPr>
              <w:t>Discussion of thought records</w:t>
            </w:r>
          </w:p>
        </w:tc>
        <w:tc>
          <w:tcPr>
            <w:tcW w:w="4788" w:type="dxa"/>
          </w:tcPr>
          <w:p w14:paraId="202868B2"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3BAED65" wp14:editId="55320DA9">
                  <wp:extent cx="1905000" cy="304800"/>
                  <wp:effectExtent l="0" t="0" r="0" b="0"/>
                  <wp:docPr id="8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1D8EAE4"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01ED2788" w14:textId="77777777" w:rsidR="00E964DF" w:rsidRPr="002C75D2" w:rsidRDefault="00E964DF" w:rsidP="00447909">
            <w:pPr>
              <w:keepNext/>
              <w:rPr>
                <w:sz w:val="20"/>
              </w:rPr>
            </w:pPr>
            <w:r w:rsidRPr="002C75D2">
              <w:rPr>
                <w:sz w:val="20"/>
              </w:rPr>
              <w:t>Review other homework tasks</w:t>
            </w:r>
          </w:p>
        </w:tc>
        <w:tc>
          <w:tcPr>
            <w:tcW w:w="4788" w:type="dxa"/>
          </w:tcPr>
          <w:p w14:paraId="02124475"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C4301A7" wp14:editId="31A36E23">
                  <wp:extent cx="1905000" cy="304800"/>
                  <wp:effectExtent l="0" t="0" r="0" b="0"/>
                  <wp:docPr id="8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20E7982"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49B7E1A6" w14:textId="77777777" w:rsidR="00E964DF" w:rsidRPr="002C75D2" w:rsidRDefault="00E964DF" w:rsidP="00447909">
            <w:pPr>
              <w:keepNext/>
              <w:rPr>
                <w:sz w:val="20"/>
              </w:rPr>
            </w:pPr>
            <w:r w:rsidRPr="002C75D2">
              <w:rPr>
                <w:sz w:val="20"/>
              </w:rPr>
              <w:t>Testing alternative hypotheses via behavioural experiments</w:t>
            </w:r>
          </w:p>
        </w:tc>
        <w:tc>
          <w:tcPr>
            <w:tcW w:w="4788" w:type="dxa"/>
          </w:tcPr>
          <w:p w14:paraId="2E5871B2"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65C501F7" wp14:editId="51E944FC">
                  <wp:extent cx="1905000" cy="304800"/>
                  <wp:effectExtent l="0" t="0" r="0" b="0"/>
                  <wp:docPr id="8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A952EC3"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50581A69" w14:textId="77777777" w:rsidR="00E964DF" w:rsidRPr="002C75D2" w:rsidRDefault="00E964DF" w:rsidP="00447909">
            <w:pPr>
              <w:keepNext/>
              <w:rPr>
                <w:sz w:val="20"/>
              </w:rPr>
            </w:pPr>
            <w:r w:rsidRPr="002C75D2">
              <w:rPr>
                <w:sz w:val="20"/>
              </w:rPr>
              <w:t>Cognitive rehearsal</w:t>
            </w:r>
          </w:p>
        </w:tc>
        <w:tc>
          <w:tcPr>
            <w:tcW w:w="4788" w:type="dxa"/>
          </w:tcPr>
          <w:p w14:paraId="5EFA1219"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D0852BB" wp14:editId="435AD24F">
                  <wp:extent cx="1905000" cy="304800"/>
                  <wp:effectExtent l="0" t="0" r="0" b="0"/>
                  <wp:docPr id="8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5FFCCA3F"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082FB4FA" w14:textId="77777777" w:rsidR="00E964DF" w:rsidRPr="002C75D2" w:rsidRDefault="00E964DF" w:rsidP="00447909">
            <w:pPr>
              <w:keepNext/>
              <w:rPr>
                <w:sz w:val="20"/>
              </w:rPr>
            </w:pPr>
            <w:r w:rsidRPr="002C75D2">
              <w:rPr>
                <w:sz w:val="20"/>
              </w:rPr>
              <w:t>Assertiveness training</w:t>
            </w:r>
          </w:p>
        </w:tc>
        <w:tc>
          <w:tcPr>
            <w:tcW w:w="4788" w:type="dxa"/>
          </w:tcPr>
          <w:p w14:paraId="293E8EE6"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0E42FCA4" wp14:editId="3AE2CE2F">
                  <wp:extent cx="1905000" cy="304800"/>
                  <wp:effectExtent l="0" t="0" r="0" b="0"/>
                  <wp:docPr id="8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3C2DC9B2"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7FE7B1AB" w14:textId="77777777" w:rsidR="00E964DF" w:rsidRPr="002C75D2" w:rsidRDefault="00E964DF" w:rsidP="00447909">
            <w:pPr>
              <w:keepNext/>
              <w:rPr>
                <w:sz w:val="20"/>
              </w:rPr>
            </w:pPr>
            <w:r w:rsidRPr="002C75D2">
              <w:rPr>
                <w:sz w:val="20"/>
              </w:rPr>
              <w:t>Use of reattribution</w:t>
            </w:r>
          </w:p>
        </w:tc>
        <w:tc>
          <w:tcPr>
            <w:tcW w:w="4788" w:type="dxa"/>
          </w:tcPr>
          <w:p w14:paraId="7697E4B4"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A0CBA2A" wp14:editId="454EB5F9">
                  <wp:extent cx="1905000" cy="304800"/>
                  <wp:effectExtent l="0" t="0" r="0" b="0"/>
                  <wp:docPr id="8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22BF1EEB"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439F98B1" w14:textId="77777777" w:rsidR="00E964DF" w:rsidRPr="002C75D2" w:rsidRDefault="00E964DF" w:rsidP="00447909">
            <w:pPr>
              <w:keepNext/>
              <w:rPr>
                <w:sz w:val="20"/>
              </w:rPr>
            </w:pPr>
            <w:r w:rsidRPr="002C75D2">
              <w:rPr>
                <w:sz w:val="20"/>
              </w:rPr>
              <w:t>Relapse prevention techniques</w:t>
            </w:r>
          </w:p>
        </w:tc>
        <w:tc>
          <w:tcPr>
            <w:tcW w:w="4788" w:type="dxa"/>
          </w:tcPr>
          <w:p w14:paraId="5CB18EC6"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7A7EDB1" wp14:editId="00569026">
                  <wp:extent cx="1905000" cy="304800"/>
                  <wp:effectExtent l="0" t="0" r="0" b="0"/>
                  <wp:docPr id="8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7B7ED6F6" w14:textId="77777777" w:rsidTr="00447909">
        <w:tc>
          <w:tcPr>
            <w:cnfStyle w:val="001000000000" w:firstRow="0" w:lastRow="0" w:firstColumn="1" w:lastColumn="0" w:oddVBand="0" w:evenVBand="0" w:oddHBand="0" w:evenHBand="0" w:firstRowFirstColumn="0" w:firstRowLastColumn="0" w:lastRowFirstColumn="0" w:lastRowLastColumn="0"/>
            <w:tcW w:w="4788" w:type="dxa"/>
          </w:tcPr>
          <w:p w14:paraId="1911E0CF" w14:textId="77777777" w:rsidR="00E964DF" w:rsidRPr="002C75D2" w:rsidRDefault="00E964DF" w:rsidP="00447909">
            <w:pPr>
              <w:keepNext/>
              <w:rPr>
                <w:sz w:val="20"/>
              </w:rPr>
            </w:pPr>
            <w:r w:rsidRPr="002C75D2">
              <w:rPr>
                <w:sz w:val="20"/>
              </w:rPr>
              <w:t>Other (please indicate)</w:t>
            </w:r>
          </w:p>
        </w:tc>
        <w:tc>
          <w:tcPr>
            <w:tcW w:w="4788" w:type="dxa"/>
          </w:tcPr>
          <w:p w14:paraId="5DEA2AF5" w14:textId="77777777" w:rsidR="00E964DF" w:rsidRPr="002C75D2" w:rsidRDefault="00E964DF" w:rsidP="00447909">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13E4A433" wp14:editId="457BFA51">
                  <wp:extent cx="1905000" cy="304800"/>
                  <wp:effectExtent l="0" t="0" r="0" b="0"/>
                  <wp:docPr id="8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4C099307" w14:textId="77777777" w:rsidR="00E964DF" w:rsidRPr="002C75D2" w:rsidRDefault="00E964DF" w:rsidP="00E964DF">
      <w:pPr>
        <w:rPr>
          <w:sz w:val="20"/>
          <w:szCs w:val="20"/>
        </w:rPr>
      </w:pPr>
    </w:p>
    <w:p w14:paraId="265A5088" w14:textId="77777777" w:rsidR="00E964DF" w:rsidRPr="002C75D2" w:rsidRDefault="00E964DF" w:rsidP="00E964DF">
      <w:pPr>
        <w:rPr>
          <w:sz w:val="20"/>
          <w:szCs w:val="20"/>
        </w:rPr>
      </w:pPr>
    </w:p>
    <w:p w14:paraId="17AF68C9" w14:textId="77777777" w:rsidR="00447909" w:rsidRDefault="00447909" w:rsidP="00E964DF">
      <w:pPr>
        <w:keepNext/>
        <w:rPr>
          <w:sz w:val="20"/>
          <w:szCs w:val="20"/>
        </w:rPr>
      </w:pPr>
    </w:p>
    <w:p w14:paraId="79E9DC0F" w14:textId="77777777" w:rsidR="00447909" w:rsidRDefault="00447909" w:rsidP="00E964DF">
      <w:pPr>
        <w:keepNext/>
        <w:rPr>
          <w:sz w:val="20"/>
          <w:szCs w:val="20"/>
        </w:rPr>
      </w:pPr>
    </w:p>
    <w:p w14:paraId="19229003" w14:textId="77777777" w:rsidR="00447909" w:rsidRDefault="00447909" w:rsidP="00E964DF">
      <w:pPr>
        <w:keepNext/>
        <w:rPr>
          <w:sz w:val="20"/>
          <w:szCs w:val="20"/>
        </w:rPr>
      </w:pPr>
    </w:p>
    <w:p w14:paraId="561CA655" w14:textId="77777777" w:rsidR="00447909" w:rsidRDefault="00447909" w:rsidP="00E964DF">
      <w:pPr>
        <w:keepNext/>
        <w:rPr>
          <w:sz w:val="20"/>
          <w:szCs w:val="20"/>
        </w:rPr>
      </w:pPr>
    </w:p>
    <w:p w14:paraId="758E2E4E" w14:textId="77777777" w:rsidR="00447909" w:rsidRDefault="00447909" w:rsidP="00E964DF">
      <w:pPr>
        <w:keepNext/>
        <w:rPr>
          <w:sz w:val="20"/>
          <w:szCs w:val="20"/>
        </w:rPr>
      </w:pPr>
    </w:p>
    <w:p w14:paraId="67D19866" w14:textId="77777777" w:rsidR="00447909" w:rsidRDefault="00447909" w:rsidP="00E964DF">
      <w:pPr>
        <w:keepNext/>
        <w:rPr>
          <w:sz w:val="20"/>
          <w:szCs w:val="20"/>
        </w:rPr>
      </w:pPr>
    </w:p>
    <w:p w14:paraId="08B01227" w14:textId="77777777" w:rsidR="00447909" w:rsidRDefault="00447909" w:rsidP="00E964DF">
      <w:pPr>
        <w:keepNext/>
        <w:rPr>
          <w:sz w:val="20"/>
          <w:szCs w:val="20"/>
        </w:rPr>
      </w:pPr>
    </w:p>
    <w:p w14:paraId="7FE0BE6F" w14:textId="77777777" w:rsidR="00CE04C8" w:rsidRDefault="00CE04C8" w:rsidP="00E964DF">
      <w:pPr>
        <w:keepNext/>
        <w:rPr>
          <w:sz w:val="20"/>
          <w:szCs w:val="20"/>
        </w:rPr>
      </w:pPr>
    </w:p>
    <w:p w14:paraId="72DD8265" w14:textId="77777777" w:rsidR="00CE04C8" w:rsidRDefault="00CE04C8" w:rsidP="00E964DF">
      <w:pPr>
        <w:keepNext/>
        <w:rPr>
          <w:sz w:val="20"/>
          <w:szCs w:val="20"/>
        </w:rPr>
      </w:pPr>
    </w:p>
    <w:p w14:paraId="269F6DD9" w14:textId="77777777" w:rsidR="00CE04C8" w:rsidRDefault="00CE04C8" w:rsidP="00E964DF">
      <w:pPr>
        <w:keepNext/>
        <w:rPr>
          <w:sz w:val="20"/>
          <w:szCs w:val="20"/>
        </w:rPr>
      </w:pPr>
    </w:p>
    <w:p w14:paraId="7358D975" w14:textId="77777777" w:rsidR="00CE04C8" w:rsidRDefault="00CE04C8" w:rsidP="00E964DF">
      <w:pPr>
        <w:keepNext/>
        <w:rPr>
          <w:sz w:val="20"/>
          <w:szCs w:val="20"/>
        </w:rPr>
      </w:pPr>
    </w:p>
    <w:p w14:paraId="1E86DC8E" w14:textId="77777777" w:rsidR="00CE04C8" w:rsidRDefault="00CE04C8" w:rsidP="00E964DF">
      <w:pPr>
        <w:keepNext/>
        <w:rPr>
          <w:sz w:val="20"/>
          <w:szCs w:val="20"/>
        </w:rPr>
      </w:pPr>
    </w:p>
    <w:p w14:paraId="3306180F" w14:textId="77777777" w:rsidR="00CE04C8" w:rsidRDefault="00CE04C8" w:rsidP="00E964DF">
      <w:pPr>
        <w:keepNext/>
        <w:rPr>
          <w:sz w:val="20"/>
          <w:szCs w:val="20"/>
        </w:rPr>
      </w:pPr>
    </w:p>
    <w:p w14:paraId="61D2EE7C" w14:textId="77777777" w:rsidR="00CE04C8" w:rsidRDefault="00CE04C8" w:rsidP="00E964DF">
      <w:pPr>
        <w:keepNext/>
        <w:rPr>
          <w:sz w:val="20"/>
          <w:szCs w:val="20"/>
        </w:rPr>
      </w:pPr>
    </w:p>
    <w:p w14:paraId="46585A1A" w14:textId="77777777" w:rsidR="00CE04C8" w:rsidRDefault="00CE04C8" w:rsidP="00E964DF">
      <w:pPr>
        <w:keepNext/>
        <w:rPr>
          <w:sz w:val="20"/>
          <w:szCs w:val="20"/>
        </w:rPr>
      </w:pPr>
    </w:p>
    <w:p w14:paraId="71D034D7" w14:textId="0E9EC633" w:rsidR="00E964DF" w:rsidRPr="002C75D2" w:rsidRDefault="00E964DF" w:rsidP="00E964DF">
      <w:pPr>
        <w:keepNext/>
        <w:rPr>
          <w:sz w:val="20"/>
          <w:szCs w:val="20"/>
        </w:rPr>
      </w:pPr>
      <w:r w:rsidRPr="002C75D2">
        <w:rPr>
          <w:sz w:val="20"/>
          <w:szCs w:val="20"/>
        </w:rPr>
        <w:t xml:space="preserve">To what extent would you focus on these </w:t>
      </w:r>
      <w:r w:rsidRPr="002C75D2">
        <w:rPr>
          <w:b/>
          <w:sz w:val="20"/>
          <w:szCs w:val="20"/>
        </w:rPr>
        <w:t xml:space="preserve">other issues </w:t>
      </w:r>
      <w:r w:rsidRPr="002C75D2">
        <w:rPr>
          <w:sz w:val="20"/>
          <w:szCs w:val="20"/>
        </w:rPr>
        <w:t>in supervision?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864"/>
        <w:gridCol w:w="373"/>
        <w:gridCol w:w="394"/>
        <w:gridCol w:w="394"/>
        <w:gridCol w:w="394"/>
        <w:gridCol w:w="394"/>
        <w:gridCol w:w="394"/>
        <w:gridCol w:w="394"/>
        <w:gridCol w:w="394"/>
        <w:gridCol w:w="394"/>
        <w:gridCol w:w="394"/>
        <w:gridCol w:w="415"/>
      </w:tblGrid>
      <w:tr w:rsidR="00E964DF" w:rsidRPr="00E964DF" w14:paraId="72CDF3DE" w14:textId="77777777" w:rsidTr="00C31046">
        <w:tc>
          <w:tcPr>
            <w:tcW w:w="4788" w:type="dxa"/>
          </w:tcPr>
          <w:p w14:paraId="5B88083A" w14:textId="77777777" w:rsidR="00E964DF" w:rsidRPr="002C75D2" w:rsidRDefault="00E964DF" w:rsidP="00C31046">
            <w:pPr>
              <w:rPr>
                <w:sz w:val="20"/>
                <w:szCs w:val="20"/>
              </w:rPr>
            </w:pPr>
          </w:p>
        </w:tc>
        <w:tc>
          <w:tcPr>
            <w:tcW w:w="435" w:type="dxa"/>
          </w:tcPr>
          <w:p w14:paraId="0CB0771C" w14:textId="77777777" w:rsidR="00E964DF" w:rsidRPr="002C75D2" w:rsidRDefault="00E964DF" w:rsidP="00C31046">
            <w:pPr>
              <w:rPr>
                <w:sz w:val="20"/>
                <w:szCs w:val="20"/>
              </w:rPr>
            </w:pPr>
            <w:r w:rsidRPr="002C75D2">
              <w:rPr>
                <w:sz w:val="20"/>
                <w:szCs w:val="20"/>
              </w:rPr>
              <w:t>0</w:t>
            </w:r>
          </w:p>
        </w:tc>
        <w:tc>
          <w:tcPr>
            <w:tcW w:w="435" w:type="dxa"/>
          </w:tcPr>
          <w:p w14:paraId="68D61F12" w14:textId="77777777" w:rsidR="00E964DF" w:rsidRPr="002C75D2" w:rsidRDefault="00E964DF" w:rsidP="00C31046">
            <w:pPr>
              <w:rPr>
                <w:sz w:val="20"/>
                <w:szCs w:val="20"/>
              </w:rPr>
            </w:pPr>
            <w:r w:rsidRPr="002C75D2">
              <w:rPr>
                <w:sz w:val="20"/>
                <w:szCs w:val="20"/>
              </w:rPr>
              <w:t>10</w:t>
            </w:r>
          </w:p>
        </w:tc>
        <w:tc>
          <w:tcPr>
            <w:tcW w:w="435" w:type="dxa"/>
          </w:tcPr>
          <w:p w14:paraId="7972F4B0" w14:textId="77777777" w:rsidR="00E964DF" w:rsidRPr="002C75D2" w:rsidRDefault="00E964DF" w:rsidP="00C31046">
            <w:pPr>
              <w:rPr>
                <w:sz w:val="20"/>
                <w:szCs w:val="20"/>
              </w:rPr>
            </w:pPr>
            <w:r w:rsidRPr="002C75D2">
              <w:rPr>
                <w:sz w:val="20"/>
                <w:szCs w:val="20"/>
              </w:rPr>
              <w:t>20</w:t>
            </w:r>
          </w:p>
        </w:tc>
        <w:tc>
          <w:tcPr>
            <w:tcW w:w="435" w:type="dxa"/>
          </w:tcPr>
          <w:p w14:paraId="4A220D81" w14:textId="77777777" w:rsidR="00E964DF" w:rsidRPr="002C75D2" w:rsidRDefault="00E964DF" w:rsidP="00C31046">
            <w:pPr>
              <w:rPr>
                <w:sz w:val="20"/>
                <w:szCs w:val="20"/>
              </w:rPr>
            </w:pPr>
            <w:r w:rsidRPr="002C75D2">
              <w:rPr>
                <w:sz w:val="20"/>
                <w:szCs w:val="20"/>
              </w:rPr>
              <w:t>30</w:t>
            </w:r>
          </w:p>
        </w:tc>
        <w:tc>
          <w:tcPr>
            <w:tcW w:w="435" w:type="dxa"/>
          </w:tcPr>
          <w:p w14:paraId="176CFA96" w14:textId="77777777" w:rsidR="00E964DF" w:rsidRPr="002C75D2" w:rsidRDefault="00E964DF" w:rsidP="00C31046">
            <w:pPr>
              <w:rPr>
                <w:sz w:val="20"/>
                <w:szCs w:val="20"/>
              </w:rPr>
            </w:pPr>
            <w:r w:rsidRPr="002C75D2">
              <w:rPr>
                <w:sz w:val="20"/>
                <w:szCs w:val="20"/>
              </w:rPr>
              <w:t>40</w:t>
            </w:r>
          </w:p>
        </w:tc>
        <w:tc>
          <w:tcPr>
            <w:tcW w:w="435" w:type="dxa"/>
          </w:tcPr>
          <w:p w14:paraId="4AD61579" w14:textId="77777777" w:rsidR="00E964DF" w:rsidRPr="002C75D2" w:rsidRDefault="00E964DF" w:rsidP="00C31046">
            <w:pPr>
              <w:rPr>
                <w:sz w:val="20"/>
                <w:szCs w:val="20"/>
              </w:rPr>
            </w:pPr>
            <w:r w:rsidRPr="002C75D2">
              <w:rPr>
                <w:sz w:val="20"/>
                <w:szCs w:val="20"/>
              </w:rPr>
              <w:t>50</w:t>
            </w:r>
          </w:p>
        </w:tc>
        <w:tc>
          <w:tcPr>
            <w:tcW w:w="435" w:type="dxa"/>
          </w:tcPr>
          <w:p w14:paraId="120299A7" w14:textId="77777777" w:rsidR="00E964DF" w:rsidRPr="002C75D2" w:rsidRDefault="00E964DF" w:rsidP="00C31046">
            <w:pPr>
              <w:rPr>
                <w:sz w:val="20"/>
                <w:szCs w:val="20"/>
              </w:rPr>
            </w:pPr>
            <w:r w:rsidRPr="002C75D2">
              <w:rPr>
                <w:sz w:val="20"/>
                <w:szCs w:val="20"/>
              </w:rPr>
              <w:t>60</w:t>
            </w:r>
          </w:p>
        </w:tc>
        <w:tc>
          <w:tcPr>
            <w:tcW w:w="435" w:type="dxa"/>
          </w:tcPr>
          <w:p w14:paraId="08CD5537" w14:textId="77777777" w:rsidR="00E964DF" w:rsidRPr="002C75D2" w:rsidRDefault="00E964DF" w:rsidP="00C31046">
            <w:pPr>
              <w:rPr>
                <w:sz w:val="20"/>
                <w:szCs w:val="20"/>
              </w:rPr>
            </w:pPr>
            <w:r w:rsidRPr="002C75D2">
              <w:rPr>
                <w:sz w:val="20"/>
                <w:szCs w:val="20"/>
              </w:rPr>
              <w:t>70</w:t>
            </w:r>
          </w:p>
        </w:tc>
        <w:tc>
          <w:tcPr>
            <w:tcW w:w="435" w:type="dxa"/>
          </w:tcPr>
          <w:p w14:paraId="484AE5A3" w14:textId="77777777" w:rsidR="00E964DF" w:rsidRPr="002C75D2" w:rsidRDefault="00E964DF" w:rsidP="00C31046">
            <w:pPr>
              <w:rPr>
                <w:sz w:val="20"/>
                <w:szCs w:val="20"/>
              </w:rPr>
            </w:pPr>
            <w:r w:rsidRPr="002C75D2">
              <w:rPr>
                <w:sz w:val="20"/>
                <w:szCs w:val="20"/>
              </w:rPr>
              <w:t>80</w:t>
            </w:r>
          </w:p>
        </w:tc>
        <w:tc>
          <w:tcPr>
            <w:tcW w:w="435" w:type="dxa"/>
          </w:tcPr>
          <w:p w14:paraId="7C588311" w14:textId="77777777" w:rsidR="00E964DF" w:rsidRPr="002C75D2" w:rsidRDefault="00E964DF" w:rsidP="00C31046">
            <w:pPr>
              <w:rPr>
                <w:sz w:val="20"/>
                <w:szCs w:val="20"/>
              </w:rPr>
            </w:pPr>
            <w:r w:rsidRPr="002C75D2">
              <w:rPr>
                <w:sz w:val="20"/>
                <w:szCs w:val="20"/>
              </w:rPr>
              <w:t>90</w:t>
            </w:r>
          </w:p>
        </w:tc>
        <w:tc>
          <w:tcPr>
            <w:tcW w:w="435" w:type="dxa"/>
          </w:tcPr>
          <w:p w14:paraId="6AA90FBF" w14:textId="77777777" w:rsidR="00E964DF" w:rsidRPr="002C75D2" w:rsidRDefault="00E964DF" w:rsidP="00C31046">
            <w:pPr>
              <w:rPr>
                <w:sz w:val="20"/>
                <w:szCs w:val="20"/>
              </w:rPr>
            </w:pPr>
            <w:r w:rsidRPr="002C75D2">
              <w:rPr>
                <w:sz w:val="20"/>
                <w:szCs w:val="20"/>
              </w:rPr>
              <w:t>100</w:t>
            </w:r>
          </w:p>
        </w:tc>
      </w:tr>
    </w:tbl>
    <w:p w14:paraId="6211718D" w14:textId="77777777" w:rsidR="00E964DF" w:rsidRPr="002C75D2" w:rsidRDefault="00E964DF" w:rsidP="00E964DF">
      <w:pPr>
        <w:rPr>
          <w:sz w:val="20"/>
          <w:szCs w:val="20"/>
        </w:rPr>
      </w:pPr>
    </w:p>
    <w:tbl>
      <w:tblPr>
        <w:tblStyle w:val="QStandardSliderTable"/>
        <w:tblW w:w="9576" w:type="auto"/>
        <w:tblLook w:val="07E0" w:firstRow="1" w:lastRow="1" w:firstColumn="1" w:lastColumn="1" w:noHBand="1" w:noVBand="1"/>
      </w:tblPr>
      <w:tblGrid>
        <w:gridCol w:w="3984"/>
        <w:gridCol w:w="4214"/>
      </w:tblGrid>
      <w:tr w:rsidR="00E964DF" w:rsidRPr="00E964DF" w14:paraId="6CD34FAF"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523E0942" w14:textId="77777777" w:rsidR="00E964DF" w:rsidRPr="002C75D2" w:rsidRDefault="00E964DF" w:rsidP="00C31046">
            <w:pPr>
              <w:keepNext/>
              <w:rPr>
                <w:sz w:val="20"/>
              </w:rPr>
            </w:pPr>
            <w:r w:rsidRPr="002C75D2">
              <w:rPr>
                <w:sz w:val="20"/>
              </w:rPr>
              <w:lastRenderedPageBreak/>
              <w:t>Focus on risk (to the patient or others)</w:t>
            </w:r>
          </w:p>
        </w:tc>
        <w:tc>
          <w:tcPr>
            <w:tcW w:w="4788" w:type="dxa"/>
          </w:tcPr>
          <w:p w14:paraId="30F61D6B"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403EC9B4" wp14:editId="43CCC6FF">
                  <wp:extent cx="1905000" cy="304800"/>
                  <wp:effectExtent l="0" t="0" r="0" b="0"/>
                  <wp:docPr id="8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1FF95A53"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01A4E729" w14:textId="77777777" w:rsidR="00E964DF" w:rsidRPr="002C75D2" w:rsidRDefault="00E964DF" w:rsidP="00C31046">
            <w:pPr>
              <w:keepNext/>
              <w:rPr>
                <w:sz w:val="20"/>
              </w:rPr>
            </w:pPr>
            <w:r w:rsidRPr="002C75D2">
              <w:rPr>
                <w:sz w:val="20"/>
              </w:rPr>
              <w:t>Focus on the patient's capacity to use treatment and benefit from it</w:t>
            </w:r>
          </w:p>
        </w:tc>
        <w:tc>
          <w:tcPr>
            <w:tcW w:w="4788" w:type="dxa"/>
          </w:tcPr>
          <w:p w14:paraId="2E44C9AA"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21FAFEDA" wp14:editId="350FBF59">
                  <wp:extent cx="1905000" cy="304800"/>
                  <wp:effectExtent l="0" t="0" r="0" b="0"/>
                  <wp:docPr id="9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6072316E"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3C0ADFC8" w14:textId="77777777" w:rsidR="00E964DF" w:rsidRPr="002C75D2" w:rsidRDefault="00E964DF" w:rsidP="00C31046">
            <w:pPr>
              <w:keepNext/>
              <w:rPr>
                <w:sz w:val="20"/>
              </w:rPr>
            </w:pPr>
            <w:r w:rsidRPr="002C75D2">
              <w:rPr>
                <w:sz w:val="20"/>
              </w:rPr>
              <w:t>Focus on the patient's week</w:t>
            </w:r>
          </w:p>
        </w:tc>
        <w:tc>
          <w:tcPr>
            <w:tcW w:w="4788" w:type="dxa"/>
          </w:tcPr>
          <w:p w14:paraId="0837D1A4"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382C7E1E" wp14:editId="1DEF1500">
                  <wp:extent cx="1905000" cy="304800"/>
                  <wp:effectExtent l="0" t="0" r="0" b="0"/>
                  <wp:docPr id="9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0D2E38C8"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17DF3349" w14:textId="77777777" w:rsidR="00E964DF" w:rsidRPr="002C75D2" w:rsidRDefault="00E964DF" w:rsidP="00C31046">
            <w:pPr>
              <w:keepNext/>
              <w:rPr>
                <w:sz w:val="20"/>
              </w:rPr>
            </w:pPr>
            <w:r w:rsidRPr="002C75D2">
              <w:rPr>
                <w:sz w:val="20"/>
              </w:rPr>
              <w:t>Encouragement/motivation of the clinician to remain on task</w:t>
            </w:r>
          </w:p>
        </w:tc>
        <w:tc>
          <w:tcPr>
            <w:tcW w:w="4788" w:type="dxa"/>
          </w:tcPr>
          <w:p w14:paraId="68BF47B1"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78055B24" wp14:editId="0086727D">
                  <wp:extent cx="1905000" cy="304800"/>
                  <wp:effectExtent l="0" t="0" r="0" b="0"/>
                  <wp:docPr id="9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E964DF" w:rsidRPr="00E964DF" w14:paraId="40B53835" w14:textId="77777777" w:rsidTr="00C31046">
        <w:tc>
          <w:tcPr>
            <w:cnfStyle w:val="001000000000" w:firstRow="0" w:lastRow="0" w:firstColumn="1" w:lastColumn="0" w:oddVBand="0" w:evenVBand="0" w:oddHBand="0" w:evenHBand="0" w:firstRowFirstColumn="0" w:firstRowLastColumn="0" w:lastRowFirstColumn="0" w:lastRowLastColumn="0"/>
            <w:tcW w:w="4788" w:type="dxa"/>
          </w:tcPr>
          <w:p w14:paraId="4144FE37" w14:textId="77777777" w:rsidR="00E964DF" w:rsidRPr="002C75D2" w:rsidRDefault="00E964DF" w:rsidP="00C31046">
            <w:pPr>
              <w:keepNext/>
              <w:rPr>
                <w:sz w:val="20"/>
              </w:rPr>
            </w:pPr>
            <w:r w:rsidRPr="002C75D2">
              <w:rPr>
                <w:sz w:val="20"/>
              </w:rPr>
              <w:t>Other (please state)</w:t>
            </w:r>
          </w:p>
        </w:tc>
        <w:tc>
          <w:tcPr>
            <w:tcW w:w="4788" w:type="dxa"/>
          </w:tcPr>
          <w:p w14:paraId="0ED9483E" w14:textId="77777777" w:rsidR="00E964DF" w:rsidRPr="002C75D2" w:rsidRDefault="00E964DF" w:rsidP="00C31046">
            <w:pPr>
              <w:keepNext/>
              <w:cnfStyle w:val="000000000000" w:firstRow="0" w:lastRow="0" w:firstColumn="0" w:lastColumn="0" w:oddVBand="0" w:evenVBand="0" w:oddHBand="0" w:evenHBand="0" w:firstRowFirstColumn="0" w:firstRowLastColumn="0" w:lastRowFirstColumn="0" w:lastRowLastColumn="0"/>
              <w:rPr>
                <w:sz w:val="20"/>
              </w:rPr>
            </w:pPr>
            <w:r w:rsidRPr="002C75D2">
              <w:rPr>
                <w:noProof/>
                <w:sz w:val="20"/>
              </w:rPr>
              <w:drawing>
                <wp:inline distT="0" distB="0" distL="0" distR="0" wp14:anchorId="40E2C302" wp14:editId="565FF3E6">
                  <wp:extent cx="1905000" cy="304800"/>
                  <wp:effectExtent l="0" t="0" r="0" b="0"/>
                  <wp:docPr id="9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033A2040" w14:textId="77777777" w:rsidR="00E964DF" w:rsidRPr="002C75D2" w:rsidRDefault="00E964DF" w:rsidP="00E964DF">
      <w:pPr>
        <w:rPr>
          <w:sz w:val="20"/>
          <w:szCs w:val="20"/>
        </w:rPr>
      </w:pPr>
    </w:p>
    <w:p w14:paraId="67F3E64E" w14:textId="77777777" w:rsidR="00E964DF" w:rsidRPr="002C75D2" w:rsidRDefault="00E964DF" w:rsidP="00E964DF">
      <w:pPr>
        <w:keepNext/>
        <w:rPr>
          <w:sz w:val="20"/>
          <w:szCs w:val="20"/>
        </w:rPr>
      </w:pPr>
      <w:r w:rsidRPr="002C75D2">
        <w:rPr>
          <w:sz w:val="20"/>
          <w:szCs w:val="20"/>
        </w:rPr>
        <w:lastRenderedPageBreak/>
        <w:t>We are interested in whether the techniques that you focus on in supervision are related to you as a person. Please indicate whether the following items apply to you and, if so, to what extent they do. </w:t>
      </w:r>
    </w:p>
    <w:tbl>
      <w:tblPr>
        <w:tblStyle w:val="QQuestionTable"/>
        <w:tblW w:w="9576" w:type="auto"/>
        <w:tblLook w:val="07E0" w:firstRow="1" w:lastRow="1" w:firstColumn="1" w:lastColumn="1" w:noHBand="1" w:noVBand="1"/>
      </w:tblPr>
      <w:tblGrid>
        <w:gridCol w:w="1656"/>
        <w:gridCol w:w="1640"/>
        <w:gridCol w:w="1582"/>
        <w:gridCol w:w="1660"/>
        <w:gridCol w:w="1660"/>
      </w:tblGrid>
      <w:tr w:rsidR="00E964DF" w:rsidRPr="00E964DF" w14:paraId="411811BA" w14:textId="77777777" w:rsidTr="00C31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2D71AE1" w14:textId="77777777" w:rsidR="00E964DF" w:rsidRPr="002C75D2" w:rsidRDefault="00E964DF" w:rsidP="002C75D2">
            <w:pPr>
              <w:keepNext/>
              <w:spacing w:line="240" w:lineRule="auto"/>
              <w:rPr>
                <w:sz w:val="20"/>
              </w:rPr>
            </w:pPr>
          </w:p>
        </w:tc>
        <w:tc>
          <w:tcPr>
            <w:tcW w:w="1915" w:type="dxa"/>
          </w:tcPr>
          <w:p w14:paraId="612EDA5D" w14:textId="77777777" w:rsidR="00E964DF" w:rsidRPr="002C75D2" w:rsidRDefault="00E964DF" w:rsidP="002C75D2">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Strongly Agree</w:t>
            </w:r>
          </w:p>
        </w:tc>
        <w:tc>
          <w:tcPr>
            <w:tcW w:w="1915" w:type="dxa"/>
          </w:tcPr>
          <w:p w14:paraId="5D7C1D91" w14:textId="77777777" w:rsidR="00E964DF" w:rsidRPr="002C75D2" w:rsidRDefault="00E964DF" w:rsidP="002C75D2">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Agree</w:t>
            </w:r>
          </w:p>
        </w:tc>
        <w:tc>
          <w:tcPr>
            <w:tcW w:w="1915" w:type="dxa"/>
          </w:tcPr>
          <w:p w14:paraId="7D872035" w14:textId="77777777" w:rsidR="00E964DF" w:rsidRPr="002C75D2" w:rsidRDefault="00E964DF" w:rsidP="002C75D2">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Disagree</w:t>
            </w:r>
          </w:p>
        </w:tc>
        <w:tc>
          <w:tcPr>
            <w:tcW w:w="1915" w:type="dxa"/>
          </w:tcPr>
          <w:p w14:paraId="43EB9DF8" w14:textId="77777777" w:rsidR="00E964DF" w:rsidRPr="002C75D2" w:rsidRDefault="00E964DF" w:rsidP="002C75D2">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Strongly Disagree</w:t>
            </w:r>
          </w:p>
        </w:tc>
      </w:tr>
      <w:tr w:rsidR="00E964DF" w:rsidRPr="00E964DF" w14:paraId="0309857A"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536CF638" w14:textId="77777777" w:rsidR="00E964DF" w:rsidRPr="002C75D2" w:rsidRDefault="00E964DF" w:rsidP="002C75D2">
            <w:pPr>
              <w:keepNext/>
              <w:spacing w:line="240" w:lineRule="auto"/>
              <w:rPr>
                <w:sz w:val="20"/>
              </w:rPr>
            </w:pPr>
            <w:r w:rsidRPr="002C75D2">
              <w:rPr>
                <w:sz w:val="20"/>
              </w:rPr>
              <w:t xml:space="preserve">I feel that I am a person of worth, at least on an equal plane with others. </w:t>
            </w:r>
          </w:p>
        </w:tc>
        <w:tc>
          <w:tcPr>
            <w:tcW w:w="1915" w:type="dxa"/>
          </w:tcPr>
          <w:p w14:paraId="162EA088"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15D14140"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17C0DE70"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D222C47"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5F104FB8"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1F523918" w14:textId="77777777" w:rsidR="00E964DF" w:rsidRPr="002C75D2" w:rsidRDefault="00E964DF" w:rsidP="002C75D2">
            <w:pPr>
              <w:keepNext/>
              <w:spacing w:line="240" w:lineRule="auto"/>
              <w:rPr>
                <w:sz w:val="20"/>
              </w:rPr>
            </w:pPr>
            <w:r w:rsidRPr="002C75D2">
              <w:rPr>
                <w:sz w:val="20"/>
              </w:rPr>
              <w:t xml:space="preserve">I feel that I have a number of good qualities. </w:t>
            </w:r>
          </w:p>
        </w:tc>
        <w:tc>
          <w:tcPr>
            <w:tcW w:w="1915" w:type="dxa"/>
          </w:tcPr>
          <w:p w14:paraId="306501CC"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2E02C2CE"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3AF82E8E"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E1ECFA2"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44143C58"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0FCF25D5" w14:textId="77777777" w:rsidR="00E964DF" w:rsidRPr="002C75D2" w:rsidRDefault="00E964DF" w:rsidP="002C75D2">
            <w:pPr>
              <w:keepNext/>
              <w:spacing w:line="240" w:lineRule="auto"/>
              <w:rPr>
                <w:sz w:val="20"/>
              </w:rPr>
            </w:pPr>
            <w:r w:rsidRPr="002C75D2">
              <w:rPr>
                <w:sz w:val="20"/>
              </w:rPr>
              <w:t xml:space="preserve">All in all, I am inclined to feel that I am a failure. </w:t>
            </w:r>
          </w:p>
        </w:tc>
        <w:tc>
          <w:tcPr>
            <w:tcW w:w="1915" w:type="dxa"/>
          </w:tcPr>
          <w:p w14:paraId="18EB03A5"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AF78B50"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5A842A5"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331191D4"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24B66A8D"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575BDD00" w14:textId="77777777" w:rsidR="00E964DF" w:rsidRPr="002C75D2" w:rsidRDefault="00E964DF" w:rsidP="002C75D2">
            <w:pPr>
              <w:keepNext/>
              <w:spacing w:line="240" w:lineRule="auto"/>
              <w:rPr>
                <w:sz w:val="20"/>
              </w:rPr>
            </w:pPr>
            <w:r w:rsidRPr="002C75D2">
              <w:rPr>
                <w:sz w:val="20"/>
              </w:rPr>
              <w:t xml:space="preserve">I am able to do things as well as most other people. </w:t>
            </w:r>
          </w:p>
        </w:tc>
        <w:tc>
          <w:tcPr>
            <w:tcW w:w="1915" w:type="dxa"/>
          </w:tcPr>
          <w:p w14:paraId="7A3A2B74"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24A1F4E8"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743D342E"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6B07C8FC"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0B09CE82"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05227892" w14:textId="77777777" w:rsidR="00E964DF" w:rsidRPr="002C75D2" w:rsidRDefault="00E964DF" w:rsidP="002C75D2">
            <w:pPr>
              <w:keepNext/>
              <w:spacing w:line="240" w:lineRule="auto"/>
              <w:rPr>
                <w:sz w:val="20"/>
              </w:rPr>
            </w:pPr>
            <w:r w:rsidRPr="002C75D2">
              <w:rPr>
                <w:sz w:val="20"/>
              </w:rPr>
              <w:t xml:space="preserve">I feel I do not have much to be proud of. </w:t>
            </w:r>
          </w:p>
        </w:tc>
        <w:tc>
          <w:tcPr>
            <w:tcW w:w="1915" w:type="dxa"/>
          </w:tcPr>
          <w:p w14:paraId="1678283F"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1AACBD00"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6FDB60BE"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4E1B5E9F"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3137A7A7"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1244156A" w14:textId="77777777" w:rsidR="00E964DF" w:rsidRPr="002C75D2" w:rsidRDefault="00E964DF" w:rsidP="002C75D2">
            <w:pPr>
              <w:keepNext/>
              <w:spacing w:line="240" w:lineRule="auto"/>
              <w:rPr>
                <w:sz w:val="20"/>
              </w:rPr>
            </w:pPr>
            <w:r w:rsidRPr="002C75D2">
              <w:rPr>
                <w:sz w:val="20"/>
              </w:rPr>
              <w:t xml:space="preserve">I take a positive attitude toward myself. </w:t>
            </w:r>
          </w:p>
        </w:tc>
        <w:tc>
          <w:tcPr>
            <w:tcW w:w="1915" w:type="dxa"/>
          </w:tcPr>
          <w:p w14:paraId="58F64239"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7A575FD1"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503D056"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7E5C2D02"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1BA9CFBF"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3F278A4F" w14:textId="77777777" w:rsidR="00E964DF" w:rsidRPr="002C75D2" w:rsidRDefault="00E964DF" w:rsidP="002C75D2">
            <w:pPr>
              <w:keepNext/>
              <w:spacing w:line="240" w:lineRule="auto"/>
              <w:rPr>
                <w:sz w:val="20"/>
              </w:rPr>
            </w:pPr>
            <w:r w:rsidRPr="002C75D2">
              <w:rPr>
                <w:sz w:val="20"/>
              </w:rPr>
              <w:t xml:space="preserve">On the whole, I am satisfied with myself. </w:t>
            </w:r>
          </w:p>
        </w:tc>
        <w:tc>
          <w:tcPr>
            <w:tcW w:w="1915" w:type="dxa"/>
          </w:tcPr>
          <w:p w14:paraId="6AF1CDF7"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97771B1"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65181F8"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FF3EBCD"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2DBC53DD"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5C9395AC" w14:textId="77777777" w:rsidR="00E964DF" w:rsidRPr="002C75D2" w:rsidRDefault="00E964DF" w:rsidP="002C75D2">
            <w:pPr>
              <w:keepNext/>
              <w:spacing w:line="240" w:lineRule="auto"/>
              <w:rPr>
                <w:sz w:val="20"/>
              </w:rPr>
            </w:pPr>
            <w:r w:rsidRPr="002C75D2">
              <w:rPr>
                <w:sz w:val="20"/>
              </w:rPr>
              <w:t xml:space="preserve">On the whole, I am satisfied with myself. </w:t>
            </w:r>
          </w:p>
        </w:tc>
        <w:tc>
          <w:tcPr>
            <w:tcW w:w="1915" w:type="dxa"/>
          </w:tcPr>
          <w:p w14:paraId="24E1C5AC"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4691754"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4EB09BB3"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685205FB"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47A794B3"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2CEA0B6B" w14:textId="77777777" w:rsidR="00E964DF" w:rsidRPr="002C75D2" w:rsidRDefault="00E964DF" w:rsidP="002C75D2">
            <w:pPr>
              <w:keepNext/>
              <w:spacing w:line="240" w:lineRule="auto"/>
              <w:rPr>
                <w:sz w:val="20"/>
              </w:rPr>
            </w:pPr>
            <w:r w:rsidRPr="002C75D2">
              <w:rPr>
                <w:sz w:val="20"/>
              </w:rPr>
              <w:t xml:space="preserve">I certainly feel useless at times. </w:t>
            </w:r>
          </w:p>
        </w:tc>
        <w:tc>
          <w:tcPr>
            <w:tcW w:w="1915" w:type="dxa"/>
          </w:tcPr>
          <w:p w14:paraId="29C4E250"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12AD3C2"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630A71E5"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22C055C8"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06263C9A" w14:textId="77777777" w:rsidTr="00C31046">
        <w:tc>
          <w:tcPr>
            <w:cnfStyle w:val="001000000000" w:firstRow="0" w:lastRow="0" w:firstColumn="1" w:lastColumn="0" w:oddVBand="0" w:evenVBand="0" w:oddHBand="0" w:evenHBand="0" w:firstRowFirstColumn="0" w:firstRowLastColumn="0" w:lastRowFirstColumn="0" w:lastRowLastColumn="0"/>
            <w:tcW w:w="1915" w:type="dxa"/>
          </w:tcPr>
          <w:p w14:paraId="030075F7" w14:textId="77777777" w:rsidR="00E964DF" w:rsidRPr="002C75D2" w:rsidRDefault="00E964DF" w:rsidP="002C75D2">
            <w:pPr>
              <w:keepNext/>
              <w:spacing w:line="240" w:lineRule="auto"/>
              <w:rPr>
                <w:sz w:val="20"/>
              </w:rPr>
            </w:pPr>
            <w:r w:rsidRPr="002C75D2">
              <w:rPr>
                <w:sz w:val="20"/>
              </w:rPr>
              <w:t xml:space="preserve">At times I think I am no good at all. </w:t>
            </w:r>
          </w:p>
        </w:tc>
        <w:tc>
          <w:tcPr>
            <w:tcW w:w="1915" w:type="dxa"/>
          </w:tcPr>
          <w:p w14:paraId="43BA3D87" w14:textId="77777777" w:rsidR="00E964DF" w:rsidRPr="002C75D2" w:rsidRDefault="00E964DF" w:rsidP="00E964DF">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5AD731BF" w14:textId="77777777" w:rsidR="00E964DF" w:rsidRPr="002C75D2" w:rsidRDefault="00E964DF" w:rsidP="00823FE5">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0C9C44BB"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915" w:type="dxa"/>
          </w:tcPr>
          <w:p w14:paraId="62057354" w14:textId="77777777" w:rsidR="00E964DF" w:rsidRPr="002C75D2" w:rsidRDefault="00E964DF" w:rsidP="00C31046">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bl>
    <w:p w14:paraId="6BC015B1" w14:textId="77777777" w:rsidR="00447909" w:rsidRDefault="00447909" w:rsidP="00E964DF">
      <w:pPr>
        <w:keepNext/>
        <w:rPr>
          <w:sz w:val="20"/>
          <w:szCs w:val="20"/>
        </w:rPr>
      </w:pPr>
    </w:p>
    <w:p w14:paraId="65A48EC5" w14:textId="77777777" w:rsidR="00447909" w:rsidRDefault="00447909" w:rsidP="00E964DF">
      <w:pPr>
        <w:keepNext/>
        <w:rPr>
          <w:sz w:val="20"/>
          <w:szCs w:val="20"/>
        </w:rPr>
      </w:pPr>
    </w:p>
    <w:p w14:paraId="68CA0426" w14:textId="77777777" w:rsidR="00447909" w:rsidRDefault="00447909" w:rsidP="00E964DF">
      <w:pPr>
        <w:keepNext/>
        <w:rPr>
          <w:sz w:val="20"/>
          <w:szCs w:val="20"/>
        </w:rPr>
      </w:pPr>
    </w:p>
    <w:p w14:paraId="03EFA6AE" w14:textId="67C41798" w:rsidR="00E964DF" w:rsidRPr="002C75D2" w:rsidRDefault="00E964DF" w:rsidP="00E964DF">
      <w:pPr>
        <w:keepNext/>
        <w:rPr>
          <w:sz w:val="20"/>
          <w:szCs w:val="20"/>
        </w:rPr>
      </w:pPr>
      <w:r w:rsidRPr="002C75D2">
        <w:rPr>
          <w:sz w:val="20"/>
          <w:szCs w:val="20"/>
        </w:rPr>
        <w:lastRenderedPageBreak/>
        <w:t>Finally, please indicate how much these statements apply to you.</w:t>
      </w:r>
    </w:p>
    <w:tbl>
      <w:tblPr>
        <w:tblStyle w:val="QQuestionTable"/>
        <w:tblpPr w:leftFromText="180" w:rightFromText="180" w:vertAnchor="text" w:tblpY="1"/>
        <w:tblOverlap w:val="never"/>
        <w:tblW w:w="9576" w:type="auto"/>
        <w:tblLook w:val="07E0" w:firstRow="1" w:lastRow="1" w:firstColumn="1" w:lastColumn="1" w:noHBand="1" w:noVBand="1"/>
      </w:tblPr>
      <w:tblGrid>
        <w:gridCol w:w="1495"/>
        <w:gridCol w:w="1538"/>
        <w:gridCol w:w="1209"/>
        <w:gridCol w:w="1209"/>
        <w:gridCol w:w="1209"/>
        <w:gridCol w:w="1538"/>
      </w:tblGrid>
      <w:tr w:rsidR="00E964DF" w:rsidRPr="00E964DF" w14:paraId="77D23280" w14:textId="77777777" w:rsidTr="00447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BDA26AC" w14:textId="77777777" w:rsidR="00E964DF" w:rsidRPr="002C75D2" w:rsidRDefault="00E964DF" w:rsidP="00447909">
            <w:pPr>
              <w:keepNext/>
              <w:spacing w:line="240" w:lineRule="auto"/>
              <w:rPr>
                <w:sz w:val="20"/>
              </w:rPr>
            </w:pPr>
          </w:p>
        </w:tc>
        <w:tc>
          <w:tcPr>
            <w:tcW w:w="1596" w:type="dxa"/>
          </w:tcPr>
          <w:p w14:paraId="1B0A5693" w14:textId="77777777" w:rsidR="00E964DF" w:rsidRPr="002C75D2" w:rsidRDefault="00E964DF" w:rsidP="00447909">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1</w:t>
            </w:r>
            <w:r w:rsidRPr="002C75D2">
              <w:rPr>
                <w:sz w:val="20"/>
              </w:rPr>
              <w:br/>
              <w:t xml:space="preserve"> (Not at all characteristic of me)</w:t>
            </w:r>
          </w:p>
        </w:tc>
        <w:tc>
          <w:tcPr>
            <w:tcW w:w="1596" w:type="dxa"/>
          </w:tcPr>
          <w:p w14:paraId="76A800D1" w14:textId="77777777" w:rsidR="00E964DF" w:rsidRPr="002C75D2" w:rsidRDefault="00E964DF" w:rsidP="00447909">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2</w:t>
            </w:r>
          </w:p>
        </w:tc>
        <w:tc>
          <w:tcPr>
            <w:tcW w:w="1596" w:type="dxa"/>
          </w:tcPr>
          <w:p w14:paraId="263453B4" w14:textId="77777777" w:rsidR="00E964DF" w:rsidRPr="002C75D2" w:rsidRDefault="00E964DF" w:rsidP="00447909">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3</w:t>
            </w:r>
          </w:p>
        </w:tc>
        <w:tc>
          <w:tcPr>
            <w:tcW w:w="1596" w:type="dxa"/>
          </w:tcPr>
          <w:p w14:paraId="407BEAF2" w14:textId="77777777" w:rsidR="00E964DF" w:rsidRPr="002C75D2" w:rsidRDefault="00E964DF" w:rsidP="00447909">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4</w:t>
            </w:r>
          </w:p>
        </w:tc>
        <w:tc>
          <w:tcPr>
            <w:tcW w:w="1596" w:type="dxa"/>
          </w:tcPr>
          <w:p w14:paraId="6CF1157C" w14:textId="77777777" w:rsidR="00E964DF" w:rsidRPr="002C75D2" w:rsidRDefault="00E964DF" w:rsidP="00447909">
            <w:pPr>
              <w:spacing w:line="240" w:lineRule="auto"/>
              <w:cnfStyle w:val="100000000000" w:firstRow="1" w:lastRow="0" w:firstColumn="0" w:lastColumn="0" w:oddVBand="0" w:evenVBand="0" w:oddHBand="0" w:evenHBand="0" w:firstRowFirstColumn="0" w:firstRowLastColumn="0" w:lastRowFirstColumn="0" w:lastRowLastColumn="0"/>
              <w:rPr>
                <w:sz w:val="20"/>
              </w:rPr>
            </w:pPr>
            <w:r w:rsidRPr="002C75D2">
              <w:rPr>
                <w:sz w:val="20"/>
              </w:rPr>
              <w:t>5</w:t>
            </w:r>
            <w:r w:rsidRPr="002C75D2">
              <w:rPr>
                <w:sz w:val="20"/>
              </w:rPr>
              <w:br/>
              <w:t xml:space="preserve"> (Entirely characteristic of me)</w:t>
            </w:r>
          </w:p>
        </w:tc>
      </w:tr>
      <w:tr w:rsidR="00E964DF" w:rsidRPr="00E964DF" w14:paraId="07579D91"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55E84D76" w14:textId="77777777" w:rsidR="00E964DF" w:rsidRPr="002C75D2" w:rsidRDefault="00E964DF" w:rsidP="00447909">
            <w:pPr>
              <w:keepNext/>
              <w:spacing w:line="240" w:lineRule="auto"/>
              <w:rPr>
                <w:sz w:val="20"/>
              </w:rPr>
            </w:pPr>
            <w:r w:rsidRPr="002C75D2">
              <w:rPr>
                <w:sz w:val="20"/>
              </w:rPr>
              <w:t xml:space="preserve">Unforeseen events upset me greatly. </w:t>
            </w:r>
          </w:p>
        </w:tc>
        <w:tc>
          <w:tcPr>
            <w:tcW w:w="1596" w:type="dxa"/>
          </w:tcPr>
          <w:p w14:paraId="4BF0968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67CBEA7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4EF029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0434481"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FA7E70D"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1F8847E7"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47446DDC" w14:textId="77777777" w:rsidR="00E964DF" w:rsidRPr="002C75D2" w:rsidRDefault="00E964DF" w:rsidP="00447909">
            <w:pPr>
              <w:keepNext/>
              <w:spacing w:line="240" w:lineRule="auto"/>
              <w:rPr>
                <w:sz w:val="20"/>
              </w:rPr>
            </w:pPr>
            <w:r w:rsidRPr="002C75D2">
              <w:rPr>
                <w:sz w:val="20"/>
              </w:rPr>
              <w:t xml:space="preserve">It frustrates me not having all the information I need. </w:t>
            </w:r>
          </w:p>
        </w:tc>
        <w:tc>
          <w:tcPr>
            <w:tcW w:w="1596" w:type="dxa"/>
          </w:tcPr>
          <w:p w14:paraId="273774E1"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58B9B0E"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27C82E3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45A1F4C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71387FB5"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09669B96"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4A3B3A37" w14:textId="77777777" w:rsidR="00E964DF" w:rsidRPr="002C75D2" w:rsidRDefault="00E964DF" w:rsidP="00447909">
            <w:pPr>
              <w:keepNext/>
              <w:spacing w:line="240" w:lineRule="auto"/>
              <w:rPr>
                <w:sz w:val="20"/>
              </w:rPr>
            </w:pPr>
            <w:r w:rsidRPr="002C75D2">
              <w:rPr>
                <w:sz w:val="20"/>
              </w:rPr>
              <w:t xml:space="preserve">One should always look ahead so as to avoid surprises. </w:t>
            </w:r>
          </w:p>
        </w:tc>
        <w:tc>
          <w:tcPr>
            <w:tcW w:w="1596" w:type="dxa"/>
          </w:tcPr>
          <w:p w14:paraId="5D352CE4"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C0809A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B67624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831F505"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7F916F45"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03C81B80"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406B8429" w14:textId="77777777" w:rsidR="00E964DF" w:rsidRPr="002C75D2" w:rsidRDefault="00E964DF" w:rsidP="00447909">
            <w:pPr>
              <w:keepNext/>
              <w:spacing w:line="240" w:lineRule="auto"/>
              <w:rPr>
                <w:sz w:val="20"/>
              </w:rPr>
            </w:pPr>
            <w:r w:rsidRPr="002C75D2">
              <w:rPr>
                <w:sz w:val="20"/>
              </w:rPr>
              <w:t xml:space="preserve">A small, unforeseen event can spoil everything, even with the best of planning. </w:t>
            </w:r>
          </w:p>
        </w:tc>
        <w:tc>
          <w:tcPr>
            <w:tcW w:w="1596" w:type="dxa"/>
          </w:tcPr>
          <w:p w14:paraId="77B9FB5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4EC791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6EEE7FFB"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4EB0C07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6DD44781"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402D59CD"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2ED3A5E3" w14:textId="77777777" w:rsidR="00E964DF" w:rsidRPr="002C75D2" w:rsidRDefault="00E964DF" w:rsidP="00447909">
            <w:pPr>
              <w:keepNext/>
              <w:spacing w:line="240" w:lineRule="auto"/>
              <w:rPr>
                <w:sz w:val="20"/>
              </w:rPr>
            </w:pPr>
            <w:r w:rsidRPr="002C75D2">
              <w:rPr>
                <w:sz w:val="20"/>
              </w:rPr>
              <w:t xml:space="preserve">I always want to know what the future has in store for me. </w:t>
            </w:r>
          </w:p>
        </w:tc>
        <w:tc>
          <w:tcPr>
            <w:tcW w:w="1596" w:type="dxa"/>
          </w:tcPr>
          <w:p w14:paraId="088FCBA3"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F83DB5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082A27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E9FDE30"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61BB64D"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517AC6D4"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26DADF4C" w14:textId="77777777" w:rsidR="00E964DF" w:rsidRPr="002C75D2" w:rsidRDefault="00E964DF" w:rsidP="00447909">
            <w:pPr>
              <w:keepNext/>
              <w:spacing w:line="240" w:lineRule="auto"/>
              <w:rPr>
                <w:sz w:val="20"/>
              </w:rPr>
            </w:pPr>
            <w:r w:rsidRPr="002C75D2">
              <w:rPr>
                <w:sz w:val="20"/>
              </w:rPr>
              <w:t xml:space="preserve">I can’t stand being taken by surprise. </w:t>
            </w:r>
          </w:p>
        </w:tc>
        <w:tc>
          <w:tcPr>
            <w:tcW w:w="1596" w:type="dxa"/>
          </w:tcPr>
          <w:p w14:paraId="35B52793"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1BBF864"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2334BA7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8E2528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D84FA14"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4AE2A0BE"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6E2A8CA1" w14:textId="77777777" w:rsidR="00E964DF" w:rsidRPr="002C75D2" w:rsidRDefault="00E964DF" w:rsidP="00447909">
            <w:pPr>
              <w:keepNext/>
              <w:spacing w:line="240" w:lineRule="auto"/>
              <w:rPr>
                <w:sz w:val="20"/>
              </w:rPr>
            </w:pPr>
            <w:r w:rsidRPr="002C75D2">
              <w:rPr>
                <w:sz w:val="20"/>
              </w:rPr>
              <w:t xml:space="preserve">I should be able to organize everything in advance. </w:t>
            </w:r>
          </w:p>
        </w:tc>
        <w:tc>
          <w:tcPr>
            <w:tcW w:w="1596" w:type="dxa"/>
          </w:tcPr>
          <w:p w14:paraId="7161DF9E"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2CC963A"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DAC033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B042E2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A6B2121"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08035FAE"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733D63E0" w14:textId="77777777" w:rsidR="00E964DF" w:rsidRPr="002C75D2" w:rsidRDefault="00E964DF" w:rsidP="00447909">
            <w:pPr>
              <w:keepNext/>
              <w:spacing w:line="240" w:lineRule="auto"/>
              <w:rPr>
                <w:sz w:val="20"/>
              </w:rPr>
            </w:pPr>
            <w:r w:rsidRPr="002C75D2">
              <w:rPr>
                <w:sz w:val="20"/>
              </w:rPr>
              <w:t xml:space="preserve">Uncertainty keeps me from living a full life. </w:t>
            </w:r>
          </w:p>
        </w:tc>
        <w:tc>
          <w:tcPr>
            <w:tcW w:w="1596" w:type="dxa"/>
          </w:tcPr>
          <w:p w14:paraId="152D73D3"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BC12B6A"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CAB391C"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FBA921C"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383F2B8"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17CF5989"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047A39BB" w14:textId="77777777" w:rsidR="00E964DF" w:rsidRPr="002C75D2" w:rsidRDefault="00E964DF" w:rsidP="00447909">
            <w:pPr>
              <w:keepNext/>
              <w:spacing w:line="240" w:lineRule="auto"/>
              <w:rPr>
                <w:sz w:val="20"/>
              </w:rPr>
            </w:pPr>
            <w:r w:rsidRPr="002C75D2">
              <w:rPr>
                <w:sz w:val="20"/>
              </w:rPr>
              <w:t xml:space="preserve">When it’s time to act, uncertainty paralyses me. </w:t>
            </w:r>
          </w:p>
        </w:tc>
        <w:tc>
          <w:tcPr>
            <w:tcW w:w="1596" w:type="dxa"/>
          </w:tcPr>
          <w:p w14:paraId="60057227"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4BF93D5A"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3B370D9"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5FD15CB"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5939C1DE"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18597FD4"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08AAA83A" w14:textId="77777777" w:rsidR="00E964DF" w:rsidRPr="002C75D2" w:rsidRDefault="00E964DF" w:rsidP="00447909">
            <w:pPr>
              <w:keepNext/>
              <w:spacing w:line="240" w:lineRule="auto"/>
              <w:rPr>
                <w:sz w:val="20"/>
              </w:rPr>
            </w:pPr>
            <w:r w:rsidRPr="002C75D2">
              <w:rPr>
                <w:sz w:val="20"/>
              </w:rPr>
              <w:lastRenderedPageBreak/>
              <w:t xml:space="preserve">When I am uncertain I can’t function very well. </w:t>
            </w:r>
          </w:p>
        </w:tc>
        <w:tc>
          <w:tcPr>
            <w:tcW w:w="1596" w:type="dxa"/>
          </w:tcPr>
          <w:p w14:paraId="1604692D"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4243AE5A"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98485B7"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2C0AA13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2ED76564"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367E64DB"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3C899AF8" w14:textId="77777777" w:rsidR="00E964DF" w:rsidRPr="002C75D2" w:rsidRDefault="00E964DF" w:rsidP="00447909">
            <w:pPr>
              <w:keepNext/>
              <w:spacing w:line="240" w:lineRule="auto"/>
              <w:rPr>
                <w:sz w:val="20"/>
              </w:rPr>
            </w:pPr>
            <w:r w:rsidRPr="002C75D2">
              <w:rPr>
                <w:sz w:val="20"/>
              </w:rPr>
              <w:t xml:space="preserve">The smallest doubt can stop me from acting. </w:t>
            </w:r>
          </w:p>
        </w:tc>
        <w:tc>
          <w:tcPr>
            <w:tcW w:w="1596" w:type="dxa"/>
          </w:tcPr>
          <w:p w14:paraId="060AE35B"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6AC0C391"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01B83A5"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3A960EFC"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29C99C50"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r w:rsidR="00E964DF" w:rsidRPr="00E964DF" w14:paraId="3EF4A578" w14:textId="77777777" w:rsidTr="00447909">
        <w:tc>
          <w:tcPr>
            <w:cnfStyle w:val="001000000000" w:firstRow="0" w:lastRow="0" w:firstColumn="1" w:lastColumn="0" w:oddVBand="0" w:evenVBand="0" w:oddHBand="0" w:evenHBand="0" w:firstRowFirstColumn="0" w:firstRowLastColumn="0" w:lastRowFirstColumn="0" w:lastRowLastColumn="0"/>
            <w:tcW w:w="1596" w:type="dxa"/>
          </w:tcPr>
          <w:p w14:paraId="29EFFD73" w14:textId="77777777" w:rsidR="00E964DF" w:rsidRPr="002C75D2" w:rsidRDefault="00E964DF" w:rsidP="00447909">
            <w:pPr>
              <w:keepNext/>
              <w:spacing w:line="240" w:lineRule="auto"/>
              <w:rPr>
                <w:sz w:val="20"/>
              </w:rPr>
            </w:pPr>
            <w:r w:rsidRPr="002C75D2">
              <w:rPr>
                <w:sz w:val="20"/>
              </w:rPr>
              <w:t xml:space="preserve">I must get away from all uncertain situations. </w:t>
            </w:r>
          </w:p>
        </w:tc>
        <w:tc>
          <w:tcPr>
            <w:tcW w:w="1596" w:type="dxa"/>
          </w:tcPr>
          <w:p w14:paraId="76DB011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4AC5A0CD"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1AB6C366"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7072DB3F"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c>
          <w:tcPr>
            <w:tcW w:w="1596" w:type="dxa"/>
          </w:tcPr>
          <w:p w14:paraId="0151ECC3" w14:textId="77777777" w:rsidR="00E964DF" w:rsidRPr="002C75D2" w:rsidRDefault="00E964DF" w:rsidP="00447909">
            <w:pPr>
              <w:pStyle w:val="ListParagraph"/>
              <w:keepNext/>
              <w:numPr>
                <w:ilvl w:val="0"/>
                <w:numId w:val="52"/>
              </w:numPr>
              <w:contextualSpacing w:val="0"/>
              <w:jc w:val="center"/>
              <w:cnfStyle w:val="000000000000" w:firstRow="0" w:lastRow="0" w:firstColumn="0" w:lastColumn="0" w:oddVBand="0" w:evenVBand="0" w:oddHBand="0" w:evenHBand="0" w:firstRowFirstColumn="0" w:firstRowLastColumn="0" w:lastRowFirstColumn="0" w:lastRowLastColumn="0"/>
              <w:rPr>
                <w:sz w:val="20"/>
              </w:rPr>
            </w:pPr>
          </w:p>
        </w:tc>
      </w:tr>
    </w:tbl>
    <w:p w14:paraId="4A7CC203" w14:textId="77777777" w:rsidR="00E964DF" w:rsidRPr="002C75D2" w:rsidRDefault="00E964DF" w:rsidP="00E964DF">
      <w:pPr>
        <w:rPr>
          <w:sz w:val="20"/>
          <w:szCs w:val="20"/>
        </w:rPr>
      </w:pPr>
    </w:p>
    <w:p w14:paraId="6C7BDDAB" w14:textId="77777777" w:rsidR="00447909" w:rsidRDefault="00447909" w:rsidP="00E964DF">
      <w:pPr>
        <w:keepNext/>
        <w:rPr>
          <w:sz w:val="20"/>
          <w:szCs w:val="20"/>
        </w:rPr>
      </w:pPr>
    </w:p>
    <w:p w14:paraId="4373ED55" w14:textId="77777777" w:rsidR="00447909" w:rsidRDefault="00447909" w:rsidP="00E964DF">
      <w:pPr>
        <w:keepNext/>
        <w:rPr>
          <w:sz w:val="20"/>
          <w:szCs w:val="20"/>
        </w:rPr>
      </w:pPr>
    </w:p>
    <w:p w14:paraId="702452A7" w14:textId="77777777" w:rsidR="00447909" w:rsidRDefault="00447909" w:rsidP="00E964DF">
      <w:pPr>
        <w:keepNext/>
        <w:rPr>
          <w:sz w:val="20"/>
          <w:szCs w:val="20"/>
        </w:rPr>
      </w:pPr>
    </w:p>
    <w:p w14:paraId="6571C84B" w14:textId="77777777" w:rsidR="00447909" w:rsidRDefault="00447909" w:rsidP="00E964DF">
      <w:pPr>
        <w:keepNext/>
        <w:rPr>
          <w:sz w:val="20"/>
          <w:szCs w:val="20"/>
        </w:rPr>
      </w:pPr>
    </w:p>
    <w:p w14:paraId="0881B102" w14:textId="77777777" w:rsidR="00447909" w:rsidRDefault="00447909" w:rsidP="00E964DF">
      <w:pPr>
        <w:keepNext/>
        <w:rPr>
          <w:sz w:val="20"/>
          <w:szCs w:val="20"/>
        </w:rPr>
      </w:pPr>
    </w:p>
    <w:p w14:paraId="3F9AB1B1" w14:textId="4E5AB294" w:rsidR="00E964DF" w:rsidRPr="002C75D2" w:rsidRDefault="00E964DF" w:rsidP="00E964DF">
      <w:pPr>
        <w:keepNext/>
        <w:rPr>
          <w:sz w:val="20"/>
          <w:szCs w:val="20"/>
        </w:rPr>
      </w:pPr>
      <w:r w:rsidRPr="002C75D2">
        <w:rPr>
          <w:sz w:val="20"/>
          <w:szCs w:val="20"/>
        </w:rPr>
        <w:t>Thank you for completing this questionnaire. If you have any questions or would like more information about this study, please contact me - Chloe Simpson-Southward (</w:t>
      </w:r>
      <w:hyperlink r:id="rId37">
        <w:r w:rsidRPr="002C75D2">
          <w:rPr>
            <w:color w:val="007AC0"/>
            <w:sz w:val="20"/>
            <w:szCs w:val="20"/>
            <w:u w:val="single"/>
          </w:rPr>
          <w:t>crsimpson-southward1@sheffield.ac.uk</w:t>
        </w:r>
      </w:hyperlink>
      <w:r w:rsidRPr="002C75D2">
        <w:rPr>
          <w:sz w:val="20"/>
          <w:szCs w:val="20"/>
        </w:rPr>
        <w:t>). This research is supervised by Glenn Waller (</w:t>
      </w:r>
      <w:hyperlink r:id="rId38">
        <w:r w:rsidRPr="002C75D2">
          <w:rPr>
            <w:color w:val="007AC0"/>
            <w:sz w:val="20"/>
            <w:szCs w:val="20"/>
            <w:u w:val="single"/>
          </w:rPr>
          <w:t>g.waller@sheffield.ac.uk</w:t>
        </w:r>
      </w:hyperlink>
      <w:r w:rsidRPr="002C75D2">
        <w:rPr>
          <w:sz w:val="20"/>
          <w:szCs w:val="20"/>
        </w:rPr>
        <w:t>) and Gillian Hardy (</w:t>
      </w:r>
      <w:hyperlink r:id="rId39">
        <w:r w:rsidRPr="002C75D2">
          <w:rPr>
            <w:color w:val="007AC0"/>
            <w:sz w:val="20"/>
            <w:szCs w:val="20"/>
            <w:u w:val="single"/>
          </w:rPr>
          <w:t>g.hardy@sheffield.ac.uk</w:t>
        </w:r>
      </w:hyperlink>
      <w:r w:rsidRPr="002C75D2">
        <w:rPr>
          <w:sz w:val="20"/>
          <w:szCs w:val="20"/>
        </w:rPr>
        <w:t>).     We will be conducting some similar research in the future, if you are happy to be contacted for this or would like a copy of the findings of this study please indicate below and provide your email address.   </w:t>
      </w:r>
    </w:p>
    <w:p w14:paraId="2C9FA114" w14:textId="77777777" w:rsidR="00E964DF" w:rsidRPr="002C75D2" w:rsidRDefault="00E964DF" w:rsidP="00E964DF">
      <w:pPr>
        <w:pStyle w:val="ListParagraph"/>
        <w:keepNext/>
        <w:numPr>
          <w:ilvl w:val="0"/>
          <w:numId w:val="50"/>
        </w:numPr>
        <w:contextualSpacing w:val="0"/>
        <w:jc w:val="left"/>
        <w:rPr>
          <w:sz w:val="20"/>
          <w:szCs w:val="20"/>
        </w:rPr>
      </w:pPr>
      <w:r w:rsidRPr="002C75D2">
        <w:rPr>
          <w:sz w:val="20"/>
          <w:szCs w:val="20"/>
        </w:rPr>
        <w:t xml:space="preserve">I am happy to be contacted in future for a similar piece of research </w:t>
      </w:r>
    </w:p>
    <w:p w14:paraId="02F34493" w14:textId="77777777" w:rsidR="00E964DF" w:rsidRPr="002C75D2" w:rsidRDefault="00E964DF" w:rsidP="00E964DF">
      <w:pPr>
        <w:pStyle w:val="ListParagraph"/>
        <w:keepNext/>
        <w:numPr>
          <w:ilvl w:val="0"/>
          <w:numId w:val="50"/>
        </w:numPr>
        <w:contextualSpacing w:val="0"/>
        <w:jc w:val="left"/>
        <w:rPr>
          <w:sz w:val="20"/>
          <w:szCs w:val="20"/>
        </w:rPr>
      </w:pPr>
      <w:r w:rsidRPr="002C75D2">
        <w:rPr>
          <w:sz w:val="20"/>
          <w:szCs w:val="20"/>
        </w:rPr>
        <w:t xml:space="preserve">I would like a summary of the findings of this research </w:t>
      </w:r>
    </w:p>
    <w:p w14:paraId="499A79BE" w14:textId="77777777" w:rsidR="00E964DF" w:rsidRPr="002C75D2" w:rsidRDefault="00E964DF" w:rsidP="00E964DF">
      <w:pPr>
        <w:rPr>
          <w:sz w:val="20"/>
          <w:szCs w:val="20"/>
        </w:rPr>
      </w:pPr>
    </w:p>
    <w:p w14:paraId="463D4CA9" w14:textId="77777777" w:rsidR="00E964DF" w:rsidRPr="002C75D2" w:rsidRDefault="00E964DF" w:rsidP="00E964DF">
      <w:pPr>
        <w:pStyle w:val="QuestionSeparator"/>
        <w:rPr>
          <w:sz w:val="20"/>
          <w:szCs w:val="20"/>
        </w:rPr>
      </w:pPr>
    </w:p>
    <w:p w14:paraId="38B2C9AF" w14:textId="77777777" w:rsidR="00E964DF" w:rsidRPr="002C75D2" w:rsidRDefault="00E964DF" w:rsidP="00E964DF">
      <w:pPr>
        <w:rPr>
          <w:sz w:val="20"/>
          <w:szCs w:val="20"/>
        </w:rPr>
      </w:pPr>
    </w:p>
    <w:p w14:paraId="3DF013B1" w14:textId="77777777" w:rsidR="00E964DF" w:rsidRPr="002C75D2" w:rsidRDefault="00E964DF" w:rsidP="00E964DF">
      <w:pPr>
        <w:keepNext/>
        <w:rPr>
          <w:sz w:val="20"/>
          <w:szCs w:val="20"/>
        </w:rPr>
      </w:pPr>
      <w:r w:rsidRPr="002C75D2">
        <w:rPr>
          <w:sz w:val="20"/>
          <w:szCs w:val="20"/>
        </w:rPr>
        <w:t>My email address is:</w:t>
      </w:r>
    </w:p>
    <w:p w14:paraId="3E305454" w14:textId="77777777" w:rsidR="00E964DF" w:rsidRPr="002C75D2" w:rsidRDefault="00E964DF" w:rsidP="00E964DF">
      <w:pPr>
        <w:pStyle w:val="TextEntryLine"/>
        <w:ind w:firstLine="400"/>
        <w:rPr>
          <w:sz w:val="20"/>
          <w:szCs w:val="20"/>
        </w:rPr>
      </w:pPr>
      <w:r w:rsidRPr="002C75D2">
        <w:rPr>
          <w:sz w:val="20"/>
          <w:szCs w:val="20"/>
        </w:rPr>
        <w:t>________________________________________________________________</w:t>
      </w:r>
    </w:p>
    <w:p w14:paraId="5F1FEAFD" w14:textId="77777777" w:rsidR="00E964DF" w:rsidRDefault="00E964DF" w:rsidP="00E964DF"/>
    <w:p w14:paraId="2CA4AB73" w14:textId="77777777" w:rsidR="00A62BA6" w:rsidRDefault="00A62BA6">
      <w:pPr>
        <w:spacing w:line="276" w:lineRule="auto"/>
        <w:jc w:val="left"/>
        <w:rPr>
          <w:rFonts w:cs="Arial"/>
          <w:b/>
          <w:noProof/>
          <w:sz w:val="28"/>
          <w:szCs w:val="24"/>
        </w:rPr>
      </w:pPr>
      <w:bookmarkStart w:id="279" w:name="_Toc23881314"/>
      <w:bookmarkStart w:id="280" w:name="_Toc24548605"/>
      <w:bookmarkStart w:id="281" w:name="_Toc24548708"/>
      <w:r>
        <w:rPr>
          <w:noProof/>
        </w:rPr>
        <w:br w:type="page"/>
      </w:r>
      <w:commentRangeEnd w:id="278"/>
      <w:r w:rsidR="004D1109">
        <w:rPr>
          <w:rStyle w:val="CommentReference"/>
          <w:rFonts w:eastAsiaTheme="minorHAnsi"/>
          <w:lang w:eastAsia="en-US"/>
        </w:rPr>
        <w:commentReference w:id="278"/>
      </w:r>
    </w:p>
    <w:p w14:paraId="59796C4F" w14:textId="09FB7860" w:rsidR="00BF0088" w:rsidRPr="00EA0DC7" w:rsidRDefault="00077D45" w:rsidP="004F4542">
      <w:pPr>
        <w:pStyle w:val="Heading2"/>
        <w:rPr>
          <w:noProof/>
        </w:rPr>
      </w:pPr>
      <w:bookmarkStart w:id="282" w:name="_Toc47039898"/>
      <w:r w:rsidRPr="00EA0DC7">
        <w:rPr>
          <w:noProof/>
        </w:rPr>
        <w:lastRenderedPageBreak/>
        <w:t>Appendix 4</w:t>
      </w:r>
      <w:r w:rsidR="008C28EE">
        <w:rPr>
          <w:noProof/>
        </w:rPr>
        <w:t>C</w:t>
      </w:r>
      <w:r w:rsidR="00BF0088" w:rsidRPr="00EA0DC7">
        <w:rPr>
          <w:noProof/>
        </w:rPr>
        <w:t xml:space="preserve">. - Case vignettes used in the </w:t>
      </w:r>
      <w:r w:rsidRPr="00EA0DC7">
        <w:rPr>
          <w:noProof/>
        </w:rPr>
        <w:t>S</w:t>
      </w:r>
      <w:r w:rsidR="00BE3B3B" w:rsidRPr="00EA0DC7">
        <w:rPr>
          <w:noProof/>
        </w:rPr>
        <w:t>tudy 1</w:t>
      </w:r>
      <w:bookmarkEnd w:id="279"/>
      <w:bookmarkEnd w:id="280"/>
      <w:bookmarkEnd w:id="281"/>
      <w:bookmarkEnd w:id="282"/>
      <w:r w:rsidR="00BF0088" w:rsidRPr="00EA0DC7">
        <w:rPr>
          <w:noProof/>
        </w:rPr>
        <w:t xml:space="preserve"> </w:t>
      </w:r>
    </w:p>
    <w:p w14:paraId="223D03FE" w14:textId="77777777" w:rsidR="00BF0088" w:rsidRPr="00EA0DC7" w:rsidRDefault="00BF0088" w:rsidP="00BF0088">
      <w:pPr>
        <w:pStyle w:val="Header"/>
        <w:tabs>
          <w:tab w:val="clear" w:pos="4513"/>
          <w:tab w:val="clear" w:pos="9026"/>
          <w:tab w:val="left" w:pos="1725"/>
        </w:tabs>
        <w:rPr>
          <w:szCs w:val="24"/>
        </w:rPr>
      </w:pPr>
    </w:p>
    <w:tbl>
      <w:tblPr>
        <w:tblStyle w:val="TableGrid"/>
        <w:tblW w:w="8222" w:type="dxa"/>
        <w:tblLook w:val="04A0" w:firstRow="1" w:lastRow="0" w:firstColumn="1" w:lastColumn="0" w:noHBand="0" w:noVBand="1"/>
      </w:tblPr>
      <w:tblGrid>
        <w:gridCol w:w="1844"/>
        <w:gridCol w:w="6378"/>
      </w:tblGrid>
      <w:tr w:rsidR="00BF0088" w:rsidRPr="00EA0DC7" w14:paraId="1035B9C4" w14:textId="77777777" w:rsidTr="000E1A90">
        <w:trPr>
          <w:trHeight w:val="438"/>
        </w:trPr>
        <w:tc>
          <w:tcPr>
            <w:tcW w:w="1844" w:type="dxa"/>
            <w:tcBorders>
              <w:left w:val="nil"/>
              <w:bottom w:val="single" w:sz="4" w:space="0" w:color="auto"/>
              <w:right w:val="nil"/>
            </w:tcBorders>
            <w:vAlign w:val="center"/>
          </w:tcPr>
          <w:p w14:paraId="19CEF354" w14:textId="77777777" w:rsidR="00BF0088" w:rsidRPr="00EA0DC7" w:rsidRDefault="00BF0088" w:rsidP="000E1A90">
            <w:pPr>
              <w:pStyle w:val="NoSpacing"/>
              <w:widowControl w:val="0"/>
              <w:spacing w:before="240" w:line="480" w:lineRule="auto"/>
              <w:jc w:val="center"/>
              <w:rPr>
                <w:rFonts w:ascii="Arial" w:hAnsi="Arial" w:cs="Arial"/>
                <w:b/>
                <w:sz w:val="24"/>
                <w:szCs w:val="24"/>
              </w:rPr>
            </w:pPr>
            <w:r w:rsidRPr="00EA0DC7">
              <w:rPr>
                <w:rFonts w:ascii="Arial" w:hAnsi="Arial" w:cs="Arial"/>
                <w:b/>
                <w:sz w:val="24"/>
                <w:szCs w:val="24"/>
              </w:rPr>
              <w:t>Case type</w:t>
            </w:r>
          </w:p>
        </w:tc>
        <w:tc>
          <w:tcPr>
            <w:tcW w:w="6378" w:type="dxa"/>
            <w:tcBorders>
              <w:left w:val="nil"/>
              <w:bottom w:val="single" w:sz="4" w:space="0" w:color="auto"/>
              <w:right w:val="nil"/>
            </w:tcBorders>
            <w:vAlign w:val="center"/>
          </w:tcPr>
          <w:p w14:paraId="33599F01" w14:textId="77777777" w:rsidR="00BF0088" w:rsidRPr="00EA0DC7" w:rsidRDefault="00BF0088" w:rsidP="000E1A90">
            <w:pPr>
              <w:pStyle w:val="NoSpacing"/>
              <w:widowControl w:val="0"/>
              <w:spacing w:before="240" w:line="480" w:lineRule="auto"/>
              <w:jc w:val="center"/>
              <w:rPr>
                <w:rFonts w:ascii="Arial" w:hAnsi="Arial" w:cs="Arial"/>
                <w:b/>
                <w:sz w:val="24"/>
                <w:szCs w:val="24"/>
              </w:rPr>
            </w:pPr>
            <w:r w:rsidRPr="00EA0DC7">
              <w:rPr>
                <w:rFonts w:ascii="Arial" w:hAnsi="Arial" w:cs="Arial"/>
                <w:b/>
                <w:sz w:val="24"/>
                <w:szCs w:val="24"/>
              </w:rPr>
              <w:t>Vignette</w:t>
            </w:r>
          </w:p>
        </w:tc>
      </w:tr>
      <w:tr w:rsidR="00BF0088" w:rsidRPr="00EA0DC7" w14:paraId="1B1B7788" w14:textId="77777777" w:rsidTr="000E1A90">
        <w:tc>
          <w:tcPr>
            <w:tcW w:w="1844" w:type="dxa"/>
            <w:tcBorders>
              <w:left w:val="nil"/>
              <w:bottom w:val="nil"/>
              <w:right w:val="nil"/>
            </w:tcBorders>
          </w:tcPr>
          <w:p w14:paraId="782443DB" w14:textId="77777777" w:rsidR="00BF0088" w:rsidRPr="00EA0DC7" w:rsidRDefault="00BF0088" w:rsidP="000E1A90">
            <w:pPr>
              <w:pStyle w:val="NoSpacing"/>
              <w:widowControl w:val="0"/>
              <w:spacing w:line="480" w:lineRule="auto"/>
              <w:jc w:val="center"/>
              <w:rPr>
                <w:rFonts w:ascii="Arial" w:hAnsi="Arial" w:cs="Arial"/>
                <w:sz w:val="24"/>
                <w:szCs w:val="24"/>
              </w:rPr>
            </w:pPr>
            <w:r w:rsidRPr="00EA0DC7">
              <w:rPr>
                <w:rFonts w:ascii="Arial" w:hAnsi="Arial" w:cs="Arial"/>
                <w:sz w:val="24"/>
                <w:szCs w:val="24"/>
              </w:rPr>
              <w:t>Straightforward</w:t>
            </w:r>
          </w:p>
        </w:tc>
        <w:tc>
          <w:tcPr>
            <w:tcW w:w="6378" w:type="dxa"/>
            <w:tcBorders>
              <w:left w:val="nil"/>
              <w:bottom w:val="nil"/>
              <w:right w:val="nil"/>
            </w:tcBorders>
          </w:tcPr>
          <w:p w14:paraId="5C073224" w14:textId="5628D0BB" w:rsidR="000E1A90" w:rsidRPr="00EA0DC7" w:rsidRDefault="00BF0088" w:rsidP="00C66F02">
            <w:pPr>
              <w:pStyle w:val="NoSpacing"/>
              <w:widowControl w:val="0"/>
              <w:spacing w:line="480" w:lineRule="auto"/>
              <w:rPr>
                <w:rFonts w:ascii="Arial" w:hAnsi="Arial" w:cs="Arial"/>
                <w:sz w:val="24"/>
                <w:szCs w:val="24"/>
              </w:rPr>
            </w:pPr>
            <w:r w:rsidRPr="00EA0DC7">
              <w:rPr>
                <w:rFonts w:ascii="Arial" w:hAnsi="Arial" w:cs="Arial"/>
                <w:sz w:val="24"/>
                <w:szCs w:val="24"/>
              </w:rPr>
              <w:t>‘Mary is 36 and lives with her two children. She got divorced from her husband two years ago, and currently has a partner of about four months. She has been unhappy with life for approximately four years. In recent months, she has shown more and more signs of depression, including a low mood and poor self-esteem, though there are no biological signs. Although she is still doing her job in a bakery, she is becoming increasingly socially isolated. She has given no indication that she is suicidal. She was ref</w:t>
            </w:r>
            <w:r w:rsidR="000E1A90" w:rsidRPr="00EA0DC7">
              <w:rPr>
                <w:rFonts w:ascii="Arial" w:hAnsi="Arial" w:cs="Arial"/>
                <w:sz w:val="24"/>
                <w:szCs w:val="24"/>
              </w:rPr>
              <w:t>erred because of her low mood.’</w:t>
            </w:r>
          </w:p>
        </w:tc>
      </w:tr>
      <w:tr w:rsidR="00BF0088" w:rsidRPr="00EA0DC7" w14:paraId="704F9081" w14:textId="77777777" w:rsidTr="000E1A90">
        <w:tc>
          <w:tcPr>
            <w:tcW w:w="1844" w:type="dxa"/>
            <w:tcBorders>
              <w:top w:val="nil"/>
              <w:left w:val="nil"/>
              <w:bottom w:val="single" w:sz="4" w:space="0" w:color="auto"/>
              <w:right w:val="nil"/>
            </w:tcBorders>
          </w:tcPr>
          <w:p w14:paraId="07C557D4" w14:textId="77777777" w:rsidR="00BF0088" w:rsidRPr="00EA0DC7" w:rsidRDefault="00BF0088" w:rsidP="000E1A90">
            <w:pPr>
              <w:pStyle w:val="NoSpacing"/>
              <w:widowControl w:val="0"/>
              <w:spacing w:before="240" w:line="480" w:lineRule="auto"/>
              <w:jc w:val="center"/>
              <w:rPr>
                <w:rFonts w:ascii="Arial" w:hAnsi="Arial" w:cs="Arial"/>
                <w:sz w:val="24"/>
                <w:szCs w:val="24"/>
              </w:rPr>
            </w:pPr>
            <w:r w:rsidRPr="00EA0DC7">
              <w:rPr>
                <w:rFonts w:ascii="Arial" w:hAnsi="Arial" w:cs="Arial"/>
                <w:sz w:val="24"/>
                <w:szCs w:val="24"/>
              </w:rPr>
              <w:t>Diffuse</w:t>
            </w:r>
          </w:p>
        </w:tc>
        <w:tc>
          <w:tcPr>
            <w:tcW w:w="6378" w:type="dxa"/>
            <w:tcBorders>
              <w:top w:val="nil"/>
              <w:left w:val="nil"/>
              <w:bottom w:val="single" w:sz="4" w:space="0" w:color="auto"/>
              <w:right w:val="nil"/>
            </w:tcBorders>
          </w:tcPr>
          <w:p w14:paraId="487FF7BB" w14:textId="18D6BED7" w:rsidR="000E1A90" w:rsidRPr="00EA0DC7" w:rsidRDefault="00BF0088" w:rsidP="000E1A90">
            <w:pPr>
              <w:pStyle w:val="NoSpacing"/>
              <w:widowControl w:val="0"/>
              <w:spacing w:before="240" w:line="480" w:lineRule="auto"/>
              <w:rPr>
                <w:rFonts w:ascii="Arial" w:hAnsi="Arial" w:cs="Arial"/>
                <w:sz w:val="24"/>
                <w:szCs w:val="24"/>
              </w:rPr>
            </w:pPr>
            <w:r w:rsidRPr="00EA0DC7">
              <w:rPr>
                <w:rFonts w:ascii="Arial" w:hAnsi="Arial" w:cs="Arial"/>
                <w:sz w:val="24"/>
                <w:szCs w:val="24"/>
              </w:rPr>
              <w:t>‘Joanne is 38 and lives with her husband and son. She describes her relationship as “solid”, though she and her husband do not always get on well. She works as a classroom assistant, though she would like to do something more challenging. Her mood has generally been okay, but she reports feeling detached from the world and feeling a lack of direction in her life. She finds herself feeling “down”, though would not harm herself. She sought a referral so that she would have opportunity to talk abo</w:t>
            </w:r>
            <w:r w:rsidR="000E1A90" w:rsidRPr="00EA0DC7">
              <w:rPr>
                <w:rFonts w:ascii="Arial" w:hAnsi="Arial" w:cs="Arial"/>
                <w:sz w:val="24"/>
                <w:szCs w:val="24"/>
              </w:rPr>
              <w:t>ut where she is going in life.’</w:t>
            </w:r>
          </w:p>
        </w:tc>
      </w:tr>
      <w:tr w:rsidR="000E1A90" w:rsidRPr="00EA0DC7" w14:paraId="0B63D194" w14:textId="77777777" w:rsidTr="000E1A90">
        <w:tc>
          <w:tcPr>
            <w:tcW w:w="1844" w:type="dxa"/>
            <w:tcBorders>
              <w:top w:val="single" w:sz="4" w:space="0" w:color="auto"/>
              <w:left w:val="nil"/>
              <w:bottom w:val="single" w:sz="4" w:space="0" w:color="auto"/>
              <w:right w:val="nil"/>
            </w:tcBorders>
            <w:vAlign w:val="center"/>
          </w:tcPr>
          <w:p w14:paraId="582C68F9" w14:textId="598DCA9A" w:rsidR="000E1A90" w:rsidRPr="00EA0DC7" w:rsidRDefault="000E1A90" w:rsidP="000E1A90">
            <w:pPr>
              <w:pStyle w:val="NoSpacing"/>
              <w:widowControl w:val="0"/>
              <w:spacing w:before="240" w:line="480" w:lineRule="auto"/>
              <w:jc w:val="center"/>
              <w:rPr>
                <w:rFonts w:ascii="Arial" w:hAnsi="Arial" w:cs="Arial"/>
                <w:sz w:val="24"/>
                <w:szCs w:val="24"/>
              </w:rPr>
            </w:pPr>
            <w:r w:rsidRPr="00EA0DC7">
              <w:rPr>
                <w:rFonts w:ascii="Arial" w:hAnsi="Arial" w:cs="Arial"/>
                <w:b/>
                <w:sz w:val="24"/>
                <w:szCs w:val="24"/>
              </w:rPr>
              <w:lastRenderedPageBreak/>
              <w:t>Case type</w:t>
            </w:r>
          </w:p>
        </w:tc>
        <w:tc>
          <w:tcPr>
            <w:tcW w:w="6378" w:type="dxa"/>
            <w:tcBorders>
              <w:top w:val="single" w:sz="4" w:space="0" w:color="auto"/>
              <w:left w:val="nil"/>
              <w:bottom w:val="single" w:sz="4" w:space="0" w:color="auto"/>
              <w:right w:val="nil"/>
            </w:tcBorders>
            <w:vAlign w:val="center"/>
          </w:tcPr>
          <w:p w14:paraId="3AC3FA3D" w14:textId="2FA26D9B" w:rsidR="000E1A90" w:rsidRPr="00EA0DC7" w:rsidRDefault="000E1A90" w:rsidP="000E1A90">
            <w:pPr>
              <w:pStyle w:val="NoSpacing"/>
              <w:widowControl w:val="0"/>
              <w:spacing w:before="240" w:line="480" w:lineRule="auto"/>
              <w:jc w:val="center"/>
              <w:rPr>
                <w:rFonts w:ascii="Arial" w:hAnsi="Arial" w:cs="Arial"/>
                <w:sz w:val="24"/>
                <w:szCs w:val="24"/>
              </w:rPr>
            </w:pPr>
            <w:r w:rsidRPr="00EA0DC7">
              <w:rPr>
                <w:rFonts w:ascii="Arial" w:hAnsi="Arial" w:cs="Arial"/>
                <w:b/>
                <w:sz w:val="24"/>
                <w:szCs w:val="24"/>
              </w:rPr>
              <w:t>Vignette</w:t>
            </w:r>
          </w:p>
        </w:tc>
      </w:tr>
      <w:tr w:rsidR="00BF0088" w:rsidRPr="00EA0DC7" w14:paraId="4E03E58F" w14:textId="77777777" w:rsidTr="000E1A90">
        <w:tc>
          <w:tcPr>
            <w:tcW w:w="1844" w:type="dxa"/>
            <w:tcBorders>
              <w:top w:val="single" w:sz="4" w:space="0" w:color="auto"/>
              <w:left w:val="nil"/>
              <w:right w:val="nil"/>
            </w:tcBorders>
          </w:tcPr>
          <w:p w14:paraId="3767A152" w14:textId="77777777" w:rsidR="00BF0088" w:rsidRPr="00EA0DC7" w:rsidRDefault="00BF0088" w:rsidP="000E1A90">
            <w:pPr>
              <w:pStyle w:val="NoSpacing"/>
              <w:widowControl w:val="0"/>
              <w:spacing w:before="240" w:line="480" w:lineRule="auto"/>
              <w:jc w:val="center"/>
              <w:rPr>
                <w:rFonts w:ascii="Arial" w:hAnsi="Arial" w:cs="Arial"/>
                <w:sz w:val="24"/>
                <w:szCs w:val="24"/>
              </w:rPr>
            </w:pPr>
            <w:r w:rsidRPr="00EA0DC7">
              <w:rPr>
                <w:rFonts w:ascii="Arial" w:hAnsi="Arial" w:cs="Arial"/>
                <w:sz w:val="24"/>
                <w:szCs w:val="24"/>
              </w:rPr>
              <w:t>Complex</w:t>
            </w:r>
          </w:p>
        </w:tc>
        <w:tc>
          <w:tcPr>
            <w:tcW w:w="6378" w:type="dxa"/>
            <w:tcBorders>
              <w:top w:val="single" w:sz="4" w:space="0" w:color="auto"/>
              <w:left w:val="nil"/>
              <w:right w:val="nil"/>
            </w:tcBorders>
          </w:tcPr>
          <w:p w14:paraId="1DA49564" w14:textId="77777777" w:rsidR="00BF0088" w:rsidRPr="00EA0DC7" w:rsidRDefault="00BF0088" w:rsidP="000E1A90">
            <w:pPr>
              <w:pStyle w:val="NoSpacing"/>
              <w:widowControl w:val="0"/>
              <w:spacing w:before="240" w:line="480" w:lineRule="auto"/>
              <w:rPr>
                <w:rFonts w:ascii="Arial" w:hAnsi="Arial" w:cs="Arial"/>
                <w:sz w:val="24"/>
                <w:szCs w:val="24"/>
              </w:rPr>
            </w:pPr>
            <w:r w:rsidRPr="00EA0DC7">
              <w:rPr>
                <w:rFonts w:ascii="Arial" w:hAnsi="Arial" w:cs="Arial"/>
                <w:sz w:val="24"/>
                <w:szCs w:val="24"/>
              </w:rPr>
              <w:t>‘Susan is 35, and is currently in a relationship that she is unhappy with. She is depressed and socially isolated. Her appetite and sleep are poor and she reports feeling slowed down. She is struggling to find things funny or exciting about life. These symptoms are affecting her ability to do her office job. She has had suicidal ideas, but she is unsure whether she will act upon them, She recently took a small overdose, though she described it as to help her “turn off” for a while. That encouraged her to seek a referral for therapy.’</w:t>
            </w:r>
          </w:p>
        </w:tc>
      </w:tr>
    </w:tbl>
    <w:p w14:paraId="72E4EC3F" w14:textId="77777777" w:rsidR="00E30E12" w:rsidRPr="00EA0DC7" w:rsidRDefault="00E30E12" w:rsidP="00E30E12">
      <w:pPr>
        <w:widowControl w:val="0"/>
        <w:tabs>
          <w:tab w:val="left" w:pos="2224"/>
        </w:tabs>
        <w:spacing w:after="0"/>
        <w:rPr>
          <w:rFonts w:cs="Arial"/>
        </w:rPr>
        <w:sectPr w:rsidR="00E30E12" w:rsidRPr="00EA0DC7" w:rsidSect="00E30E12">
          <w:pgSz w:w="11906" w:h="16838"/>
          <w:pgMar w:top="1440" w:right="1440" w:bottom="1440" w:left="2268" w:header="709" w:footer="709" w:gutter="0"/>
          <w:cols w:space="708"/>
          <w:docGrid w:linePitch="360"/>
        </w:sectPr>
      </w:pPr>
    </w:p>
    <w:p w14:paraId="0B5E09A1" w14:textId="4B15CD3C" w:rsidR="00BE3B3B" w:rsidRPr="00EA0DC7" w:rsidRDefault="00077D45" w:rsidP="00E30E12">
      <w:pPr>
        <w:pStyle w:val="Heading2"/>
        <w:rPr>
          <w:shd w:val="clear" w:color="auto" w:fill="FFFFFF"/>
        </w:rPr>
      </w:pPr>
      <w:bookmarkStart w:id="283" w:name="_Toc23881315"/>
      <w:bookmarkStart w:id="284" w:name="_Toc24548606"/>
      <w:bookmarkStart w:id="285" w:name="_Toc24548709"/>
      <w:bookmarkStart w:id="286" w:name="_Toc47039899"/>
      <w:r w:rsidRPr="00EA0DC7">
        <w:rPr>
          <w:shd w:val="clear" w:color="auto" w:fill="FFFFFF"/>
        </w:rPr>
        <w:lastRenderedPageBreak/>
        <w:t xml:space="preserve">Appendix 5A - </w:t>
      </w:r>
      <w:r w:rsidR="00BE3B3B" w:rsidRPr="00EA0DC7">
        <w:rPr>
          <w:shd w:val="clear" w:color="auto" w:fill="FFFFFF"/>
        </w:rPr>
        <w:t>Study 2 ethics</w:t>
      </w:r>
      <w:bookmarkEnd w:id="283"/>
      <w:bookmarkEnd w:id="284"/>
      <w:bookmarkEnd w:id="285"/>
      <w:bookmarkEnd w:id="286"/>
    </w:p>
    <w:p w14:paraId="245274C9" w14:textId="77777777" w:rsidR="00BE3B3B" w:rsidRPr="00EA0DC7" w:rsidRDefault="00BE3B3B" w:rsidP="00BE3B3B">
      <w:pPr>
        <w:spacing w:after="0" w:line="240" w:lineRule="auto"/>
        <w:jc w:val="left"/>
        <w:rPr>
          <w:rFonts w:eastAsia="Times New Roman" w:cs="Arial"/>
          <w:szCs w:val="24"/>
          <w:shd w:val="clear" w:color="auto" w:fill="FFFFFF"/>
        </w:rPr>
      </w:pPr>
    </w:p>
    <w:p w14:paraId="2AAE131A" w14:textId="27EB5D10" w:rsidR="00BE3B3B" w:rsidRPr="00EA0DC7" w:rsidRDefault="00BE3B3B" w:rsidP="00BE3B3B">
      <w:pPr>
        <w:spacing w:after="0" w:line="240" w:lineRule="auto"/>
        <w:jc w:val="left"/>
        <w:rPr>
          <w:rFonts w:ascii="Times New Roman" w:eastAsia="Times New Roman" w:hAnsi="Times New Roman" w:cs="Times New Roman"/>
          <w:szCs w:val="24"/>
        </w:rPr>
      </w:pPr>
      <w:r w:rsidRPr="00EA0DC7">
        <w:rPr>
          <w:rFonts w:eastAsia="Times New Roman" w:cs="Arial"/>
          <w:szCs w:val="24"/>
          <w:shd w:val="clear" w:color="auto" w:fill="FFFFFF"/>
        </w:rPr>
        <w:t>From: </w:t>
      </w:r>
      <w:r w:rsidRPr="00EA0DC7">
        <w:rPr>
          <w:rFonts w:eastAsia="Times New Roman" w:cs="Arial"/>
          <w:b/>
          <w:bCs/>
          <w:szCs w:val="24"/>
          <w:shd w:val="clear" w:color="auto" w:fill="FFFFFF"/>
        </w:rPr>
        <w:t>Thomas Webb</w:t>
      </w:r>
      <w:r w:rsidRPr="00EA0DC7">
        <w:rPr>
          <w:rFonts w:eastAsia="Times New Roman" w:cs="Arial"/>
          <w:szCs w:val="24"/>
          <w:shd w:val="clear" w:color="auto" w:fill="FFFFFF"/>
        </w:rPr>
        <w:t> &lt;</w:t>
      </w:r>
      <w:hyperlink r:id="rId40" w:tgtFrame="_blank" w:history="1">
        <w:r w:rsidRPr="00EA0DC7">
          <w:rPr>
            <w:rFonts w:eastAsia="Times New Roman" w:cs="Arial"/>
            <w:szCs w:val="24"/>
            <w:u w:val="single"/>
            <w:shd w:val="clear" w:color="auto" w:fill="FFFFFF"/>
          </w:rPr>
          <w:t>t.webb@sheffield.ac.uk</w:t>
        </w:r>
      </w:hyperlink>
      <w:r w:rsidRPr="00EA0DC7">
        <w:rPr>
          <w:rFonts w:eastAsia="Times New Roman" w:cs="Arial"/>
          <w:szCs w:val="24"/>
          <w:shd w:val="clear" w:color="auto" w:fill="FFFFFF"/>
        </w:rPr>
        <w:t>&gt;</w:t>
      </w:r>
      <w:r w:rsidRPr="00EA0DC7">
        <w:rPr>
          <w:rFonts w:eastAsia="Times New Roman" w:cs="Arial"/>
          <w:szCs w:val="24"/>
        </w:rPr>
        <w:br/>
      </w:r>
      <w:r w:rsidRPr="00EA0DC7">
        <w:rPr>
          <w:rFonts w:eastAsia="Times New Roman" w:cs="Arial"/>
          <w:szCs w:val="24"/>
          <w:shd w:val="clear" w:color="auto" w:fill="FFFFFF"/>
        </w:rPr>
        <w:t>Date: 9 September 2014 16:47</w:t>
      </w:r>
      <w:r w:rsidRPr="00EA0DC7">
        <w:rPr>
          <w:rFonts w:eastAsia="Times New Roman" w:cs="Arial"/>
          <w:szCs w:val="24"/>
        </w:rPr>
        <w:br/>
      </w:r>
      <w:r w:rsidRPr="00EA0DC7">
        <w:rPr>
          <w:rFonts w:eastAsia="Times New Roman" w:cs="Arial"/>
          <w:szCs w:val="24"/>
          <w:shd w:val="clear" w:color="auto" w:fill="FFFFFF"/>
        </w:rPr>
        <w:t>Subject: Re: A query and a technical thing</w:t>
      </w:r>
      <w:r w:rsidRPr="00EA0DC7">
        <w:rPr>
          <w:rFonts w:eastAsia="Times New Roman" w:cs="Arial"/>
          <w:szCs w:val="24"/>
        </w:rPr>
        <w:br/>
      </w:r>
      <w:r w:rsidRPr="00EA0DC7">
        <w:rPr>
          <w:rFonts w:eastAsia="Times New Roman" w:cs="Arial"/>
          <w:szCs w:val="24"/>
          <w:shd w:val="clear" w:color="auto" w:fill="FFFFFF"/>
        </w:rPr>
        <w:t>To: Glenn Waller &lt;</w:t>
      </w:r>
      <w:hyperlink r:id="rId41" w:tgtFrame="_blank" w:history="1">
        <w:r w:rsidRPr="00EA0DC7">
          <w:rPr>
            <w:rFonts w:eastAsia="Times New Roman" w:cs="Arial"/>
            <w:szCs w:val="24"/>
            <w:u w:val="single"/>
            <w:shd w:val="clear" w:color="auto" w:fill="FFFFFF"/>
          </w:rPr>
          <w:t>g.waller@sheffield.ac.uk</w:t>
        </w:r>
      </w:hyperlink>
      <w:r w:rsidRPr="00EA0DC7">
        <w:rPr>
          <w:rFonts w:eastAsia="Times New Roman" w:cs="Arial"/>
          <w:szCs w:val="24"/>
          <w:shd w:val="clear" w:color="auto" w:fill="FFFFFF"/>
        </w:rPr>
        <w:t>&gt;</w:t>
      </w:r>
      <w:r w:rsidRPr="00EA0DC7">
        <w:rPr>
          <w:rFonts w:eastAsia="Times New Roman" w:cs="Arial"/>
          <w:szCs w:val="24"/>
        </w:rPr>
        <w:br/>
      </w:r>
      <w:r w:rsidRPr="00EA0DC7">
        <w:rPr>
          <w:rFonts w:eastAsia="Times New Roman" w:cs="Arial"/>
          <w:szCs w:val="24"/>
        </w:rPr>
        <w:br/>
      </w:r>
    </w:p>
    <w:p w14:paraId="02167571" w14:textId="1BF63E55" w:rsidR="00C31046" w:rsidRDefault="00BE3B3B" w:rsidP="00E30E12">
      <w:pPr>
        <w:shd w:val="clear" w:color="auto" w:fill="FFFFFF"/>
        <w:spacing w:after="0" w:line="240" w:lineRule="auto"/>
        <w:jc w:val="left"/>
        <w:rPr>
          <w:rFonts w:eastAsia="Times New Roman" w:cs="Arial"/>
          <w:szCs w:val="24"/>
        </w:rPr>
      </w:pPr>
      <w:r w:rsidRPr="00EA0DC7">
        <w:rPr>
          <w:rFonts w:eastAsia="Times New Roman" w:cs="Arial"/>
          <w:szCs w:val="24"/>
        </w:rPr>
        <w:t>Hi Glenn,</w:t>
      </w:r>
      <w:r w:rsidRPr="00EA0DC7">
        <w:rPr>
          <w:rFonts w:eastAsia="Times New Roman" w:cs="Arial"/>
          <w:szCs w:val="24"/>
        </w:rPr>
        <w:br/>
      </w:r>
      <w:r w:rsidRPr="00EA0DC7">
        <w:rPr>
          <w:rFonts w:eastAsia="Times New Roman" w:cs="Arial"/>
          <w:szCs w:val="24"/>
        </w:rPr>
        <w:br/>
        <w:t>I'm not sure why you are unable to log in and unfortunately can't investigate as I don't know how the system works. We're planning a move to a new system programmed (and I'm assured supported) by EpiGenesis, to overcome this rather considerable limitation. In the meantime, I'm able to add 'non-staff' if I have their username, so perhaps email me your username and we'll see if that allows you access again.</w:t>
      </w:r>
      <w:r w:rsidRPr="00EA0DC7">
        <w:rPr>
          <w:rFonts w:eastAsia="Times New Roman" w:cs="Arial"/>
          <w:szCs w:val="24"/>
        </w:rPr>
        <w:br/>
      </w:r>
      <w:r w:rsidRPr="00EA0DC7">
        <w:rPr>
          <w:rFonts w:eastAsia="Times New Roman" w:cs="Arial"/>
          <w:szCs w:val="24"/>
        </w:rPr>
        <w:br/>
        <w:t>With regard to your application, if the procedures are the same (broadly defined as having the same potential ethical implications) then I'm happy for you to conduct additional research under the same ethics application, especially as you noted on the original application that it is likely to be a series of studies.</w:t>
      </w:r>
      <w:r w:rsidRPr="00EA0DC7">
        <w:rPr>
          <w:rFonts w:eastAsia="Times New Roman" w:cs="Arial"/>
          <w:szCs w:val="24"/>
        </w:rPr>
        <w:br/>
      </w:r>
      <w:r w:rsidRPr="00EA0DC7">
        <w:rPr>
          <w:rFonts w:eastAsia="Times New Roman" w:cs="Arial"/>
          <w:szCs w:val="24"/>
        </w:rPr>
        <w:br/>
        <w:t>Hope this helps - go</w:t>
      </w:r>
      <w:r w:rsidR="00E30E12" w:rsidRPr="00EA0DC7">
        <w:rPr>
          <w:rFonts w:eastAsia="Times New Roman" w:cs="Arial"/>
          <w:szCs w:val="24"/>
        </w:rPr>
        <w:t>od luck with the research.</w:t>
      </w:r>
      <w:r w:rsidR="00E30E12" w:rsidRPr="00EA0DC7">
        <w:rPr>
          <w:rFonts w:eastAsia="Times New Roman" w:cs="Arial"/>
          <w:szCs w:val="24"/>
        </w:rPr>
        <w:br/>
      </w:r>
      <w:r w:rsidR="00E30E12" w:rsidRPr="00EA0DC7">
        <w:rPr>
          <w:rFonts w:eastAsia="Times New Roman" w:cs="Arial"/>
          <w:szCs w:val="24"/>
        </w:rPr>
        <w:br/>
        <w:t>Tom</w:t>
      </w:r>
    </w:p>
    <w:p w14:paraId="32D57BEA" w14:textId="77777777" w:rsidR="00C31046" w:rsidRDefault="00C31046" w:rsidP="00C31046">
      <w:pPr>
        <w:spacing w:line="276" w:lineRule="auto"/>
        <w:jc w:val="left"/>
        <w:rPr>
          <w:rFonts w:eastAsia="Times New Roman" w:cs="Arial"/>
          <w:szCs w:val="24"/>
        </w:rPr>
      </w:pPr>
    </w:p>
    <w:p w14:paraId="45B414AE" w14:textId="38A4FBCC" w:rsidR="00C31046" w:rsidRPr="008C28EE" w:rsidRDefault="00C31046" w:rsidP="008C28EE">
      <w:pPr>
        <w:spacing w:line="276" w:lineRule="auto"/>
        <w:jc w:val="left"/>
        <w:rPr>
          <w:rFonts w:eastAsia="Times New Roman" w:cs="Arial"/>
          <w:szCs w:val="24"/>
        </w:rPr>
      </w:pPr>
      <w:r>
        <w:rPr>
          <w:rFonts w:eastAsia="Times New Roman" w:cs="Arial"/>
          <w:szCs w:val="24"/>
        </w:rPr>
        <w:br w:type="page"/>
      </w:r>
    </w:p>
    <w:p w14:paraId="3B73C70A" w14:textId="31F26931" w:rsidR="00C31046" w:rsidRDefault="00C31046" w:rsidP="00987943">
      <w:pPr>
        <w:pStyle w:val="Heading2"/>
      </w:pPr>
      <w:bookmarkStart w:id="287" w:name="_Toc47039900"/>
      <w:commentRangeStart w:id="288"/>
      <w:r>
        <w:lastRenderedPageBreak/>
        <w:t>Appendix</w:t>
      </w:r>
      <w:r w:rsidR="000F7584">
        <w:t xml:space="preserve"> 5B – Study 2 questionnaire</w:t>
      </w:r>
      <w:bookmarkEnd w:id="287"/>
    </w:p>
    <w:tbl>
      <w:tblPr>
        <w:tblW w:w="8617" w:type="dxa"/>
        <w:tblBorders>
          <w:bottom w:val="single" w:sz="4" w:space="0" w:color="auto"/>
        </w:tblBorders>
        <w:tblLook w:val="00A0" w:firstRow="1" w:lastRow="0" w:firstColumn="1" w:lastColumn="0" w:noHBand="0" w:noVBand="0"/>
      </w:tblPr>
      <w:tblGrid>
        <w:gridCol w:w="4903"/>
        <w:gridCol w:w="3714"/>
      </w:tblGrid>
      <w:tr w:rsidR="00C31046" w:rsidRPr="008E6FEB" w14:paraId="3CF55FAE" w14:textId="77777777" w:rsidTr="00447909">
        <w:trPr>
          <w:trHeight w:val="1851"/>
        </w:trPr>
        <w:tc>
          <w:tcPr>
            <w:tcW w:w="4247" w:type="dxa"/>
            <w:shd w:val="clear" w:color="auto" w:fill="auto"/>
          </w:tcPr>
          <w:p w14:paraId="06EA6BC4" w14:textId="77777777" w:rsidR="00C31046" w:rsidRPr="008E6FEB" w:rsidRDefault="00C31046" w:rsidP="00C31046">
            <w:pPr>
              <w:pStyle w:val="BodyText"/>
            </w:pPr>
            <w:r>
              <w:rPr>
                <w:noProof/>
                <w:lang w:eastAsia="en-GB"/>
              </w:rPr>
              <w:drawing>
                <wp:inline distT="0" distB="0" distL="0" distR="0" wp14:anchorId="37A396E9" wp14:editId="19E13F30">
                  <wp:extent cx="2976245" cy="1190625"/>
                  <wp:effectExtent l="0" t="0" r="0" b="0"/>
                  <wp:docPr id="278" name="Picture 27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res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76245" cy="1190625"/>
                          </a:xfrm>
                          <a:prstGeom prst="rect">
                            <a:avLst/>
                          </a:prstGeom>
                          <a:noFill/>
                          <a:ln>
                            <a:noFill/>
                          </a:ln>
                        </pic:spPr>
                      </pic:pic>
                    </a:graphicData>
                  </a:graphic>
                </wp:inline>
              </w:drawing>
            </w:r>
          </w:p>
        </w:tc>
        <w:tc>
          <w:tcPr>
            <w:tcW w:w="4370" w:type="dxa"/>
            <w:shd w:val="clear" w:color="auto" w:fill="auto"/>
          </w:tcPr>
          <w:p w14:paraId="6A3503BC" w14:textId="77777777" w:rsidR="00C31046" w:rsidRPr="00DE04E3" w:rsidRDefault="00C31046" w:rsidP="00C31046">
            <w:pPr>
              <w:pStyle w:val="oh"/>
              <w:ind w:left="-40"/>
              <w:jc w:val="left"/>
              <w:rPr>
                <w:rFonts w:ascii="TUOS Stephenson" w:hAnsi="TUOS Stephenson"/>
                <w:b w:val="0"/>
              </w:rPr>
            </w:pPr>
            <w:r w:rsidRPr="00DE04E3">
              <w:rPr>
                <w:rFonts w:ascii="TUOS Stephenson" w:hAnsi="TUOS Stephenson"/>
                <w:b w:val="0"/>
              </w:rPr>
              <w:t>Department Of Psychology.</w:t>
            </w:r>
          </w:p>
          <w:p w14:paraId="0EDD32B8" w14:textId="77777777" w:rsidR="00C31046" w:rsidRPr="00DE04E3" w:rsidRDefault="00C31046" w:rsidP="00C31046">
            <w:pPr>
              <w:pStyle w:val="oh"/>
              <w:ind w:left="-40"/>
              <w:jc w:val="left"/>
              <w:rPr>
                <w:rFonts w:ascii="TUOS Stephenson" w:hAnsi="TUOS Stephenson"/>
                <w:b w:val="0"/>
                <w:sz w:val="36"/>
              </w:rPr>
            </w:pPr>
            <w:r w:rsidRPr="00DE04E3">
              <w:rPr>
                <w:rFonts w:ascii="TUOS Stephenson" w:hAnsi="TUOS Stephenson"/>
                <w:b w:val="0"/>
                <w:sz w:val="36"/>
              </w:rPr>
              <w:t>Clinical Psychology Unit.</w:t>
            </w:r>
          </w:p>
          <w:p w14:paraId="56EF7424" w14:textId="77777777" w:rsidR="00C31046" w:rsidRPr="00DE04E3" w:rsidRDefault="00C31046" w:rsidP="00C31046">
            <w:pPr>
              <w:pStyle w:val="oh"/>
              <w:ind w:left="-40"/>
              <w:rPr>
                <w:b w:val="0"/>
                <w:sz w:val="20"/>
              </w:rPr>
            </w:pPr>
          </w:p>
          <w:p w14:paraId="3B4764DE" w14:textId="77777777" w:rsidR="00C31046" w:rsidRPr="008E6FEB" w:rsidRDefault="00C31046" w:rsidP="00C31046">
            <w:pPr>
              <w:pStyle w:val="oh"/>
              <w:ind w:left="-40"/>
            </w:pPr>
          </w:p>
        </w:tc>
      </w:tr>
      <w:tr w:rsidR="00C31046" w:rsidRPr="008E6FEB" w14:paraId="7D3C5ED8" w14:textId="77777777" w:rsidTr="00447909">
        <w:trPr>
          <w:trHeight w:val="1051"/>
        </w:trPr>
        <w:tc>
          <w:tcPr>
            <w:tcW w:w="4247" w:type="dxa"/>
            <w:shd w:val="clear" w:color="auto" w:fill="auto"/>
          </w:tcPr>
          <w:p w14:paraId="2C64778B" w14:textId="77777777" w:rsidR="00C31046" w:rsidRPr="00DE04E3" w:rsidRDefault="00C31046" w:rsidP="00C31046">
            <w:pPr>
              <w:pStyle w:val="oh"/>
              <w:ind w:left="-40"/>
              <w:jc w:val="left"/>
              <w:rPr>
                <w:sz w:val="20"/>
              </w:rPr>
            </w:pPr>
          </w:p>
          <w:p w14:paraId="254AE777" w14:textId="77777777" w:rsidR="00C31046" w:rsidRDefault="00C31046" w:rsidP="00C31046">
            <w:pPr>
              <w:pStyle w:val="oh"/>
              <w:ind w:left="-40"/>
              <w:jc w:val="left"/>
              <w:rPr>
                <w:sz w:val="20"/>
              </w:rPr>
            </w:pPr>
            <w:r>
              <w:rPr>
                <w:sz w:val="20"/>
              </w:rPr>
              <w:t>Chloe Simpson-Southward</w:t>
            </w:r>
          </w:p>
          <w:p w14:paraId="459E7D26" w14:textId="77777777" w:rsidR="00C31046" w:rsidRPr="00DE04E3" w:rsidRDefault="00C31046" w:rsidP="00C31046">
            <w:pPr>
              <w:pStyle w:val="oh"/>
              <w:ind w:left="-40"/>
              <w:jc w:val="left"/>
              <w:rPr>
                <w:sz w:val="20"/>
              </w:rPr>
            </w:pPr>
            <w:r>
              <w:rPr>
                <w:sz w:val="20"/>
              </w:rPr>
              <w:t>PhD Candidate</w:t>
            </w:r>
          </w:p>
          <w:p w14:paraId="6C33E821" w14:textId="77777777" w:rsidR="00C31046" w:rsidRPr="00DE04E3" w:rsidRDefault="00C31046" w:rsidP="00C31046">
            <w:pPr>
              <w:pStyle w:val="oh"/>
              <w:ind w:left="-40"/>
              <w:jc w:val="left"/>
              <w:rPr>
                <w:sz w:val="20"/>
              </w:rPr>
            </w:pPr>
            <w:r w:rsidRPr="00DE04E3">
              <w:rPr>
                <w:sz w:val="20"/>
              </w:rPr>
              <w:t>Department of Psychology</w:t>
            </w:r>
          </w:p>
          <w:p w14:paraId="1E5D2537" w14:textId="77777777" w:rsidR="00C31046" w:rsidRPr="00DE04E3" w:rsidRDefault="00C31046" w:rsidP="00C31046">
            <w:pPr>
              <w:pStyle w:val="oh"/>
              <w:ind w:left="-40"/>
              <w:jc w:val="left"/>
              <w:rPr>
                <w:sz w:val="20"/>
              </w:rPr>
            </w:pPr>
            <w:r w:rsidRPr="00DE04E3">
              <w:rPr>
                <w:sz w:val="20"/>
              </w:rPr>
              <w:t>University of Sheffield</w:t>
            </w:r>
          </w:p>
          <w:p w14:paraId="76695FC1" w14:textId="77777777" w:rsidR="00C31046" w:rsidRPr="00DE04E3" w:rsidRDefault="00C31046" w:rsidP="00C31046">
            <w:pPr>
              <w:pStyle w:val="oh"/>
              <w:ind w:left="-40"/>
              <w:jc w:val="left"/>
              <w:rPr>
                <w:sz w:val="20"/>
              </w:rPr>
            </w:pPr>
            <w:r w:rsidRPr="00DE04E3">
              <w:rPr>
                <w:sz w:val="20"/>
              </w:rPr>
              <w:t>Western Bank</w:t>
            </w:r>
          </w:p>
          <w:p w14:paraId="438B78D5" w14:textId="77777777" w:rsidR="00C31046" w:rsidRPr="00DE04E3" w:rsidRDefault="00C31046" w:rsidP="00C31046">
            <w:pPr>
              <w:pStyle w:val="oh"/>
              <w:ind w:left="-40"/>
              <w:jc w:val="left"/>
              <w:rPr>
                <w:sz w:val="32"/>
              </w:rPr>
            </w:pPr>
            <w:r w:rsidRPr="00DE04E3">
              <w:rPr>
                <w:sz w:val="20"/>
              </w:rPr>
              <w:t>Sheffield S10 2TP   UK</w:t>
            </w:r>
          </w:p>
        </w:tc>
        <w:tc>
          <w:tcPr>
            <w:tcW w:w="4370" w:type="dxa"/>
            <w:shd w:val="clear" w:color="auto" w:fill="auto"/>
          </w:tcPr>
          <w:p w14:paraId="58A757D2" w14:textId="77777777" w:rsidR="00C31046" w:rsidRPr="00DE04E3" w:rsidRDefault="00C31046" w:rsidP="00C31046">
            <w:pPr>
              <w:pStyle w:val="oh"/>
              <w:ind w:left="-40"/>
              <w:jc w:val="left"/>
              <w:rPr>
                <w:b w:val="0"/>
                <w:sz w:val="20"/>
              </w:rPr>
            </w:pPr>
          </w:p>
          <w:p w14:paraId="26E10854" w14:textId="77777777" w:rsidR="00C31046" w:rsidRPr="00DE04E3" w:rsidRDefault="00C31046" w:rsidP="00C31046">
            <w:pPr>
              <w:pStyle w:val="oh"/>
              <w:ind w:left="-40"/>
              <w:jc w:val="left"/>
              <w:rPr>
                <w:b w:val="0"/>
                <w:sz w:val="20"/>
              </w:rPr>
            </w:pPr>
            <w:r w:rsidRPr="00DE04E3">
              <w:rPr>
                <w:b w:val="0"/>
                <w:sz w:val="20"/>
              </w:rPr>
              <w:t>Telephone:  0114 222</w:t>
            </w:r>
            <w:r>
              <w:rPr>
                <w:b w:val="0"/>
                <w:sz w:val="20"/>
              </w:rPr>
              <w:t xml:space="preserve"> 6504</w:t>
            </w:r>
          </w:p>
          <w:p w14:paraId="22094DB8" w14:textId="77777777" w:rsidR="00C31046" w:rsidRPr="00DE04E3" w:rsidRDefault="00C31046" w:rsidP="00C31046">
            <w:pPr>
              <w:pStyle w:val="oh"/>
              <w:ind w:left="-40"/>
              <w:jc w:val="left"/>
              <w:rPr>
                <w:b w:val="0"/>
                <w:sz w:val="20"/>
              </w:rPr>
            </w:pPr>
            <w:r>
              <w:rPr>
                <w:b w:val="0"/>
                <w:sz w:val="20"/>
              </w:rPr>
              <w:t>Email: crsimpson-southward1@sheffield.ac.uk</w:t>
            </w:r>
            <w:r w:rsidRPr="00DE04E3">
              <w:rPr>
                <w:b w:val="0"/>
                <w:sz w:val="20"/>
              </w:rPr>
              <w:t xml:space="preserve">    </w:t>
            </w:r>
          </w:p>
          <w:p w14:paraId="59F73F18" w14:textId="77777777" w:rsidR="00C31046" w:rsidRPr="00DE04E3" w:rsidRDefault="00C31046" w:rsidP="00C31046">
            <w:pPr>
              <w:pStyle w:val="oh"/>
              <w:ind w:left="-40"/>
              <w:jc w:val="left"/>
              <w:rPr>
                <w:b w:val="0"/>
                <w:sz w:val="20"/>
              </w:rPr>
            </w:pPr>
          </w:p>
        </w:tc>
      </w:tr>
    </w:tbl>
    <w:p w14:paraId="100F9097" w14:textId="77777777" w:rsidR="00C31046" w:rsidRDefault="00C31046" w:rsidP="00C31046">
      <w:pPr>
        <w:spacing w:after="0" w:line="240" w:lineRule="auto"/>
        <w:rPr>
          <w:b/>
        </w:rPr>
      </w:pPr>
    </w:p>
    <w:p w14:paraId="402A97BE" w14:textId="77777777" w:rsidR="00C31046" w:rsidRPr="00EF4B54" w:rsidRDefault="00C31046" w:rsidP="00C31046">
      <w:pPr>
        <w:spacing w:after="0" w:line="240" w:lineRule="auto"/>
        <w:jc w:val="center"/>
        <w:rPr>
          <w:b/>
        </w:rPr>
      </w:pPr>
    </w:p>
    <w:p w14:paraId="3D0C3847" w14:textId="77777777" w:rsidR="00C31046" w:rsidRPr="00EF4B54" w:rsidRDefault="00C31046" w:rsidP="00C31046">
      <w:pPr>
        <w:spacing w:after="0" w:line="240" w:lineRule="auto"/>
        <w:jc w:val="center"/>
        <w:rPr>
          <w:b/>
        </w:rPr>
      </w:pPr>
      <w:r w:rsidRPr="00EF4B54">
        <w:rPr>
          <w:b/>
        </w:rPr>
        <w:t>Investigation of clinical supervision techniques: Information sheet</w:t>
      </w:r>
    </w:p>
    <w:p w14:paraId="18D7D6FC" w14:textId="77777777" w:rsidR="00C31046" w:rsidRPr="00EF4B54" w:rsidRDefault="00C31046" w:rsidP="00C31046">
      <w:pPr>
        <w:spacing w:after="0" w:line="240" w:lineRule="auto"/>
        <w:jc w:val="center"/>
        <w:rPr>
          <w:b/>
        </w:rPr>
      </w:pPr>
    </w:p>
    <w:p w14:paraId="2B5F3732" w14:textId="77777777" w:rsidR="00C31046" w:rsidRPr="00EF4B54" w:rsidRDefault="00C31046" w:rsidP="00C31046">
      <w:pPr>
        <w:pStyle w:val="NormalWeb"/>
        <w:rPr>
          <w:rFonts w:asciiTheme="minorHAnsi" w:eastAsiaTheme="minorHAnsi" w:hAnsiTheme="minorHAnsi" w:cstheme="minorBidi"/>
          <w:sz w:val="22"/>
          <w:szCs w:val="22"/>
          <w:lang w:eastAsia="en-US"/>
        </w:rPr>
      </w:pPr>
      <w:r w:rsidRPr="00EF4B54">
        <w:rPr>
          <w:rFonts w:asciiTheme="minorHAnsi" w:eastAsiaTheme="minorHAnsi" w:hAnsiTheme="minorHAnsi" w:cstheme="minorBidi"/>
          <w:sz w:val="22"/>
          <w:szCs w:val="22"/>
          <w:lang w:eastAsia="en-US"/>
        </w:rPr>
        <w:t>Thank you for your interest in our study. We are investigating the role that supervisors play in the delivery of CBT by their supervisees. In particular, we would like to know what advice you provide during sessions with your supervisees and which supervisory techniques you use.</w:t>
      </w:r>
    </w:p>
    <w:p w14:paraId="7ED55519" w14:textId="77777777" w:rsidR="00C31046" w:rsidRPr="00EF4B54" w:rsidRDefault="00C31046" w:rsidP="00C31046">
      <w:pPr>
        <w:pStyle w:val="NormalWeb"/>
        <w:rPr>
          <w:rFonts w:asciiTheme="minorHAnsi" w:eastAsiaTheme="minorHAnsi" w:hAnsiTheme="minorHAnsi" w:cstheme="minorBidi"/>
          <w:sz w:val="22"/>
          <w:szCs w:val="22"/>
          <w:lang w:eastAsia="en-US"/>
        </w:rPr>
      </w:pPr>
      <w:r w:rsidRPr="00EF4B54">
        <w:rPr>
          <w:rFonts w:asciiTheme="minorHAnsi" w:eastAsiaTheme="minorHAnsi" w:hAnsiTheme="minorHAnsi" w:cstheme="minorBidi"/>
          <w:sz w:val="22"/>
          <w:szCs w:val="22"/>
          <w:lang w:eastAsia="en-US"/>
        </w:rPr>
        <w:t xml:space="preserve">To take part in this research, you </w:t>
      </w:r>
      <w:r w:rsidRPr="00EF4B54">
        <w:rPr>
          <w:rFonts w:asciiTheme="minorHAnsi" w:eastAsiaTheme="minorHAnsi" w:hAnsiTheme="minorHAnsi" w:cstheme="minorBidi"/>
          <w:sz w:val="22"/>
          <w:szCs w:val="22"/>
          <w:u w:val="single"/>
          <w:lang w:eastAsia="en-US"/>
        </w:rPr>
        <w:t>must</w:t>
      </w:r>
      <w:r w:rsidRPr="00EF4B54">
        <w:rPr>
          <w:rFonts w:asciiTheme="minorHAnsi" w:eastAsiaTheme="minorHAnsi" w:hAnsiTheme="minorHAnsi" w:cstheme="minorBidi"/>
          <w:sz w:val="22"/>
          <w:szCs w:val="22"/>
          <w:lang w:eastAsia="en-US"/>
        </w:rPr>
        <w:t> be a supervisor to CBT clinicians treating patients with depression.</w:t>
      </w:r>
    </w:p>
    <w:p w14:paraId="592E9B6A" w14:textId="77777777" w:rsidR="00C31046" w:rsidRPr="00EF4B54" w:rsidRDefault="00C31046" w:rsidP="00C31046">
      <w:pPr>
        <w:pStyle w:val="NormalWeb"/>
        <w:rPr>
          <w:rFonts w:asciiTheme="minorHAnsi" w:eastAsiaTheme="minorHAnsi" w:hAnsiTheme="minorHAnsi" w:cstheme="minorBidi"/>
          <w:sz w:val="22"/>
          <w:szCs w:val="22"/>
          <w:lang w:eastAsia="en-US"/>
        </w:rPr>
      </w:pPr>
      <w:r w:rsidRPr="00EF4B54">
        <w:rPr>
          <w:rFonts w:asciiTheme="minorHAnsi" w:eastAsiaTheme="minorHAnsi" w:hAnsiTheme="minorHAnsi" w:cstheme="minorBidi"/>
          <w:sz w:val="22"/>
          <w:szCs w:val="22"/>
          <w:lang w:eastAsia="en-US"/>
        </w:rPr>
        <w:t>All answers are confidential and individual data will only be identifiable during data collection by the researchers involved. No information about individuals will be made available to your managers, employers, supervisors, etc. After data collection is complete</w:t>
      </w:r>
      <w:r>
        <w:rPr>
          <w:rFonts w:asciiTheme="minorHAnsi" w:eastAsiaTheme="minorHAnsi" w:hAnsiTheme="minorHAnsi" w:cstheme="minorBidi"/>
          <w:sz w:val="22"/>
          <w:szCs w:val="22"/>
          <w:lang w:eastAsia="en-US"/>
        </w:rPr>
        <w:t>,</w:t>
      </w:r>
      <w:r w:rsidRPr="00EF4B54">
        <w:rPr>
          <w:rFonts w:asciiTheme="minorHAnsi" w:eastAsiaTheme="minorHAnsi" w:hAnsiTheme="minorHAnsi" w:cstheme="minorBidi"/>
          <w:sz w:val="22"/>
          <w:szCs w:val="22"/>
          <w:lang w:eastAsia="en-US"/>
        </w:rPr>
        <w:t xml:space="preserve"> all email addresses will be deleted (unless you indicate that you would like a summary of the research findings). If this questionnaire causes any professional concerns, please speak to a colleague.</w:t>
      </w:r>
    </w:p>
    <w:p w14:paraId="6C0D0ABF" w14:textId="77777777" w:rsidR="00C31046" w:rsidRPr="00EF4B54" w:rsidRDefault="00C31046" w:rsidP="00C31046">
      <w:pPr>
        <w:pStyle w:val="NormalWeb"/>
        <w:rPr>
          <w:rFonts w:asciiTheme="minorHAnsi" w:eastAsiaTheme="minorHAnsi" w:hAnsiTheme="minorHAnsi" w:cstheme="minorBidi"/>
          <w:sz w:val="22"/>
          <w:szCs w:val="22"/>
          <w:lang w:eastAsia="en-US"/>
        </w:rPr>
      </w:pPr>
      <w:r w:rsidRPr="00EF4B54">
        <w:rPr>
          <w:rFonts w:asciiTheme="minorHAnsi" w:eastAsiaTheme="minorHAnsi" w:hAnsiTheme="minorHAnsi" w:cstheme="minorBidi"/>
          <w:sz w:val="22"/>
          <w:szCs w:val="22"/>
          <w:lang w:eastAsia="en-US"/>
        </w:rPr>
        <w:t>If you have any questions or would like more information about this study, please contact me - Chloe Simpson-Southward (crsimpson-southward1@sheffield.ac.uk).</w:t>
      </w:r>
    </w:p>
    <w:p w14:paraId="4B62280A" w14:textId="77777777" w:rsidR="00C31046" w:rsidRDefault="00C31046" w:rsidP="00C31046">
      <w:pPr>
        <w:pStyle w:val="NormalWeb"/>
        <w:rPr>
          <w:rFonts w:asciiTheme="minorHAnsi" w:eastAsiaTheme="minorHAnsi" w:hAnsiTheme="minorHAnsi" w:cstheme="minorBidi"/>
          <w:sz w:val="22"/>
          <w:szCs w:val="22"/>
          <w:lang w:eastAsia="en-US"/>
        </w:rPr>
      </w:pPr>
      <w:r w:rsidRPr="00EF4B54">
        <w:rPr>
          <w:rFonts w:asciiTheme="minorHAnsi" w:eastAsiaTheme="minorHAnsi" w:hAnsiTheme="minorHAnsi" w:cstheme="minorBidi"/>
          <w:sz w:val="22"/>
          <w:szCs w:val="22"/>
          <w:lang w:eastAsia="en-US"/>
        </w:rPr>
        <w:t>This research has been approved by the University of Sheffield's Department of Psychology Ethics Committee and is supervised by Glenn Waller (g.waller@sheffield.ac.uk) and Gillian Hardy (g.hardy@sheffield.ac.uk).</w:t>
      </w:r>
    </w:p>
    <w:p w14:paraId="0FA6DBC8" w14:textId="77777777" w:rsidR="00C31046" w:rsidRDefault="00C31046" w:rsidP="00C31046">
      <w:pPr>
        <w:rPr>
          <w:rFonts w:eastAsiaTheme="minorHAnsi"/>
          <w:lang w:eastAsia="en-US"/>
        </w:rPr>
      </w:pPr>
      <w:r>
        <w:rPr>
          <w:rFonts w:eastAsiaTheme="minorHAnsi"/>
          <w:lang w:eastAsia="en-US"/>
        </w:rPr>
        <w:br w:type="page"/>
      </w:r>
    </w:p>
    <w:tbl>
      <w:tblPr>
        <w:tblW w:w="10098" w:type="dxa"/>
        <w:tblBorders>
          <w:bottom w:val="single" w:sz="4" w:space="0" w:color="auto"/>
        </w:tblBorders>
        <w:tblLook w:val="00A0" w:firstRow="1" w:lastRow="0" w:firstColumn="1" w:lastColumn="0" w:noHBand="0" w:noVBand="0"/>
      </w:tblPr>
      <w:tblGrid>
        <w:gridCol w:w="4977"/>
        <w:gridCol w:w="5121"/>
      </w:tblGrid>
      <w:tr w:rsidR="00C31046" w:rsidRPr="008E6FEB" w14:paraId="62B970E3" w14:textId="77777777" w:rsidTr="00C31046">
        <w:trPr>
          <w:trHeight w:val="1997"/>
        </w:trPr>
        <w:tc>
          <w:tcPr>
            <w:tcW w:w="4977" w:type="dxa"/>
            <w:shd w:val="clear" w:color="auto" w:fill="auto"/>
          </w:tcPr>
          <w:p w14:paraId="0CA95B8E" w14:textId="77777777" w:rsidR="00C31046" w:rsidRPr="008E6FEB" w:rsidRDefault="00C31046" w:rsidP="00C31046">
            <w:pPr>
              <w:pStyle w:val="BodyText"/>
            </w:pPr>
            <w:r>
              <w:rPr>
                <w:noProof/>
                <w:lang w:eastAsia="en-GB"/>
              </w:rPr>
              <w:lastRenderedPageBreak/>
              <w:drawing>
                <wp:inline distT="0" distB="0" distL="0" distR="0" wp14:anchorId="7141E668" wp14:editId="0831190C">
                  <wp:extent cx="2976245" cy="1190625"/>
                  <wp:effectExtent l="19050" t="0" r="0" b="0"/>
                  <wp:docPr id="279" name="Picture 27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42" cstate="print"/>
                          <a:srcRect/>
                          <a:stretch>
                            <a:fillRect/>
                          </a:stretch>
                        </pic:blipFill>
                        <pic:spPr bwMode="auto">
                          <a:xfrm>
                            <a:off x="0" y="0"/>
                            <a:ext cx="2976245" cy="1190625"/>
                          </a:xfrm>
                          <a:prstGeom prst="rect">
                            <a:avLst/>
                          </a:prstGeom>
                          <a:noFill/>
                          <a:ln w="9525">
                            <a:noFill/>
                            <a:miter lim="800000"/>
                            <a:headEnd/>
                            <a:tailEnd/>
                          </a:ln>
                        </pic:spPr>
                      </pic:pic>
                    </a:graphicData>
                  </a:graphic>
                </wp:inline>
              </w:drawing>
            </w:r>
          </w:p>
        </w:tc>
        <w:tc>
          <w:tcPr>
            <w:tcW w:w="5121" w:type="dxa"/>
            <w:shd w:val="clear" w:color="auto" w:fill="auto"/>
          </w:tcPr>
          <w:p w14:paraId="582A2170" w14:textId="77777777" w:rsidR="00C31046" w:rsidRPr="00DE04E3" w:rsidRDefault="00C31046" w:rsidP="00C31046">
            <w:pPr>
              <w:pStyle w:val="oh"/>
              <w:ind w:left="-40"/>
              <w:jc w:val="left"/>
              <w:rPr>
                <w:rFonts w:ascii="TUOS Stephenson" w:hAnsi="TUOS Stephenson"/>
                <w:b w:val="0"/>
              </w:rPr>
            </w:pPr>
            <w:r w:rsidRPr="00DE04E3">
              <w:rPr>
                <w:rFonts w:ascii="TUOS Stephenson" w:hAnsi="TUOS Stephenson"/>
                <w:b w:val="0"/>
              </w:rPr>
              <w:t>Department Of Psychology.</w:t>
            </w:r>
          </w:p>
          <w:p w14:paraId="6351B122" w14:textId="77777777" w:rsidR="00C31046" w:rsidRPr="00DE04E3" w:rsidRDefault="00C31046" w:rsidP="00C31046">
            <w:pPr>
              <w:pStyle w:val="oh"/>
              <w:ind w:left="-40"/>
              <w:jc w:val="left"/>
              <w:rPr>
                <w:rFonts w:ascii="TUOS Stephenson" w:hAnsi="TUOS Stephenson"/>
                <w:b w:val="0"/>
                <w:sz w:val="36"/>
              </w:rPr>
            </w:pPr>
            <w:r w:rsidRPr="00DE04E3">
              <w:rPr>
                <w:rFonts w:ascii="TUOS Stephenson" w:hAnsi="TUOS Stephenson"/>
                <w:b w:val="0"/>
                <w:sz w:val="36"/>
              </w:rPr>
              <w:t>Clinical Psychology Unit.</w:t>
            </w:r>
          </w:p>
          <w:p w14:paraId="50055153" w14:textId="77777777" w:rsidR="00C31046" w:rsidRPr="00DE04E3" w:rsidRDefault="00C31046" w:rsidP="00C31046">
            <w:pPr>
              <w:pStyle w:val="oh"/>
              <w:ind w:left="-40"/>
              <w:rPr>
                <w:b w:val="0"/>
                <w:sz w:val="20"/>
              </w:rPr>
            </w:pPr>
          </w:p>
          <w:p w14:paraId="770DAD2C" w14:textId="77777777" w:rsidR="00C31046" w:rsidRPr="008E6FEB" w:rsidRDefault="00C31046" w:rsidP="00C31046">
            <w:pPr>
              <w:pStyle w:val="oh"/>
              <w:ind w:left="-40"/>
            </w:pPr>
          </w:p>
        </w:tc>
      </w:tr>
      <w:tr w:rsidR="00C31046" w:rsidRPr="008E6FEB" w14:paraId="5EC277D5" w14:textId="77777777" w:rsidTr="00C31046">
        <w:trPr>
          <w:trHeight w:val="1134"/>
        </w:trPr>
        <w:tc>
          <w:tcPr>
            <w:tcW w:w="4977" w:type="dxa"/>
            <w:shd w:val="clear" w:color="auto" w:fill="auto"/>
          </w:tcPr>
          <w:p w14:paraId="7F2C90B3" w14:textId="77777777" w:rsidR="00C31046" w:rsidRPr="00DE04E3" w:rsidRDefault="00C31046" w:rsidP="00C31046">
            <w:pPr>
              <w:pStyle w:val="oh"/>
              <w:ind w:left="-40"/>
              <w:jc w:val="left"/>
              <w:rPr>
                <w:sz w:val="20"/>
              </w:rPr>
            </w:pPr>
          </w:p>
          <w:p w14:paraId="6BB813DE" w14:textId="77777777" w:rsidR="00C31046" w:rsidRDefault="00C31046" w:rsidP="00C31046">
            <w:pPr>
              <w:pStyle w:val="oh"/>
              <w:ind w:left="-40"/>
              <w:jc w:val="left"/>
              <w:rPr>
                <w:sz w:val="20"/>
              </w:rPr>
            </w:pPr>
            <w:r>
              <w:rPr>
                <w:sz w:val="20"/>
              </w:rPr>
              <w:t>Chloe Simpson-Southward</w:t>
            </w:r>
          </w:p>
          <w:p w14:paraId="0FDF1AC5" w14:textId="77777777" w:rsidR="00C31046" w:rsidRPr="00DE04E3" w:rsidRDefault="00C31046" w:rsidP="00C31046">
            <w:pPr>
              <w:pStyle w:val="oh"/>
              <w:ind w:left="-40"/>
              <w:jc w:val="left"/>
              <w:rPr>
                <w:sz w:val="20"/>
              </w:rPr>
            </w:pPr>
            <w:r>
              <w:rPr>
                <w:sz w:val="20"/>
              </w:rPr>
              <w:t>PhD Candidate</w:t>
            </w:r>
          </w:p>
          <w:p w14:paraId="7D12B96D" w14:textId="77777777" w:rsidR="00C31046" w:rsidRPr="00DE04E3" w:rsidRDefault="00C31046" w:rsidP="00C31046">
            <w:pPr>
              <w:pStyle w:val="oh"/>
              <w:ind w:left="-40"/>
              <w:jc w:val="left"/>
              <w:rPr>
                <w:sz w:val="20"/>
              </w:rPr>
            </w:pPr>
            <w:r w:rsidRPr="00DE04E3">
              <w:rPr>
                <w:sz w:val="20"/>
              </w:rPr>
              <w:t>Department of Psychology</w:t>
            </w:r>
          </w:p>
          <w:p w14:paraId="52607DD6" w14:textId="77777777" w:rsidR="00C31046" w:rsidRPr="00DE04E3" w:rsidRDefault="00C31046" w:rsidP="00C31046">
            <w:pPr>
              <w:pStyle w:val="oh"/>
              <w:ind w:left="-40"/>
              <w:jc w:val="left"/>
              <w:rPr>
                <w:sz w:val="20"/>
              </w:rPr>
            </w:pPr>
            <w:r w:rsidRPr="00DE04E3">
              <w:rPr>
                <w:sz w:val="20"/>
              </w:rPr>
              <w:t>University of Sheffield</w:t>
            </w:r>
          </w:p>
          <w:p w14:paraId="5AC862AB" w14:textId="77777777" w:rsidR="00C31046" w:rsidRPr="00DE04E3" w:rsidRDefault="00C31046" w:rsidP="00C31046">
            <w:pPr>
              <w:pStyle w:val="oh"/>
              <w:ind w:left="-40"/>
              <w:jc w:val="left"/>
              <w:rPr>
                <w:sz w:val="20"/>
              </w:rPr>
            </w:pPr>
            <w:r w:rsidRPr="00DE04E3">
              <w:rPr>
                <w:sz w:val="20"/>
              </w:rPr>
              <w:t>Western Bank</w:t>
            </w:r>
          </w:p>
          <w:p w14:paraId="547E117D" w14:textId="77777777" w:rsidR="00C31046" w:rsidRPr="00DE04E3" w:rsidRDefault="00C31046" w:rsidP="00C31046">
            <w:pPr>
              <w:pStyle w:val="oh"/>
              <w:ind w:left="-40"/>
              <w:jc w:val="left"/>
              <w:rPr>
                <w:sz w:val="32"/>
              </w:rPr>
            </w:pPr>
            <w:r w:rsidRPr="00DE04E3">
              <w:rPr>
                <w:sz w:val="20"/>
              </w:rPr>
              <w:t>Sheffield S10 2TP   UK</w:t>
            </w:r>
          </w:p>
        </w:tc>
        <w:tc>
          <w:tcPr>
            <w:tcW w:w="5121" w:type="dxa"/>
            <w:shd w:val="clear" w:color="auto" w:fill="auto"/>
          </w:tcPr>
          <w:p w14:paraId="0371BA50" w14:textId="77777777" w:rsidR="00C31046" w:rsidRPr="00DE04E3" w:rsidRDefault="00C31046" w:rsidP="00C31046">
            <w:pPr>
              <w:pStyle w:val="oh"/>
              <w:ind w:left="-40"/>
              <w:jc w:val="left"/>
              <w:rPr>
                <w:b w:val="0"/>
                <w:sz w:val="20"/>
              </w:rPr>
            </w:pPr>
          </w:p>
          <w:p w14:paraId="3D0530A2" w14:textId="77777777" w:rsidR="00C31046" w:rsidRPr="00DE04E3" w:rsidRDefault="00C31046" w:rsidP="00C31046">
            <w:pPr>
              <w:pStyle w:val="oh"/>
              <w:ind w:left="-40"/>
              <w:jc w:val="left"/>
              <w:rPr>
                <w:b w:val="0"/>
                <w:sz w:val="20"/>
              </w:rPr>
            </w:pPr>
            <w:r w:rsidRPr="00DE04E3">
              <w:rPr>
                <w:b w:val="0"/>
                <w:sz w:val="20"/>
              </w:rPr>
              <w:t>Telephone:  0114 222</w:t>
            </w:r>
            <w:r>
              <w:rPr>
                <w:b w:val="0"/>
                <w:sz w:val="20"/>
              </w:rPr>
              <w:t xml:space="preserve"> 6504</w:t>
            </w:r>
          </w:p>
          <w:p w14:paraId="0B2778B8" w14:textId="77777777" w:rsidR="00C31046" w:rsidRPr="00DE04E3" w:rsidRDefault="00C31046" w:rsidP="00C31046">
            <w:pPr>
              <w:pStyle w:val="oh"/>
              <w:ind w:left="-40"/>
              <w:jc w:val="left"/>
              <w:rPr>
                <w:b w:val="0"/>
                <w:sz w:val="20"/>
              </w:rPr>
            </w:pPr>
            <w:r>
              <w:rPr>
                <w:b w:val="0"/>
                <w:sz w:val="20"/>
              </w:rPr>
              <w:t>Email: crsimpson-southward1@sheffield.ac.uk</w:t>
            </w:r>
            <w:r w:rsidRPr="00DE04E3">
              <w:rPr>
                <w:b w:val="0"/>
                <w:sz w:val="20"/>
              </w:rPr>
              <w:t xml:space="preserve">    </w:t>
            </w:r>
          </w:p>
          <w:p w14:paraId="044ED15C" w14:textId="77777777" w:rsidR="00C31046" w:rsidRPr="00DE04E3" w:rsidRDefault="00C31046" w:rsidP="00C31046">
            <w:pPr>
              <w:pStyle w:val="oh"/>
              <w:ind w:left="-40"/>
              <w:jc w:val="left"/>
              <w:rPr>
                <w:b w:val="0"/>
                <w:sz w:val="20"/>
              </w:rPr>
            </w:pPr>
          </w:p>
        </w:tc>
      </w:tr>
    </w:tbl>
    <w:p w14:paraId="657C162C" w14:textId="77777777" w:rsidR="00C31046" w:rsidRPr="00494FCB" w:rsidRDefault="00C31046" w:rsidP="00C31046">
      <w:pPr>
        <w:pStyle w:val="BodyText"/>
        <w:spacing w:after="0"/>
        <w:rPr>
          <w:rFonts w:ascii="Helvetica" w:hAnsi="Helvetica"/>
          <w:sz w:val="24"/>
        </w:rPr>
      </w:pPr>
    </w:p>
    <w:p w14:paraId="646B701F" w14:textId="77777777" w:rsidR="00C31046" w:rsidRPr="001D7CA3" w:rsidRDefault="00C31046" w:rsidP="00C31046">
      <w:pPr>
        <w:jc w:val="center"/>
        <w:rPr>
          <w:rFonts w:ascii="Calibri" w:eastAsia="Calibri" w:hAnsi="Calibri"/>
          <w:b/>
          <w:sz w:val="21"/>
          <w:szCs w:val="21"/>
        </w:rPr>
      </w:pPr>
      <w:r w:rsidRPr="001D7CA3">
        <w:rPr>
          <w:rFonts w:ascii="Calibri" w:eastAsia="Calibri" w:hAnsi="Calibri"/>
          <w:b/>
          <w:sz w:val="21"/>
          <w:szCs w:val="21"/>
        </w:rPr>
        <w:t>Investigation of clinical supervision techniques: Consent form</w:t>
      </w:r>
    </w:p>
    <w:p w14:paraId="08B942D0" w14:textId="77777777" w:rsidR="00C31046" w:rsidRPr="001D7CA3" w:rsidRDefault="00C31046" w:rsidP="00C31046">
      <w:pPr>
        <w:pStyle w:val="NormalWeb"/>
        <w:rPr>
          <w:rFonts w:ascii="Calibri" w:eastAsia="Calibri" w:hAnsi="Calibri"/>
          <w:sz w:val="21"/>
          <w:szCs w:val="21"/>
          <w:lang w:eastAsia="en-US"/>
        </w:rPr>
      </w:pPr>
      <w:r w:rsidRPr="001D7CA3">
        <w:rPr>
          <w:rFonts w:ascii="Calibri" w:eastAsia="Calibri" w:hAnsi="Calibri"/>
          <w:sz w:val="21"/>
          <w:szCs w:val="21"/>
          <w:lang w:eastAsia="en-US"/>
        </w:rPr>
        <w:t>We would like you to take part in a piece of research investigating clinical supervision techniques. We are interested in the role that supervisors play in the delivery of CBT by their supervisees. In particular, we would like to know what advice you provide during sessions with your supervisees and which supervisory techniques you use.</w:t>
      </w:r>
    </w:p>
    <w:p w14:paraId="4644C81B" w14:textId="77777777" w:rsidR="00C31046" w:rsidRPr="001D7CA3" w:rsidRDefault="00C31046" w:rsidP="00C31046">
      <w:pPr>
        <w:pStyle w:val="NormalWeb"/>
        <w:rPr>
          <w:rFonts w:ascii="Calibri" w:eastAsia="Calibri" w:hAnsi="Calibri"/>
          <w:sz w:val="21"/>
          <w:szCs w:val="21"/>
          <w:lang w:eastAsia="en-US"/>
        </w:rPr>
      </w:pPr>
      <w:r w:rsidRPr="001D7CA3">
        <w:rPr>
          <w:rFonts w:ascii="Calibri" w:eastAsia="Calibri" w:hAnsi="Calibri"/>
          <w:sz w:val="21"/>
          <w:szCs w:val="21"/>
          <w:lang w:eastAsia="en-US"/>
        </w:rPr>
        <w:t xml:space="preserve">Attached to this form is a questionnaire. If you are willing to fill it in and allow your answers to be used for our research, please sign below to indicate consent. Please note that all answers will be stored anonymously and your ID will not be disclosed to anybody else. </w:t>
      </w:r>
    </w:p>
    <w:p w14:paraId="57BD8388" w14:textId="77777777" w:rsidR="00C31046" w:rsidRPr="001D7CA3" w:rsidRDefault="00C31046" w:rsidP="00C31046">
      <w:pPr>
        <w:pStyle w:val="NormalWeb"/>
        <w:rPr>
          <w:rFonts w:ascii="Calibri" w:eastAsia="Calibri" w:hAnsi="Calibri"/>
          <w:sz w:val="21"/>
          <w:szCs w:val="21"/>
          <w:lang w:eastAsia="en-US"/>
        </w:rPr>
      </w:pPr>
      <w:r>
        <w:rPr>
          <w:rFonts w:ascii="Calibri" w:eastAsia="Calibri" w:hAnsi="Calibri"/>
          <w:noProof/>
          <w:sz w:val="21"/>
          <w:szCs w:val="21"/>
        </w:rPr>
        <mc:AlternateContent>
          <mc:Choice Requires="wps">
            <w:drawing>
              <wp:anchor distT="0" distB="0" distL="114300" distR="114300" simplePos="0" relativeHeight="251681792" behindDoc="0" locked="0" layoutInCell="1" allowOverlap="1" wp14:anchorId="5E9A9F2C" wp14:editId="6CD95591">
                <wp:simplePos x="0" y="0"/>
                <wp:positionH relativeFrom="column">
                  <wp:posOffset>1181735</wp:posOffset>
                </wp:positionH>
                <wp:positionV relativeFrom="paragraph">
                  <wp:posOffset>194310</wp:posOffset>
                </wp:positionV>
                <wp:extent cx="144145" cy="144145"/>
                <wp:effectExtent l="0" t="0" r="27305" b="27305"/>
                <wp:wrapNone/>
                <wp:docPr id="2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D86B" id="Rectangle 5" o:spid="_x0000_s1026" style="position:absolute;margin-left:93.05pt;margin-top:15.3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RFHg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"/>
            </w:pict>
          </mc:Fallback>
        </mc:AlternateContent>
      </w:r>
      <w:r w:rsidRPr="001D7CA3">
        <w:rPr>
          <w:rFonts w:ascii="Calibri" w:eastAsia="Calibri" w:hAnsi="Calibri"/>
          <w:sz w:val="21"/>
          <w:szCs w:val="21"/>
          <w:lang w:eastAsia="en-US"/>
        </w:rPr>
        <w:t xml:space="preserve">I agree to my answers being used for research in this project and I understand that I can withdraw consent at any time. </w:t>
      </w:r>
    </w:p>
    <w:p w14:paraId="1C6BDC70" w14:textId="77777777" w:rsidR="00C31046" w:rsidRPr="001D7CA3" w:rsidRDefault="00C31046" w:rsidP="00C31046">
      <w:pPr>
        <w:pStyle w:val="NormalWeb"/>
        <w:rPr>
          <w:rFonts w:ascii="Calibri" w:eastAsia="Calibri" w:hAnsi="Calibri"/>
          <w:sz w:val="21"/>
          <w:szCs w:val="21"/>
          <w:lang w:eastAsia="en-US"/>
        </w:rPr>
      </w:pPr>
      <w:r>
        <w:rPr>
          <w:rFonts w:ascii="Calibri" w:eastAsia="Calibri" w:hAnsi="Calibri"/>
          <w:noProof/>
          <w:sz w:val="21"/>
          <w:szCs w:val="21"/>
        </w:rPr>
        <mc:AlternateContent>
          <mc:Choice Requires="wps">
            <w:drawing>
              <wp:anchor distT="0" distB="0" distL="114300" distR="114300" simplePos="0" relativeHeight="251682816" behindDoc="0" locked="0" layoutInCell="1" allowOverlap="1" wp14:anchorId="68B47BCE" wp14:editId="6EFE8FD5">
                <wp:simplePos x="0" y="0"/>
                <wp:positionH relativeFrom="column">
                  <wp:posOffset>3140075</wp:posOffset>
                </wp:positionH>
                <wp:positionV relativeFrom="paragraph">
                  <wp:posOffset>18415</wp:posOffset>
                </wp:positionV>
                <wp:extent cx="144145" cy="144145"/>
                <wp:effectExtent l="0" t="0" r="27305" b="27305"/>
                <wp:wrapNone/>
                <wp:docPr id="2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34B6C" id="Rectangle 6" o:spid="_x0000_s1026" style="position:absolute;margin-left:247.25pt;margin-top:1.4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"/>
            </w:pict>
          </mc:Fallback>
        </mc:AlternateContent>
      </w:r>
      <w:r w:rsidRPr="001D7CA3">
        <w:rPr>
          <w:rFonts w:ascii="Calibri" w:eastAsia="Calibri" w:hAnsi="Calibri"/>
          <w:sz w:val="21"/>
          <w:szCs w:val="21"/>
          <w:lang w:eastAsia="en-US"/>
        </w:rPr>
        <w:t>I would like a summary of the findings of this research.</w:t>
      </w:r>
    </w:p>
    <w:p w14:paraId="70F47AF8" w14:textId="77777777" w:rsidR="00C31046" w:rsidRPr="001D7CA3" w:rsidRDefault="00C31046" w:rsidP="00C31046">
      <w:pPr>
        <w:pStyle w:val="NormalWeb"/>
        <w:rPr>
          <w:rFonts w:ascii="Calibri" w:eastAsia="Calibri" w:hAnsi="Calibri"/>
          <w:sz w:val="21"/>
          <w:szCs w:val="21"/>
          <w:lang w:eastAsia="en-US"/>
        </w:rPr>
      </w:pPr>
      <w:r w:rsidRPr="001D7CA3">
        <w:rPr>
          <w:rFonts w:ascii="Calibri" w:eastAsia="Calibri" w:hAnsi="Calibri"/>
          <w:sz w:val="21"/>
          <w:szCs w:val="21"/>
          <w:lang w:eastAsia="en-US"/>
        </w:rPr>
        <w:t>If you have indicated that you would like a summary, please provide your email address (this will no</w:t>
      </w:r>
      <w:r>
        <w:rPr>
          <w:rFonts w:ascii="Calibri" w:eastAsia="Calibri" w:hAnsi="Calibri"/>
          <w:sz w:val="21"/>
          <w:szCs w:val="21"/>
          <w:lang w:eastAsia="en-US"/>
        </w:rPr>
        <w:t>t be used for any other purpose</w:t>
      </w:r>
      <w:r w:rsidRPr="001D7CA3">
        <w:rPr>
          <w:rFonts w:ascii="Calibri" w:eastAsia="Calibri" w:hAnsi="Calibri"/>
          <w:sz w:val="21"/>
          <w:szCs w:val="21"/>
          <w:lang w:eastAsia="en-US"/>
        </w:rPr>
        <w:t>): _______________________________________________________________________________</w:t>
      </w:r>
    </w:p>
    <w:p w14:paraId="6E1E6477" w14:textId="77777777" w:rsidR="00C31046" w:rsidRPr="001D7CA3" w:rsidRDefault="00C31046" w:rsidP="00C31046">
      <w:pPr>
        <w:pStyle w:val="NormalWeb"/>
        <w:rPr>
          <w:rFonts w:ascii="Calibri" w:eastAsia="Calibri" w:hAnsi="Calibri"/>
          <w:sz w:val="21"/>
          <w:szCs w:val="21"/>
          <w:lang w:eastAsia="en-US"/>
        </w:rPr>
      </w:pPr>
      <w:r w:rsidRPr="001D7CA3">
        <w:rPr>
          <w:rFonts w:ascii="Calibri" w:eastAsia="Calibri" w:hAnsi="Calibri"/>
          <w:sz w:val="21"/>
          <w:szCs w:val="21"/>
          <w:lang w:eastAsia="en-US"/>
        </w:rPr>
        <w:t>Signed___________________________________________</w:t>
      </w:r>
    </w:p>
    <w:p w14:paraId="1F012A7C" w14:textId="77777777" w:rsidR="00C31046" w:rsidRDefault="00C31046" w:rsidP="00C31046">
      <w:pPr>
        <w:pStyle w:val="NormalWeb"/>
        <w:rPr>
          <w:rFonts w:ascii="Calibri" w:eastAsia="Calibri" w:hAnsi="Calibri"/>
          <w:sz w:val="21"/>
          <w:szCs w:val="21"/>
          <w:lang w:eastAsia="en-US"/>
        </w:rPr>
      </w:pPr>
      <w:r w:rsidRPr="001D7CA3">
        <w:rPr>
          <w:rFonts w:ascii="Calibri" w:eastAsia="Calibri" w:hAnsi="Calibri"/>
          <w:sz w:val="21"/>
          <w:szCs w:val="21"/>
          <w:lang w:eastAsia="en-US"/>
        </w:rPr>
        <w:t>Date__________________________</w:t>
      </w:r>
    </w:p>
    <w:p w14:paraId="0AC79744" w14:textId="77777777" w:rsidR="00C31046" w:rsidRDefault="00C31046" w:rsidP="00C31046">
      <w:pPr>
        <w:pStyle w:val="NormalWeb"/>
        <w:rPr>
          <w:rFonts w:ascii="Calibri" w:eastAsia="Calibri" w:hAnsi="Calibri"/>
          <w:sz w:val="21"/>
          <w:szCs w:val="21"/>
          <w:lang w:eastAsia="en-US"/>
        </w:rPr>
      </w:pPr>
    </w:p>
    <w:p w14:paraId="2602B25E" w14:textId="77777777" w:rsidR="00C31046" w:rsidRPr="001D7CA3" w:rsidRDefault="00C31046" w:rsidP="00C31046">
      <w:pPr>
        <w:pStyle w:val="ListParagraph"/>
        <w:numPr>
          <w:ilvl w:val="0"/>
          <w:numId w:val="76"/>
        </w:numPr>
        <w:spacing w:after="200" w:line="276" w:lineRule="auto"/>
        <w:jc w:val="left"/>
        <w:rPr>
          <w:sz w:val="21"/>
          <w:szCs w:val="21"/>
        </w:rPr>
      </w:pPr>
      <w:r w:rsidRPr="001D7CA3">
        <w:rPr>
          <w:sz w:val="21"/>
          <w:szCs w:val="21"/>
        </w:rPr>
        <w:t>Do you clinically supervise others?  YES</w:t>
      </w:r>
      <w:r>
        <w:rPr>
          <w:sz w:val="21"/>
          <w:szCs w:val="21"/>
        </w:rPr>
        <w:t xml:space="preserve"> </w:t>
      </w:r>
      <w:r w:rsidRPr="001D7CA3">
        <w:rPr>
          <w:sz w:val="21"/>
          <w:szCs w:val="21"/>
        </w:rPr>
        <w:t>/</w:t>
      </w:r>
      <w:r>
        <w:rPr>
          <w:sz w:val="21"/>
          <w:szCs w:val="21"/>
        </w:rPr>
        <w:t xml:space="preserve"> </w:t>
      </w:r>
      <w:r w:rsidRPr="001D7CA3">
        <w:rPr>
          <w:sz w:val="21"/>
          <w:szCs w:val="21"/>
        </w:rPr>
        <w:t>NO</w:t>
      </w:r>
    </w:p>
    <w:p w14:paraId="50818F7F" w14:textId="77777777" w:rsidR="00C31046" w:rsidRPr="001D7CA3" w:rsidRDefault="00C31046" w:rsidP="00C31046">
      <w:pPr>
        <w:spacing w:after="0" w:line="240" w:lineRule="auto"/>
        <w:ind w:firstLine="720"/>
        <w:rPr>
          <w:sz w:val="21"/>
          <w:szCs w:val="21"/>
        </w:rPr>
      </w:pPr>
      <w:r w:rsidRPr="001D7CA3">
        <w:rPr>
          <w:sz w:val="21"/>
          <w:szCs w:val="21"/>
        </w:rPr>
        <w:t>If</w:t>
      </w:r>
      <w:r w:rsidRPr="001D7CA3">
        <w:rPr>
          <w:b/>
          <w:sz w:val="21"/>
          <w:szCs w:val="21"/>
        </w:rPr>
        <w:t xml:space="preserve"> YES</w:t>
      </w:r>
      <w:r w:rsidRPr="001D7CA3">
        <w:rPr>
          <w:sz w:val="21"/>
          <w:szCs w:val="21"/>
        </w:rPr>
        <w:t xml:space="preserve">, </w:t>
      </w:r>
    </w:p>
    <w:p w14:paraId="156AE2B1" w14:textId="77777777" w:rsidR="00C31046" w:rsidRPr="001D7CA3" w:rsidRDefault="00C31046" w:rsidP="00C31046">
      <w:pPr>
        <w:spacing w:after="0" w:line="240" w:lineRule="auto"/>
        <w:ind w:left="720" w:firstLine="720"/>
        <w:rPr>
          <w:sz w:val="21"/>
          <w:szCs w:val="21"/>
        </w:rPr>
      </w:pPr>
      <w:r w:rsidRPr="001D7CA3">
        <w:rPr>
          <w:sz w:val="21"/>
          <w:szCs w:val="21"/>
        </w:rPr>
        <w:t xml:space="preserve">How many people do you clinically supervise?   </w:t>
      </w:r>
      <w:r w:rsidRPr="001D7CA3">
        <w:rPr>
          <w:sz w:val="21"/>
          <w:szCs w:val="21"/>
        </w:rPr>
        <w:tab/>
      </w:r>
      <w:r w:rsidRPr="001D7CA3">
        <w:rPr>
          <w:sz w:val="21"/>
          <w:szCs w:val="21"/>
        </w:rPr>
        <w:tab/>
      </w:r>
      <w:r w:rsidRPr="001D7CA3">
        <w:rPr>
          <w:sz w:val="21"/>
          <w:szCs w:val="21"/>
        </w:rPr>
        <w:tab/>
        <w:t>________________</w:t>
      </w:r>
    </w:p>
    <w:p w14:paraId="408754D3" w14:textId="77777777" w:rsidR="00C31046" w:rsidRPr="001D7CA3" w:rsidRDefault="00C31046" w:rsidP="00C31046">
      <w:pPr>
        <w:spacing w:after="0" w:line="240" w:lineRule="auto"/>
        <w:ind w:left="1440"/>
        <w:rPr>
          <w:sz w:val="21"/>
          <w:szCs w:val="21"/>
        </w:rPr>
      </w:pPr>
      <w:r w:rsidRPr="001D7CA3">
        <w:rPr>
          <w:sz w:val="21"/>
          <w:szCs w:val="21"/>
        </w:rPr>
        <w:t xml:space="preserve">How many hours </w:t>
      </w:r>
      <w:r w:rsidRPr="001D7CA3">
        <w:rPr>
          <w:b/>
          <w:sz w:val="21"/>
          <w:szCs w:val="21"/>
        </w:rPr>
        <w:t>per month</w:t>
      </w:r>
      <w:r w:rsidRPr="001D7CA3">
        <w:rPr>
          <w:sz w:val="21"/>
          <w:szCs w:val="21"/>
        </w:rPr>
        <w:t xml:space="preserve"> do you spend clinically supervising others?      </w:t>
      </w:r>
      <w:r w:rsidRPr="001D7CA3">
        <w:rPr>
          <w:sz w:val="21"/>
          <w:szCs w:val="21"/>
        </w:rPr>
        <w:tab/>
      </w:r>
      <w:r w:rsidRPr="001D7CA3">
        <w:rPr>
          <w:sz w:val="21"/>
          <w:szCs w:val="21"/>
        </w:rPr>
        <w:tab/>
      </w:r>
      <w:r w:rsidRPr="001D7CA3">
        <w:rPr>
          <w:sz w:val="21"/>
          <w:szCs w:val="21"/>
        </w:rPr>
        <w:tab/>
      </w:r>
      <w:r w:rsidRPr="001D7CA3">
        <w:rPr>
          <w:sz w:val="21"/>
          <w:szCs w:val="21"/>
        </w:rPr>
        <w:tab/>
      </w:r>
      <w:r w:rsidRPr="001D7CA3">
        <w:rPr>
          <w:sz w:val="21"/>
          <w:szCs w:val="21"/>
        </w:rPr>
        <w:tab/>
      </w:r>
      <w:r w:rsidRPr="001D7CA3">
        <w:rPr>
          <w:sz w:val="21"/>
          <w:szCs w:val="21"/>
        </w:rPr>
        <w:tab/>
      </w:r>
      <w:r w:rsidRPr="001D7CA3">
        <w:rPr>
          <w:sz w:val="21"/>
          <w:szCs w:val="21"/>
        </w:rPr>
        <w:tab/>
      </w:r>
      <w:r w:rsidRPr="001D7CA3">
        <w:rPr>
          <w:sz w:val="21"/>
          <w:szCs w:val="21"/>
        </w:rPr>
        <w:tab/>
      </w:r>
      <w:r w:rsidRPr="001D7CA3">
        <w:rPr>
          <w:sz w:val="21"/>
          <w:szCs w:val="21"/>
        </w:rPr>
        <w:tab/>
      </w:r>
      <w:r>
        <w:rPr>
          <w:sz w:val="21"/>
          <w:szCs w:val="21"/>
        </w:rPr>
        <w:t xml:space="preserve">                </w:t>
      </w:r>
      <w:r w:rsidRPr="001D7CA3">
        <w:rPr>
          <w:sz w:val="21"/>
          <w:szCs w:val="21"/>
        </w:rPr>
        <w:t>____________hours</w:t>
      </w:r>
    </w:p>
    <w:p w14:paraId="22CE0928" w14:textId="77777777" w:rsidR="00C31046" w:rsidRPr="001D7CA3" w:rsidRDefault="00C31046" w:rsidP="00C31046">
      <w:pPr>
        <w:spacing w:after="0" w:line="240" w:lineRule="auto"/>
        <w:ind w:left="720"/>
        <w:rPr>
          <w:sz w:val="21"/>
          <w:szCs w:val="21"/>
        </w:rPr>
      </w:pPr>
    </w:p>
    <w:p w14:paraId="55420997" w14:textId="77777777" w:rsidR="00C31046" w:rsidRPr="001D7CA3" w:rsidRDefault="00C31046" w:rsidP="00C31046">
      <w:pPr>
        <w:spacing w:after="0" w:line="240" w:lineRule="auto"/>
        <w:ind w:left="720"/>
        <w:rPr>
          <w:sz w:val="21"/>
          <w:szCs w:val="21"/>
        </w:rPr>
      </w:pPr>
      <w:r w:rsidRPr="001D7CA3">
        <w:rPr>
          <w:sz w:val="21"/>
          <w:szCs w:val="21"/>
        </w:rPr>
        <w:t xml:space="preserve">If </w:t>
      </w:r>
      <w:r w:rsidRPr="001D7CA3">
        <w:rPr>
          <w:b/>
          <w:sz w:val="21"/>
          <w:szCs w:val="21"/>
        </w:rPr>
        <w:t>NO</w:t>
      </w:r>
      <w:r w:rsidRPr="001D7CA3">
        <w:rPr>
          <w:sz w:val="21"/>
          <w:szCs w:val="21"/>
        </w:rPr>
        <w:t>, please do not continue. Thank you for your time but this piece of research is not relevant to you.</w:t>
      </w:r>
    </w:p>
    <w:p w14:paraId="6176B953" w14:textId="77777777" w:rsidR="00C31046" w:rsidRPr="001D7CA3" w:rsidRDefault="00C31046" w:rsidP="00C31046">
      <w:pPr>
        <w:rPr>
          <w:sz w:val="21"/>
          <w:szCs w:val="21"/>
        </w:rPr>
      </w:pPr>
    </w:p>
    <w:p w14:paraId="22B08C55" w14:textId="77777777" w:rsidR="00C31046" w:rsidRPr="001D7CA3" w:rsidRDefault="00C31046" w:rsidP="00C31046">
      <w:pPr>
        <w:pStyle w:val="ListParagraph"/>
        <w:numPr>
          <w:ilvl w:val="0"/>
          <w:numId w:val="76"/>
        </w:numPr>
        <w:spacing w:after="200" w:line="240" w:lineRule="auto"/>
        <w:jc w:val="left"/>
        <w:rPr>
          <w:sz w:val="21"/>
          <w:szCs w:val="21"/>
        </w:rPr>
      </w:pPr>
      <w:r w:rsidRPr="001D7CA3">
        <w:rPr>
          <w:sz w:val="21"/>
          <w:szCs w:val="21"/>
        </w:rPr>
        <w:t>Do you supervise clinicians treating patients with depression?  YES</w:t>
      </w:r>
      <w:r>
        <w:rPr>
          <w:sz w:val="21"/>
          <w:szCs w:val="21"/>
        </w:rPr>
        <w:t xml:space="preserve"> </w:t>
      </w:r>
      <w:r w:rsidRPr="001D7CA3">
        <w:rPr>
          <w:sz w:val="21"/>
          <w:szCs w:val="21"/>
        </w:rPr>
        <w:t>/</w:t>
      </w:r>
      <w:r>
        <w:rPr>
          <w:sz w:val="21"/>
          <w:szCs w:val="21"/>
        </w:rPr>
        <w:t xml:space="preserve"> </w:t>
      </w:r>
      <w:r w:rsidRPr="001D7CA3">
        <w:rPr>
          <w:sz w:val="21"/>
          <w:szCs w:val="21"/>
        </w:rPr>
        <w:t>NO</w:t>
      </w:r>
    </w:p>
    <w:p w14:paraId="6A0450EC" w14:textId="77777777" w:rsidR="00C31046" w:rsidRPr="001D7CA3" w:rsidRDefault="00C31046" w:rsidP="00C31046">
      <w:pPr>
        <w:spacing w:after="0" w:line="240" w:lineRule="auto"/>
        <w:ind w:left="720"/>
        <w:rPr>
          <w:sz w:val="21"/>
          <w:szCs w:val="21"/>
        </w:rPr>
      </w:pPr>
      <w:r w:rsidRPr="001D7CA3">
        <w:rPr>
          <w:sz w:val="21"/>
          <w:szCs w:val="21"/>
        </w:rPr>
        <w:t xml:space="preserve">If </w:t>
      </w:r>
      <w:r w:rsidRPr="001D7CA3">
        <w:rPr>
          <w:b/>
          <w:sz w:val="21"/>
          <w:szCs w:val="21"/>
        </w:rPr>
        <w:t>NO</w:t>
      </w:r>
      <w:r w:rsidRPr="001D7CA3">
        <w:rPr>
          <w:sz w:val="21"/>
          <w:szCs w:val="21"/>
        </w:rPr>
        <w:t>, please do not continue. Thank you for your time but this piece of research is not relevant to you.</w:t>
      </w:r>
    </w:p>
    <w:p w14:paraId="42A168D7" w14:textId="77777777" w:rsidR="00C31046" w:rsidRPr="00EF4B54" w:rsidRDefault="00C31046" w:rsidP="00C31046">
      <w:pPr>
        <w:rPr>
          <w:b/>
        </w:rPr>
      </w:pPr>
      <w:r w:rsidRPr="00EF4B54">
        <w:rPr>
          <w:b/>
        </w:rPr>
        <w:t>Please tell us a little about yourself:</w:t>
      </w:r>
    </w:p>
    <w:p w14:paraId="453FEAA7" w14:textId="77777777" w:rsidR="00C31046" w:rsidRPr="002F2C77" w:rsidRDefault="00C31046" w:rsidP="00C31046">
      <w:pPr>
        <w:pStyle w:val="ListParagraph"/>
        <w:numPr>
          <w:ilvl w:val="0"/>
          <w:numId w:val="63"/>
        </w:numPr>
        <w:spacing w:after="200" w:line="480" w:lineRule="auto"/>
        <w:jc w:val="left"/>
      </w:pPr>
      <w:r w:rsidRPr="002F2C77">
        <w:t xml:space="preserve">Your age: </w:t>
      </w:r>
      <w:r w:rsidRPr="002F2C77">
        <w:softHyphen/>
      </w:r>
      <w:r w:rsidRPr="002F2C77">
        <w:softHyphen/>
      </w:r>
      <w:r w:rsidRPr="002F2C77">
        <w:softHyphen/>
      </w:r>
      <w:r w:rsidRPr="002F2C77">
        <w:softHyphen/>
      </w:r>
      <w:r w:rsidRPr="002F2C77">
        <w:softHyphen/>
      </w:r>
      <w:r w:rsidRPr="002F2C77">
        <w:softHyphen/>
      </w:r>
      <w:r w:rsidRPr="002F2C77">
        <w:softHyphen/>
      </w:r>
      <w:r w:rsidRPr="002F2C77">
        <w:softHyphen/>
        <w:t>__________</w:t>
      </w:r>
    </w:p>
    <w:p w14:paraId="4019EDBF" w14:textId="77777777" w:rsidR="00C31046" w:rsidRDefault="00C31046" w:rsidP="00C31046">
      <w:pPr>
        <w:pStyle w:val="ListParagraph"/>
        <w:numPr>
          <w:ilvl w:val="0"/>
          <w:numId w:val="63"/>
        </w:numPr>
        <w:spacing w:after="200" w:line="480" w:lineRule="auto"/>
        <w:jc w:val="left"/>
      </w:pPr>
      <w:r w:rsidRPr="002F2C77">
        <w:t>Your gender:    Male/Female</w:t>
      </w:r>
    </w:p>
    <w:p w14:paraId="3DC29380" w14:textId="77777777" w:rsidR="00C31046" w:rsidRPr="00EF4B54" w:rsidRDefault="00C31046" w:rsidP="00C31046">
      <w:pPr>
        <w:pStyle w:val="ListParagraph"/>
        <w:numPr>
          <w:ilvl w:val="0"/>
          <w:numId w:val="63"/>
        </w:numPr>
        <w:spacing w:after="200" w:line="480" w:lineRule="auto"/>
        <w:jc w:val="left"/>
      </w:pPr>
      <w:r w:rsidRPr="00EF4B54">
        <w:t xml:space="preserve">What country are you working in? </w:t>
      </w:r>
      <w:r w:rsidRPr="00EF4B54">
        <w:softHyphen/>
      </w:r>
      <w:r w:rsidRPr="00EF4B54">
        <w:softHyphen/>
      </w:r>
      <w:r w:rsidRPr="00EF4B54">
        <w:softHyphen/>
      </w:r>
      <w:r w:rsidRPr="00EF4B54">
        <w:softHyphen/>
      </w:r>
      <w:r w:rsidRPr="00EF4B54">
        <w:softHyphen/>
      </w:r>
      <w:r w:rsidRPr="00EF4B54">
        <w:softHyphen/>
      </w:r>
      <w:r w:rsidRPr="00EF4B54">
        <w:softHyphen/>
      </w:r>
      <w:r w:rsidRPr="00EF4B54">
        <w:softHyphen/>
      </w:r>
      <w:r w:rsidRPr="00EF4B54">
        <w:softHyphen/>
      </w:r>
      <w:r w:rsidRPr="00EF4B54">
        <w:softHyphen/>
        <w:t>________________________</w:t>
      </w:r>
    </w:p>
    <w:p w14:paraId="6CA16A8B" w14:textId="77777777" w:rsidR="00C31046" w:rsidRDefault="00C31046" w:rsidP="00C31046">
      <w:pPr>
        <w:pStyle w:val="ListParagraph"/>
        <w:numPr>
          <w:ilvl w:val="0"/>
          <w:numId w:val="63"/>
        </w:numPr>
        <w:spacing w:after="200" w:line="480" w:lineRule="auto"/>
        <w:jc w:val="left"/>
      </w:pPr>
      <w:r w:rsidRPr="00EF4B54">
        <w:t>What country did</w:t>
      </w:r>
      <w:r>
        <w:t xml:space="preserve"> you do your therapy training in? __________________</w:t>
      </w:r>
    </w:p>
    <w:p w14:paraId="0781368F" w14:textId="77777777" w:rsidR="00C31046" w:rsidRDefault="00C31046" w:rsidP="00C31046">
      <w:pPr>
        <w:pStyle w:val="ListParagraph"/>
        <w:numPr>
          <w:ilvl w:val="0"/>
          <w:numId w:val="63"/>
        </w:numPr>
        <w:spacing w:after="0" w:line="276" w:lineRule="auto"/>
        <w:jc w:val="left"/>
      </w:pPr>
      <w:r>
        <w:t>What is your background profession? (Please circle)</w:t>
      </w:r>
    </w:p>
    <w:p w14:paraId="0316BA55" w14:textId="77777777" w:rsidR="00C31046" w:rsidRDefault="00C31046" w:rsidP="00C31046">
      <w:pPr>
        <w:spacing w:after="0"/>
        <w:ind w:left="360"/>
      </w:pPr>
      <w:r>
        <w:t xml:space="preserve">Nurse / Social Worker / Occupational Therapist / Clinical Psychologist / </w:t>
      </w:r>
      <w:r>
        <w:tab/>
      </w:r>
      <w:r>
        <w:tab/>
        <w:t xml:space="preserve">   Counselling Psychologist / Psychiatrist / Health Trainer / IAPT high intensity worker / Psychological Wellbeing Practitioner / Other (please specify) ___________________________</w:t>
      </w:r>
    </w:p>
    <w:p w14:paraId="19F71311" w14:textId="77777777" w:rsidR="00C31046" w:rsidRPr="002F2C77" w:rsidRDefault="00C31046" w:rsidP="00C31046">
      <w:pPr>
        <w:pStyle w:val="ListParagraph"/>
        <w:numPr>
          <w:ilvl w:val="0"/>
          <w:numId w:val="63"/>
        </w:numPr>
        <w:spacing w:before="200" w:after="0" w:line="480" w:lineRule="auto"/>
        <w:contextualSpacing w:val="0"/>
        <w:jc w:val="left"/>
      </w:pPr>
      <w:r w:rsidRPr="002F2C77">
        <w:t xml:space="preserve">How long have you been qualified? </w:t>
      </w:r>
      <w:r w:rsidRPr="002F2C77">
        <w:softHyphen/>
      </w:r>
      <w:r w:rsidRPr="002F2C77">
        <w:softHyphen/>
      </w:r>
      <w:r w:rsidRPr="002F2C77">
        <w:softHyphen/>
        <w:t>_____________ years</w:t>
      </w:r>
    </w:p>
    <w:p w14:paraId="36A331E5" w14:textId="77777777" w:rsidR="00C31046" w:rsidRDefault="00C31046" w:rsidP="00C31046">
      <w:pPr>
        <w:pStyle w:val="ListParagraph"/>
        <w:numPr>
          <w:ilvl w:val="0"/>
          <w:numId w:val="63"/>
        </w:numPr>
        <w:tabs>
          <w:tab w:val="left" w:pos="993"/>
        </w:tabs>
        <w:spacing w:after="0" w:line="240" w:lineRule="auto"/>
        <w:jc w:val="left"/>
      </w:pPr>
      <w:r w:rsidRPr="002F2C77">
        <w:t xml:space="preserve">Are you </w:t>
      </w:r>
      <w:r>
        <w:t>accredited as a therapist by your national CBT organisation (e.g., BABCP in the UK)</w:t>
      </w:r>
      <w:r w:rsidRPr="002F2C77">
        <w:t xml:space="preserve">?  </w:t>
      </w:r>
      <w:r>
        <w:t xml:space="preserve"> </w:t>
      </w:r>
    </w:p>
    <w:p w14:paraId="2DBDE9F2" w14:textId="77777777" w:rsidR="00C31046" w:rsidRDefault="00C31046" w:rsidP="00C31046">
      <w:pPr>
        <w:pStyle w:val="ListParagraph"/>
        <w:tabs>
          <w:tab w:val="left" w:pos="993"/>
        </w:tabs>
        <w:spacing w:after="0" w:line="240" w:lineRule="auto"/>
      </w:pPr>
    </w:p>
    <w:p w14:paraId="69C4B4E4" w14:textId="77777777" w:rsidR="00C31046" w:rsidRDefault="00C31046" w:rsidP="00C31046">
      <w:pPr>
        <w:pStyle w:val="ListParagraph"/>
        <w:tabs>
          <w:tab w:val="left" w:pos="993"/>
        </w:tabs>
        <w:spacing w:after="0" w:line="240" w:lineRule="auto"/>
      </w:pPr>
      <w:r w:rsidRPr="002F2C77">
        <w:t>YES</w:t>
      </w:r>
      <w:r>
        <w:t xml:space="preserve">  </w:t>
      </w:r>
      <w:r w:rsidRPr="002F2C77">
        <w:t>/</w:t>
      </w:r>
      <w:r>
        <w:t xml:space="preserve">  </w:t>
      </w:r>
      <w:r w:rsidRPr="002F2C77">
        <w:t>NO</w:t>
      </w:r>
      <w:r>
        <w:t xml:space="preserve">  /  Provisionally</w:t>
      </w:r>
    </w:p>
    <w:p w14:paraId="3A5C6FB6" w14:textId="77777777" w:rsidR="00C31046" w:rsidRDefault="00C31046" w:rsidP="00C31046">
      <w:pPr>
        <w:spacing w:before="200" w:after="0"/>
        <w:ind w:left="720"/>
      </w:pPr>
      <w:r>
        <w:t xml:space="preserve">If </w:t>
      </w:r>
      <w:r w:rsidRPr="006E745F">
        <w:rPr>
          <w:b/>
        </w:rPr>
        <w:t>YES</w:t>
      </w:r>
      <w:r>
        <w:t>, h</w:t>
      </w:r>
      <w:r w:rsidRPr="002F2C77">
        <w:t xml:space="preserve">ow long have you been </w:t>
      </w:r>
      <w:r>
        <w:t xml:space="preserve">accredited? </w:t>
      </w:r>
      <w:r>
        <w:softHyphen/>
      </w:r>
      <w:r>
        <w:softHyphen/>
      </w:r>
      <w:r>
        <w:softHyphen/>
        <w:t>__________</w:t>
      </w:r>
      <w:r w:rsidRPr="002F2C77">
        <w:t xml:space="preserve"> years</w:t>
      </w:r>
    </w:p>
    <w:p w14:paraId="07366DA4" w14:textId="77777777" w:rsidR="00C31046" w:rsidRDefault="00C31046" w:rsidP="00C31046">
      <w:pPr>
        <w:pStyle w:val="ListParagraph"/>
        <w:numPr>
          <w:ilvl w:val="0"/>
          <w:numId w:val="63"/>
        </w:numPr>
        <w:spacing w:after="200" w:line="480" w:lineRule="auto"/>
        <w:jc w:val="left"/>
      </w:pPr>
      <w:r w:rsidRPr="002F2C77">
        <w:t xml:space="preserve">Are you </w:t>
      </w:r>
      <w:r>
        <w:t>accredited as a supervisor by your national CBT organisation?</w:t>
      </w:r>
      <w:r w:rsidRPr="002F2C77">
        <w:t xml:space="preserve"> </w:t>
      </w:r>
    </w:p>
    <w:p w14:paraId="4E18DBDB" w14:textId="77777777" w:rsidR="00C31046" w:rsidRDefault="00C31046" w:rsidP="00C31046">
      <w:pPr>
        <w:pStyle w:val="ListParagraph"/>
        <w:tabs>
          <w:tab w:val="left" w:pos="993"/>
        </w:tabs>
        <w:spacing w:after="0" w:line="240" w:lineRule="auto"/>
      </w:pPr>
      <w:r w:rsidRPr="002F2C77">
        <w:t>YES</w:t>
      </w:r>
      <w:r>
        <w:t xml:space="preserve">  </w:t>
      </w:r>
      <w:r w:rsidRPr="002F2C77">
        <w:t>/</w:t>
      </w:r>
      <w:r>
        <w:t xml:space="preserve">  </w:t>
      </w:r>
      <w:r w:rsidRPr="002F2C77">
        <w:t>NO</w:t>
      </w:r>
    </w:p>
    <w:p w14:paraId="2AB75200" w14:textId="77777777" w:rsidR="00C31046" w:rsidRDefault="00C31046" w:rsidP="00C31046">
      <w:pPr>
        <w:spacing w:before="200" w:after="0"/>
        <w:ind w:firstLine="720"/>
      </w:pPr>
      <w:r>
        <w:t xml:space="preserve">If </w:t>
      </w:r>
      <w:r w:rsidRPr="00B54985">
        <w:rPr>
          <w:b/>
        </w:rPr>
        <w:t>YES</w:t>
      </w:r>
      <w:r>
        <w:t>, h</w:t>
      </w:r>
      <w:r w:rsidRPr="002F2C77">
        <w:t xml:space="preserve">ow long have you been </w:t>
      </w:r>
      <w:r>
        <w:t xml:space="preserve">accredited? </w:t>
      </w:r>
      <w:r>
        <w:softHyphen/>
      </w:r>
      <w:r>
        <w:softHyphen/>
      </w:r>
      <w:r>
        <w:softHyphen/>
        <w:t>__________</w:t>
      </w:r>
      <w:r w:rsidRPr="002F2C77">
        <w:t xml:space="preserve"> years</w:t>
      </w:r>
    </w:p>
    <w:p w14:paraId="55D1A3FD" w14:textId="77777777" w:rsidR="00C31046" w:rsidRDefault="00C31046" w:rsidP="00C31046">
      <w:pPr>
        <w:pStyle w:val="ListParagraph"/>
        <w:numPr>
          <w:ilvl w:val="0"/>
          <w:numId w:val="63"/>
        </w:numPr>
        <w:spacing w:after="200" w:line="480" w:lineRule="auto"/>
        <w:jc w:val="left"/>
      </w:pPr>
      <w:r w:rsidRPr="002F2C77">
        <w:t>How long have you been using CBT to treat patients</w:t>
      </w:r>
      <w:r>
        <w:t xml:space="preserve"> with depression? ___________</w:t>
      </w:r>
      <w:r w:rsidRPr="002F2C77">
        <w:t xml:space="preserve"> years</w:t>
      </w:r>
    </w:p>
    <w:p w14:paraId="668D0084" w14:textId="77777777" w:rsidR="00C31046" w:rsidRDefault="00C31046" w:rsidP="00C31046">
      <w:pPr>
        <w:pStyle w:val="ListParagraph"/>
        <w:numPr>
          <w:ilvl w:val="0"/>
          <w:numId w:val="63"/>
        </w:numPr>
        <w:spacing w:before="200" w:after="200" w:line="480" w:lineRule="auto"/>
        <w:jc w:val="left"/>
      </w:pPr>
      <w:r w:rsidRPr="00EF4B54">
        <w:t>On average</w:t>
      </w:r>
      <w:r w:rsidRPr="002F2C77">
        <w:t xml:space="preserve">, how </w:t>
      </w:r>
      <w:r>
        <w:t>many patients do you have on your caseload at any given time? ________cases</w:t>
      </w:r>
    </w:p>
    <w:p w14:paraId="4A59BF77" w14:textId="77777777" w:rsidR="00C31046" w:rsidRDefault="00C31046" w:rsidP="00C31046">
      <w:pPr>
        <w:pStyle w:val="ListParagraph"/>
        <w:numPr>
          <w:ilvl w:val="0"/>
          <w:numId w:val="63"/>
        </w:numPr>
        <w:spacing w:before="200" w:after="200" w:line="480" w:lineRule="auto"/>
        <w:jc w:val="left"/>
      </w:pPr>
      <w:r>
        <w:lastRenderedPageBreak/>
        <w:t xml:space="preserve">On average, what percentage of your client caseload have a </w:t>
      </w:r>
      <w:r>
        <w:rPr>
          <w:b/>
        </w:rPr>
        <w:t xml:space="preserve">primary </w:t>
      </w:r>
      <w:r>
        <w:t>diagnosis of depression?  _________%</w:t>
      </w:r>
    </w:p>
    <w:p w14:paraId="70130734" w14:textId="77777777" w:rsidR="00C31046" w:rsidRPr="002F2C77" w:rsidRDefault="00C31046" w:rsidP="00C31046">
      <w:pPr>
        <w:pStyle w:val="ListParagraph"/>
        <w:numPr>
          <w:ilvl w:val="0"/>
          <w:numId w:val="63"/>
        </w:numPr>
        <w:spacing w:before="200" w:after="200" w:line="480" w:lineRule="auto"/>
        <w:jc w:val="left"/>
      </w:pPr>
      <w:r>
        <w:t xml:space="preserve">On average, what percentage of your client caseload have a </w:t>
      </w:r>
      <w:r>
        <w:rPr>
          <w:b/>
        </w:rPr>
        <w:t xml:space="preserve">secondary </w:t>
      </w:r>
      <w:r>
        <w:t>diagnosis of depression (alongside another major referring diagnosis)?  _________%</w:t>
      </w:r>
    </w:p>
    <w:p w14:paraId="250840F7" w14:textId="77777777" w:rsidR="00C31046" w:rsidRDefault="00C31046" w:rsidP="00C31046">
      <w:pPr>
        <w:pStyle w:val="ListParagraph"/>
        <w:numPr>
          <w:ilvl w:val="0"/>
          <w:numId w:val="63"/>
        </w:numPr>
        <w:spacing w:after="200" w:line="240" w:lineRule="auto"/>
        <w:jc w:val="left"/>
      </w:pPr>
      <w:r>
        <w:t>Do you use treatment manuals on a regular basis for your work with depression?   YES  /  NO</w:t>
      </w:r>
    </w:p>
    <w:p w14:paraId="48B10CEF" w14:textId="77777777" w:rsidR="00C31046" w:rsidRDefault="00C31046" w:rsidP="00C31046">
      <w:pPr>
        <w:spacing w:line="240" w:lineRule="auto"/>
        <w:ind w:firstLine="720"/>
      </w:pPr>
      <w:r>
        <w:t xml:space="preserve">If </w:t>
      </w:r>
      <w:r w:rsidRPr="006E745F">
        <w:rPr>
          <w:b/>
        </w:rPr>
        <w:t>YES</w:t>
      </w:r>
      <w:r w:rsidRPr="00912048">
        <w:t>,</w:t>
      </w:r>
      <w:r>
        <w:t xml:space="preserve"> how many do you use?</w:t>
      </w:r>
    </w:p>
    <w:p w14:paraId="4B4A186C" w14:textId="77777777" w:rsidR="00C31046" w:rsidRPr="006E745F" w:rsidRDefault="00C31046" w:rsidP="00C31046">
      <w:pPr>
        <w:pStyle w:val="ListParagraph"/>
        <w:ind w:left="3240"/>
        <w:rPr>
          <w:rFonts w:cs="Arial"/>
          <w:lang w:val="en-US"/>
        </w:rPr>
      </w:pPr>
      <w:r w:rsidRPr="006E745F">
        <w:rPr>
          <w:rFonts w:cs="Arial"/>
          <w:lang w:val="en-US"/>
        </w:rPr>
        <w:t xml:space="preserve">1-2 </w:t>
      </w:r>
      <w:r>
        <w:rPr>
          <w:noProof/>
          <w:lang w:eastAsia="en-GB"/>
        </w:rPr>
        <mc:AlternateContent>
          <mc:Choice Requires="wps">
            <w:drawing>
              <wp:inline distT="0" distB="0" distL="0" distR="0" wp14:anchorId="36E0E434" wp14:editId="6C9F6240">
                <wp:extent cx="142875" cy="144145"/>
                <wp:effectExtent l="12700" t="6350" r="6350" b="11430"/>
                <wp:docPr id="27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2181FF" id="Rectangle 108" o:spid="_x0000_s1026" style="width:11.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oIQIAAD8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">
                <w10:anchorlock/>
              </v:rect>
            </w:pict>
          </mc:Fallback>
        </mc:AlternateContent>
      </w:r>
      <w:r w:rsidRPr="006E745F">
        <w:rPr>
          <w:rFonts w:cs="Arial"/>
          <w:lang w:val="en-US"/>
        </w:rPr>
        <w:t xml:space="preserve"> </w:t>
      </w:r>
      <w:r w:rsidRPr="006E745F">
        <w:rPr>
          <w:rFonts w:cs="Arial"/>
          <w:lang w:val="en-US"/>
        </w:rPr>
        <w:tab/>
      </w:r>
      <w:r w:rsidRPr="006E745F">
        <w:rPr>
          <w:rFonts w:cs="Arial"/>
          <w:lang w:val="en-US"/>
        </w:rPr>
        <w:tab/>
        <w:t xml:space="preserve">3-4 </w:t>
      </w:r>
      <w:r>
        <w:rPr>
          <w:noProof/>
          <w:lang w:eastAsia="en-GB"/>
        </w:rPr>
        <mc:AlternateContent>
          <mc:Choice Requires="wps">
            <w:drawing>
              <wp:inline distT="0" distB="0" distL="0" distR="0" wp14:anchorId="39891667" wp14:editId="5B2D4FA6">
                <wp:extent cx="142875" cy="144145"/>
                <wp:effectExtent l="12700" t="6350" r="6350" b="11430"/>
                <wp:docPr id="27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8595C6" id="Rectangle 109" o:spid="_x0000_s1026" style="width:11.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giIg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">
                <w10:anchorlock/>
              </v:rect>
            </w:pict>
          </mc:Fallback>
        </mc:AlternateContent>
      </w:r>
      <w:r w:rsidRPr="006E745F">
        <w:rPr>
          <w:rFonts w:cs="Arial"/>
          <w:lang w:val="en-US"/>
        </w:rPr>
        <w:t xml:space="preserve"> </w:t>
      </w:r>
      <w:r w:rsidRPr="006E745F">
        <w:rPr>
          <w:rFonts w:cs="Arial"/>
          <w:lang w:val="en-US"/>
        </w:rPr>
        <w:tab/>
      </w:r>
      <w:r w:rsidRPr="006E745F">
        <w:rPr>
          <w:rFonts w:cs="Arial"/>
          <w:lang w:val="en-US"/>
        </w:rPr>
        <w:tab/>
        <w:t xml:space="preserve">5+ </w:t>
      </w:r>
      <w:r>
        <w:rPr>
          <w:noProof/>
          <w:lang w:eastAsia="en-GB"/>
        </w:rPr>
        <mc:AlternateContent>
          <mc:Choice Requires="wps">
            <w:drawing>
              <wp:inline distT="0" distB="0" distL="0" distR="0" wp14:anchorId="74557229" wp14:editId="0D098D74">
                <wp:extent cx="142875" cy="144145"/>
                <wp:effectExtent l="10795" t="6350" r="8255" b="11430"/>
                <wp:docPr id="27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DB7957" id="Rectangle 110" o:spid="_x0000_s1026" style="width:11.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">
                <w10:anchorlock/>
              </v:rect>
            </w:pict>
          </mc:Fallback>
        </mc:AlternateContent>
      </w:r>
    </w:p>
    <w:p w14:paraId="7497BAC7" w14:textId="77777777" w:rsidR="00C31046" w:rsidRDefault="00C31046" w:rsidP="00C31046">
      <w:r>
        <w:t xml:space="preserve">Please specify the one that you use most commonly (lead author and title):       </w:t>
      </w:r>
    </w:p>
    <w:p w14:paraId="7BE5526F" w14:textId="77777777" w:rsidR="00C31046" w:rsidRDefault="00C31046" w:rsidP="00C31046">
      <w:r>
        <w:t xml:space="preserve">________________________________________________________________________________ </w:t>
      </w:r>
    </w:p>
    <w:p w14:paraId="27986D21" w14:textId="77777777" w:rsidR="00C31046" w:rsidRDefault="00C31046" w:rsidP="00C31046">
      <w:r>
        <w:br w:type="page"/>
      </w:r>
    </w:p>
    <w:p w14:paraId="1D9F47C2" w14:textId="77777777" w:rsidR="00C31046" w:rsidRDefault="00C31046" w:rsidP="00C31046">
      <w:pPr>
        <w:rPr>
          <w:b/>
        </w:rPr>
      </w:pPr>
      <w:r w:rsidRPr="00726E87">
        <w:rPr>
          <w:b/>
        </w:rPr>
        <w:lastRenderedPageBreak/>
        <w:t>Over th</w:t>
      </w:r>
      <w:r w:rsidRPr="007E3AA0">
        <w:rPr>
          <w:b/>
        </w:rPr>
        <w:t xml:space="preserve">is and the next two </w:t>
      </w:r>
      <w:r w:rsidRPr="00726E87">
        <w:rPr>
          <w:b/>
        </w:rPr>
        <w:t>pages, you will be presented with three clinical cases that your supervisee has brought to you in their supervision sessions. For each case</w:t>
      </w:r>
      <w:r w:rsidRPr="007E3AA0">
        <w:rPr>
          <w:b/>
        </w:rPr>
        <w:t xml:space="preserve">, please answer the </w:t>
      </w:r>
      <w:r w:rsidRPr="00726E87">
        <w:rPr>
          <w:b/>
        </w:rPr>
        <w:t xml:space="preserve">questions </w:t>
      </w:r>
      <w:r w:rsidRPr="007E3AA0">
        <w:rPr>
          <w:b/>
        </w:rPr>
        <w:t xml:space="preserve">that follow </w:t>
      </w:r>
      <w:r w:rsidRPr="00726E87">
        <w:rPr>
          <w:b/>
        </w:rPr>
        <w:t xml:space="preserve">regarding </w:t>
      </w:r>
      <w:r w:rsidRPr="007E3AA0">
        <w:rPr>
          <w:b/>
        </w:rPr>
        <w:t xml:space="preserve">the issues that you would focus on in </w:t>
      </w:r>
      <w:r w:rsidRPr="00726E87">
        <w:rPr>
          <w:b/>
        </w:rPr>
        <w:t>supervision.</w:t>
      </w:r>
    </w:p>
    <w:p w14:paraId="02909CDF" w14:textId="77777777" w:rsidR="00C31046" w:rsidRPr="00E9673E" w:rsidRDefault="00C31046" w:rsidP="00C31046">
      <w:pPr>
        <w:rPr>
          <w:b/>
        </w:rPr>
      </w:pPr>
      <w:r w:rsidRPr="00726E87">
        <w:rPr>
          <w:b/>
        </w:rPr>
        <w:t>Case 1</w:t>
      </w:r>
    </w:p>
    <w:p w14:paraId="00DEBDC1" w14:textId="77777777" w:rsidR="00C31046" w:rsidRDefault="00C31046" w:rsidP="00C31046">
      <w:r>
        <w:t xml:space="preserve">Your supervisee, James, is 40 and has been a qualified therapist for 15 years. He is quite an anxious individual, and seems to worry about his patients a lot of the time. When discussing his cases, a particular issue comes up about a depressed patient called Lauren, who he has been seeing for eight sessions. </w:t>
      </w:r>
    </w:p>
    <w:p w14:paraId="7C224511" w14:textId="77777777" w:rsidR="00C31046" w:rsidRDefault="00C31046" w:rsidP="00C31046">
      <w:r>
        <w:t>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shown no signs of self-harm or any indication that she is a suicide risk.</w:t>
      </w:r>
    </w:p>
    <w:p w14:paraId="49C0979A" w14:textId="77777777" w:rsidR="00C31046" w:rsidRDefault="00C31046" w:rsidP="00C31046">
      <w:r>
        <w:t xml:space="preserve">James has reservations about pushing Lauren to change behaviourally. He is particularly concerned that Lauren will not cope well with the demands of behavioural activation. He fears that she might get worse or stop coming to sessions, if this aspect of therapy is pushed. </w:t>
      </w:r>
    </w:p>
    <w:p w14:paraId="7C84D478" w14:textId="77777777" w:rsidR="00C31046" w:rsidRPr="007E3AA0" w:rsidRDefault="00C31046" w:rsidP="00C31046">
      <w:pPr>
        <w:rPr>
          <w:b/>
        </w:rPr>
      </w:pPr>
      <w:r w:rsidRPr="00726E87">
        <w:rPr>
          <w:b/>
        </w:rPr>
        <w:t>To what extent would you focus on the following techniques when giving the clinician advice during supervision?</w:t>
      </w:r>
    </w:p>
    <w:p w14:paraId="0ED80485" w14:textId="77777777" w:rsidR="00C31046" w:rsidRDefault="00C31046" w:rsidP="00C31046">
      <w:r>
        <w:t>(Please indicate your response by putting an ‘x’ in the appropriate box)</w:t>
      </w:r>
    </w:p>
    <w:tbl>
      <w:tblPr>
        <w:tblStyle w:val="TableGrid"/>
        <w:tblW w:w="9214" w:type="dxa"/>
        <w:tblInd w:w="250" w:type="dxa"/>
        <w:tblLayout w:type="fixed"/>
        <w:tblLook w:val="01E0" w:firstRow="1" w:lastRow="1" w:firstColumn="1" w:lastColumn="1" w:noHBand="0" w:noVBand="0"/>
      </w:tblPr>
      <w:tblGrid>
        <w:gridCol w:w="4111"/>
        <w:gridCol w:w="1276"/>
        <w:gridCol w:w="850"/>
        <w:gridCol w:w="851"/>
        <w:gridCol w:w="850"/>
        <w:gridCol w:w="1276"/>
      </w:tblGrid>
      <w:tr w:rsidR="00C31046" w:rsidRPr="009F46C6" w14:paraId="60FF5CE8" w14:textId="77777777" w:rsidTr="00C31046">
        <w:trPr>
          <w:cantSplit/>
          <w:trHeight w:val="894"/>
        </w:trPr>
        <w:tc>
          <w:tcPr>
            <w:tcW w:w="4111" w:type="dxa"/>
            <w:tcBorders>
              <w:top w:val="single" w:sz="4" w:space="0" w:color="auto"/>
              <w:left w:val="single" w:sz="4" w:space="0" w:color="auto"/>
              <w:bottom w:val="single" w:sz="4" w:space="0" w:color="auto"/>
              <w:right w:val="single" w:sz="4" w:space="0" w:color="auto"/>
            </w:tcBorders>
          </w:tcPr>
          <w:p w14:paraId="10321EC9" w14:textId="77777777" w:rsidR="00C31046" w:rsidRPr="009F46C6" w:rsidRDefault="00C31046" w:rsidP="000F7584">
            <w:pPr>
              <w:autoSpaceDE w:val="0"/>
              <w:autoSpaceDN w:val="0"/>
              <w:adjustRightInd w:val="0"/>
              <w:spacing w:line="360" w:lineRule="auto"/>
              <w:jc w:val="center"/>
            </w:pPr>
          </w:p>
          <w:p w14:paraId="6DD3CEE5" w14:textId="77777777" w:rsidR="00C31046" w:rsidRPr="009F46C6" w:rsidRDefault="00C31046" w:rsidP="000F7584">
            <w:pPr>
              <w:autoSpaceDE w:val="0"/>
              <w:autoSpaceDN w:val="0"/>
              <w:adjustRightInd w:val="0"/>
              <w:spacing w:line="360" w:lineRule="auto"/>
              <w:jc w:val="center"/>
            </w:pPr>
          </w:p>
          <w:p w14:paraId="71B52B23" w14:textId="77777777" w:rsidR="00C31046" w:rsidRPr="009F46C6" w:rsidRDefault="00C31046" w:rsidP="000F7584">
            <w:pPr>
              <w:autoSpaceDE w:val="0"/>
              <w:autoSpaceDN w:val="0"/>
              <w:adjustRightInd w:val="0"/>
              <w:spacing w:line="360" w:lineRule="auto"/>
            </w:pPr>
          </w:p>
          <w:p w14:paraId="4E44D8F9" w14:textId="77777777" w:rsidR="00C31046" w:rsidRPr="009F46C6" w:rsidRDefault="00C31046" w:rsidP="000F7584">
            <w:pPr>
              <w:autoSpaceDE w:val="0"/>
              <w:autoSpaceDN w:val="0"/>
              <w:adjustRightInd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449AA7" w14:textId="77777777" w:rsidR="00C31046" w:rsidRPr="009F46C6" w:rsidRDefault="00C31046" w:rsidP="000F7584">
            <w:pPr>
              <w:autoSpaceDE w:val="0"/>
              <w:autoSpaceDN w:val="0"/>
              <w:adjustRightInd w:val="0"/>
              <w:spacing w:line="360" w:lineRule="auto"/>
              <w:jc w:val="center"/>
            </w:pPr>
            <w:r>
              <w:t>I would not focus on this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EDDC79"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C2FE5B3"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8BD267"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313931B" w14:textId="77777777" w:rsidR="00C31046" w:rsidRPr="009F46C6" w:rsidRDefault="00C31046" w:rsidP="000F7584">
            <w:pPr>
              <w:autoSpaceDE w:val="0"/>
              <w:autoSpaceDN w:val="0"/>
              <w:adjustRightInd w:val="0"/>
              <w:spacing w:line="360" w:lineRule="auto"/>
              <w:jc w:val="center"/>
            </w:pPr>
            <w:r>
              <w:t>I would focus entirely on this</w:t>
            </w:r>
          </w:p>
        </w:tc>
      </w:tr>
      <w:tr w:rsidR="00C31046" w:rsidRPr="009F46C6" w14:paraId="20D24557" w14:textId="77777777" w:rsidTr="00C31046">
        <w:tc>
          <w:tcPr>
            <w:tcW w:w="4111" w:type="dxa"/>
            <w:tcBorders>
              <w:top w:val="single" w:sz="4" w:space="0" w:color="auto"/>
              <w:left w:val="single" w:sz="4" w:space="0" w:color="auto"/>
              <w:bottom w:val="single" w:sz="4" w:space="0" w:color="auto"/>
              <w:right w:val="single" w:sz="4" w:space="0" w:color="auto"/>
            </w:tcBorders>
          </w:tcPr>
          <w:p w14:paraId="3F9C11EA" w14:textId="77777777" w:rsidR="00C31046" w:rsidRPr="009F46C6" w:rsidRDefault="00C31046" w:rsidP="000F7584">
            <w:pPr>
              <w:autoSpaceDE w:val="0"/>
              <w:autoSpaceDN w:val="0"/>
              <w:adjustRightInd w:val="0"/>
              <w:spacing w:line="360" w:lineRule="auto"/>
            </w:pPr>
            <w:r>
              <w:t>Focus on the development of the therapeutic alliance with the patient</w:t>
            </w:r>
          </w:p>
        </w:tc>
        <w:tc>
          <w:tcPr>
            <w:tcW w:w="1276" w:type="dxa"/>
            <w:tcBorders>
              <w:top w:val="single" w:sz="4" w:space="0" w:color="auto"/>
              <w:left w:val="single" w:sz="4" w:space="0" w:color="auto"/>
              <w:bottom w:val="single" w:sz="4" w:space="0" w:color="auto"/>
              <w:right w:val="single" w:sz="4" w:space="0" w:color="auto"/>
            </w:tcBorders>
          </w:tcPr>
          <w:p w14:paraId="61680B7B"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6F8D66D7"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1EAF3B4C"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43828962"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01DD45FA" w14:textId="77777777" w:rsidR="00C31046" w:rsidRPr="009F46C6" w:rsidRDefault="00C31046" w:rsidP="000F7584">
            <w:pPr>
              <w:autoSpaceDE w:val="0"/>
              <w:autoSpaceDN w:val="0"/>
              <w:adjustRightInd w:val="0"/>
              <w:spacing w:line="360" w:lineRule="auto"/>
              <w:jc w:val="center"/>
            </w:pPr>
          </w:p>
        </w:tc>
      </w:tr>
      <w:tr w:rsidR="00C31046" w:rsidRPr="009F46C6" w14:paraId="5A523E9D"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3DBAD2F4" w14:textId="77777777" w:rsidR="00C31046" w:rsidRPr="009F46C6" w:rsidRDefault="00C31046" w:rsidP="000F7584">
            <w:pPr>
              <w:autoSpaceDE w:val="0"/>
              <w:autoSpaceDN w:val="0"/>
              <w:adjustRightInd w:val="0"/>
              <w:spacing w:line="360" w:lineRule="auto"/>
            </w:pPr>
            <w:r>
              <w:t xml:space="preserve">Focus on evidence-based therapeutic techniques </w:t>
            </w:r>
          </w:p>
        </w:tc>
        <w:tc>
          <w:tcPr>
            <w:tcW w:w="1276" w:type="dxa"/>
            <w:tcBorders>
              <w:top w:val="single" w:sz="4" w:space="0" w:color="auto"/>
              <w:left w:val="single" w:sz="4" w:space="0" w:color="auto"/>
              <w:bottom w:val="single" w:sz="4" w:space="0" w:color="auto"/>
              <w:right w:val="single" w:sz="4" w:space="0" w:color="auto"/>
            </w:tcBorders>
          </w:tcPr>
          <w:p w14:paraId="433BBBE6"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65A4378D"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67F4039F"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173BDE14"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6EC36DA5" w14:textId="77777777" w:rsidR="00C31046" w:rsidRPr="009F46C6" w:rsidRDefault="00C31046" w:rsidP="000F7584">
            <w:pPr>
              <w:autoSpaceDE w:val="0"/>
              <w:autoSpaceDN w:val="0"/>
              <w:adjustRightInd w:val="0"/>
              <w:spacing w:line="360" w:lineRule="auto"/>
              <w:jc w:val="center"/>
            </w:pPr>
          </w:p>
        </w:tc>
      </w:tr>
      <w:tr w:rsidR="00C31046" w:rsidRPr="009F46C6" w14:paraId="4E2715AA"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2038E7A0" w14:textId="77777777" w:rsidR="00C31046" w:rsidRDefault="00C31046" w:rsidP="000F7584">
            <w:pPr>
              <w:autoSpaceDE w:val="0"/>
              <w:autoSpaceDN w:val="0"/>
              <w:adjustRightInd w:val="0"/>
              <w:spacing w:line="360" w:lineRule="auto"/>
            </w:pPr>
            <w:r>
              <w:t xml:space="preserve">Focus on other issues in </w:t>
            </w:r>
            <w:r w:rsidRPr="007E3AA0">
              <w:t>supervision (see below to tell us which issues)</w:t>
            </w:r>
          </w:p>
        </w:tc>
        <w:tc>
          <w:tcPr>
            <w:tcW w:w="1276" w:type="dxa"/>
            <w:tcBorders>
              <w:top w:val="single" w:sz="4" w:space="0" w:color="auto"/>
              <w:left w:val="single" w:sz="4" w:space="0" w:color="auto"/>
              <w:bottom w:val="single" w:sz="4" w:space="0" w:color="auto"/>
              <w:right w:val="single" w:sz="4" w:space="0" w:color="auto"/>
            </w:tcBorders>
          </w:tcPr>
          <w:p w14:paraId="421AAFC1"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14D555A9"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5743E000"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61F55543"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1BD4CF72" w14:textId="77777777" w:rsidR="00C31046" w:rsidRPr="009F46C6" w:rsidRDefault="00C31046" w:rsidP="000F7584">
            <w:pPr>
              <w:autoSpaceDE w:val="0"/>
              <w:autoSpaceDN w:val="0"/>
              <w:adjustRightInd w:val="0"/>
              <w:spacing w:line="360" w:lineRule="auto"/>
              <w:jc w:val="center"/>
            </w:pPr>
          </w:p>
        </w:tc>
      </w:tr>
    </w:tbl>
    <w:p w14:paraId="4C76FF03" w14:textId="77777777" w:rsidR="00C31046" w:rsidRPr="00FC5902" w:rsidRDefault="00C31046" w:rsidP="00C31046"/>
    <w:p w14:paraId="6BA116A4" w14:textId="0DB98411" w:rsidR="00C31046" w:rsidRPr="000F7584" w:rsidRDefault="00C31046" w:rsidP="00C31046">
      <w:r w:rsidRPr="00726E87">
        <w:t>If focusing on ‘other issues’, please list the major issues that you would be addressing</w:t>
      </w:r>
      <w:r w:rsidRPr="007E3AA0">
        <w:t>:</w:t>
      </w:r>
      <w:r w:rsidRPr="00726E87">
        <w:br w:type="page"/>
      </w:r>
      <w:r w:rsidRPr="00726E87">
        <w:rPr>
          <w:b/>
        </w:rPr>
        <w:lastRenderedPageBreak/>
        <w:t>Case 2</w:t>
      </w:r>
    </w:p>
    <w:p w14:paraId="1DEE90A9" w14:textId="77777777" w:rsidR="00C31046" w:rsidRDefault="00C31046" w:rsidP="00C31046">
      <w:r>
        <w:t>Your supervisee, William, is 42 and has been a qualified therapist for 16 years. He is usually quite confident in his abilities as a therapist but he is noticeably anxious in your supervision session today. During your session, it transpires that he is concerned about a depressed patient, Mary, who is halfway through her course of treatment.</w:t>
      </w:r>
    </w:p>
    <w:p w14:paraId="64305944" w14:textId="77777777" w:rsidR="00C31046" w:rsidRDefault="00C31046" w:rsidP="00C31046">
      <w:r w:rsidRPr="00B45A0B">
        <w:t>Mary is 36 and lives with her two children. She got divorced from her husband two years ago, and currently has a partner of about four months. She has been unhappy with life for approximately four years. In recent months, she has shown more and more signs of depression, including a low mood and poor self-esteem, though there are no biological signs. Although she is still doing her job in a bakery, she is becoming increasingly socially isolated. She has given no indication that she is suicidal. She was re</w:t>
      </w:r>
      <w:r>
        <w:t>ferred because of her low mood.</w:t>
      </w:r>
    </w:p>
    <w:p w14:paraId="2DDD768C" w14:textId="77777777" w:rsidR="00C31046" w:rsidRDefault="00C31046" w:rsidP="00C31046">
      <w:r>
        <w:t xml:space="preserve">William explains that he is struggling to push Mary towards behavioural activation. He is concerned that if he pushes Mary to engage in behavioural aspects of therapy, she will be reluctant to come to sessions and may drop out of therapy altogether. William is deeply worried about Mary’s welfare if she does decide to end her treatment. </w:t>
      </w:r>
    </w:p>
    <w:p w14:paraId="2419A178" w14:textId="77777777" w:rsidR="00C31046" w:rsidRPr="007E3AA0" w:rsidRDefault="00C31046" w:rsidP="00C31046">
      <w:pPr>
        <w:rPr>
          <w:b/>
        </w:rPr>
      </w:pPr>
      <w:r w:rsidRPr="00726E87">
        <w:rPr>
          <w:b/>
        </w:rPr>
        <w:t>To what extent would you focus on the following techniques when giving the clinician advice during supervision?</w:t>
      </w:r>
    </w:p>
    <w:p w14:paraId="06542C73" w14:textId="77777777" w:rsidR="00C31046" w:rsidRDefault="00C31046" w:rsidP="00C31046">
      <w:r>
        <w:t>(Please indicate your response by putting an ‘x’ in the appropriate box)</w:t>
      </w:r>
    </w:p>
    <w:tbl>
      <w:tblPr>
        <w:tblStyle w:val="TableGrid"/>
        <w:tblW w:w="9214" w:type="dxa"/>
        <w:tblInd w:w="250" w:type="dxa"/>
        <w:tblLayout w:type="fixed"/>
        <w:tblLook w:val="01E0" w:firstRow="1" w:lastRow="1" w:firstColumn="1" w:lastColumn="1" w:noHBand="0" w:noVBand="0"/>
      </w:tblPr>
      <w:tblGrid>
        <w:gridCol w:w="4111"/>
        <w:gridCol w:w="1276"/>
        <w:gridCol w:w="850"/>
        <w:gridCol w:w="851"/>
        <w:gridCol w:w="850"/>
        <w:gridCol w:w="1276"/>
      </w:tblGrid>
      <w:tr w:rsidR="00C31046" w:rsidRPr="009F46C6" w14:paraId="2E47D1A8" w14:textId="77777777" w:rsidTr="00C31046">
        <w:trPr>
          <w:cantSplit/>
          <w:trHeight w:val="894"/>
        </w:trPr>
        <w:tc>
          <w:tcPr>
            <w:tcW w:w="4111" w:type="dxa"/>
            <w:tcBorders>
              <w:top w:val="single" w:sz="4" w:space="0" w:color="auto"/>
              <w:left w:val="single" w:sz="4" w:space="0" w:color="auto"/>
              <w:bottom w:val="single" w:sz="4" w:space="0" w:color="auto"/>
              <w:right w:val="single" w:sz="4" w:space="0" w:color="auto"/>
            </w:tcBorders>
          </w:tcPr>
          <w:p w14:paraId="6639DF90" w14:textId="77777777" w:rsidR="00C31046" w:rsidRPr="009F46C6" w:rsidRDefault="00C31046" w:rsidP="000F7584">
            <w:pPr>
              <w:autoSpaceDE w:val="0"/>
              <w:autoSpaceDN w:val="0"/>
              <w:adjustRightInd w:val="0"/>
              <w:spacing w:line="360" w:lineRule="auto"/>
              <w:jc w:val="center"/>
            </w:pPr>
          </w:p>
          <w:p w14:paraId="55428275" w14:textId="77777777" w:rsidR="00C31046" w:rsidRPr="009F46C6" w:rsidRDefault="00C31046" w:rsidP="000F7584">
            <w:pPr>
              <w:autoSpaceDE w:val="0"/>
              <w:autoSpaceDN w:val="0"/>
              <w:adjustRightInd w:val="0"/>
              <w:spacing w:line="360" w:lineRule="auto"/>
              <w:jc w:val="center"/>
            </w:pPr>
          </w:p>
          <w:p w14:paraId="7393B8F6" w14:textId="77777777" w:rsidR="00C31046" w:rsidRPr="009F46C6" w:rsidRDefault="00C31046" w:rsidP="000F7584">
            <w:pPr>
              <w:autoSpaceDE w:val="0"/>
              <w:autoSpaceDN w:val="0"/>
              <w:adjustRightInd w:val="0"/>
              <w:spacing w:line="360" w:lineRule="auto"/>
            </w:pPr>
          </w:p>
          <w:p w14:paraId="052BBC3E" w14:textId="77777777" w:rsidR="00C31046" w:rsidRPr="009F46C6" w:rsidRDefault="00C31046" w:rsidP="000F7584">
            <w:pPr>
              <w:autoSpaceDE w:val="0"/>
              <w:autoSpaceDN w:val="0"/>
              <w:adjustRightInd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E14833" w14:textId="77777777" w:rsidR="00C31046" w:rsidRPr="009F46C6" w:rsidRDefault="00C31046" w:rsidP="000F7584">
            <w:pPr>
              <w:autoSpaceDE w:val="0"/>
              <w:autoSpaceDN w:val="0"/>
              <w:adjustRightInd w:val="0"/>
              <w:spacing w:line="360" w:lineRule="auto"/>
              <w:jc w:val="center"/>
            </w:pPr>
            <w:r>
              <w:t>I would not focus on this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9BB6C6"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ABFB9A6"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841E879"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3805BA0" w14:textId="77777777" w:rsidR="00C31046" w:rsidRPr="009F46C6" w:rsidRDefault="00C31046" w:rsidP="000F7584">
            <w:pPr>
              <w:autoSpaceDE w:val="0"/>
              <w:autoSpaceDN w:val="0"/>
              <w:adjustRightInd w:val="0"/>
              <w:spacing w:line="360" w:lineRule="auto"/>
              <w:jc w:val="center"/>
            </w:pPr>
            <w:r>
              <w:t>I would focus entirely on this</w:t>
            </w:r>
          </w:p>
        </w:tc>
      </w:tr>
      <w:tr w:rsidR="00C31046" w:rsidRPr="009F46C6" w14:paraId="243AFB6F" w14:textId="77777777" w:rsidTr="00C31046">
        <w:tc>
          <w:tcPr>
            <w:tcW w:w="4111" w:type="dxa"/>
            <w:tcBorders>
              <w:top w:val="single" w:sz="4" w:space="0" w:color="auto"/>
              <w:left w:val="single" w:sz="4" w:space="0" w:color="auto"/>
              <w:bottom w:val="single" w:sz="4" w:space="0" w:color="auto"/>
              <w:right w:val="single" w:sz="4" w:space="0" w:color="auto"/>
            </w:tcBorders>
          </w:tcPr>
          <w:p w14:paraId="1442ED48" w14:textId="77777777" w:rsidR="00C31046" w:rsidRPr="009F46C6" w:rsidRDefault="00C31046" w:rsidP="000F7584">
            <w:pPr>
              <w:autoSpaceDE w:val="0"/>
              <w:autoSpaceDN w:val="0"/>
              <w:adjustRightInd w:val="0"/>
              <w:spacing w:line="360" w:lineRule="auto"/>
            </w:pPr>
            <w:r>
              <w:t>Focus on the development of the therapeutic alliance with the patient</w:t>
            </w:r>
          </w:p>
        </w:tc>
        <w:tc>
          <w:tcPr>
            <w:tcW w:w="1276" w:type="dxa"/>
            <w:tcBorders>
              <w:top w:val="single" w:sz="4" w:space="0" w:color="auto"/>
              <w:left w:val="single" w:sz="4" w:space="0" w:color="auto"/>
              <w:bottom w:val="single" w:sz="4" w:space="0" w:color="auto"/>
              <w:right w:val="single" w:sz="4" w:space="0" w:color="auto"/>
            </w:tcBorders>
          </w:tcPr>
          <w:p w14:paraId="66958F10"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129E4397"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5C93A51C"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27321849"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47DA7EB0" w14:textId="77777777" w:rsidR="00C31046" w:rsidRPr="009F46C6" w:rsidRDefault="00C31046" w:rsidP="000F7584">
            <w:pPr>
              <w:autoSpaceDE w:val="0"/>
              <w:autoSpaceDN w:val="0"/>
              <w:adjustRightInd w:val="0"/>
              <w:spacing w:line="360" w:lineRule="auto"/>
              <w:jc w:val="center"/>
            </w:pPr>
          </w:p>
        </w:tc>
      </w:tr>
      <w:tr w:rsidR="00C31046" w:rsidRPr="009F46C6" w14:paraId="48A86431"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05CC8E78" w14:textId="77777777" w:rsidR="00C31046" w:rsidRPr="009F46C6" w:rsidRDefault="00C31046" w:rsidP="000F7584">
            <w:pPr>
              <w:autoSpaceDE w:val="0"/>
              <w:autoSpaceDN w:val="0"/>
              <w:adjustRightInd w:val="0"/>
              <w:spacing w:line="360" w:lineRule="auto"/>
            </w:pPr>
            <w:r>
              <w:t xml:space="preserve">Focus on evidence-based therapeutic techniques </w:t>
            </w:r>
          </w:p>
        </w:tc>
        <w:tc>
          <w:tcPr>
            <w:tcW w:w="1276" w:type="dxa"/>
            <w:tcBorders>
              <w:top w:val="single" w:sz="4" w:space="0" w:color="auto"/>
              <w:left w:val="single" w:sz="4" w:space="0" w:color="auto"/>
              <w:bottom w:val="single" w:sz="4" w:space="0" w:color="auto"/>
              <w:right w:val="single" w:sz="4" w:space="0" w:color="auto"/>
            </w:tcBorders>
          </w:tcPr>
          <w:p w14:paraId="13824D77"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08E286BB"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755765C2"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34E7BBAA"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391729B9" w14:textId="77777777" w:rsidR="00C31046" w:rsidRPr="009F46C6" w:rsidRDefault="00C31046" w:rsidP="000F7584">
            <w:pPr>
              <w:autoSpaceDE w:val="0"/>
              <w:autoSpaceDN w:val="0"/>
              <w:adjustRightInd w:val="0"/>
              <w:spacing w:line="360" w:lineRule="auto"/>
              <w:jc w:val="center"/>
            </w:pPr>
          </w:p>
        </w:tc>
      </w:tr>
      <w:tr w:rsidR="00C31046" w:rsidRPr="009F46C6" w14:paraId="68208D8C"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7F18784D" w14:textId="77777777" w:rsidR="00C31046" w:rsidRPr="009F46C6" w:rsidRDefault="00C31046" w:rsidP="000F7584">
            <w:pPr>
              <w:autoSpaceDE w:val="0"/>
              <w:autoSpaceDN w:val="0"/>
              <w:adjustRightInd w:val="0"/>
              <w:spacing w:line="360" w:lineRule="auto"/>
            </w:pPr>
            <w:r>
              <w:t xml:space="preserve">Focus on other issues in supervision </w:t>
            </w:r>
            <w:r w:rsidRPr="007E3AA0">
              <w:t>(see below to tell us which issues)</w:t>
            </w:r>
          </w:p>
        </w:tc>
        <w:tc>
          <w:tcPr>
            <w:tcW w:w="1276" w:type="dxa"/>
            <w:tcBorders>
              <w:top w:val="single" w:sz="4" w:space="0" w:color="auto"/>
              <w:left w:val="single" w:sz="4" w:space="0" w:color="auto"/>
              <w:bottom w:val="single" w:sz="4" w:space="0" w:color="auto"/>
              <w:right w:val="single" w:sz="4" w:space="0" w:color="auto"/>
            </w:tcBorders>
          </w:tcPr>
          <w:p w14:paraId="68CC0D45"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7725EE19"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052C33B7"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0BC8A610"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2B97583B" w14:textId="77777777" w:rsidR="00C31046" w:rsidRPr="009F46C6" w:rsidRDefault="00C31046" w:rsidP="000F7584">
            <w:pPr>
              <w:autoSpaceDE w:val="0"/>
              <w:autoSpaceDN w:val="0"/>
              <w:adjustRightInd w:val="0"/>
              <w:spacing w:line="360" w:lineRule="auto"/>
              <w:jc w:val="center"/>
            </w:pPr>
          </w:p>
        </w:tc>
      </w:tr>
    </w:tbl>
    <w:p w14:paraId="43E323F4" w14:textId="77777777" w:rsidR="00C31046" w:rsidRPr="00FC5902" w:rsidRDefault="00C31046" w:rsidP="00C31046"/>
    <w:p w14:paraId="7BE71749" w14:textId="77777777" w:rsidR="00C31046" w:rsidRPr="007E3AA0" w:rsidRDefault="00C31046" w:rsidP="00C31046">
      <w:r w:rsidRPr="007E3AA0">
        <w:t>If focusing on ‘other issues’, please list the major issues that you would be addressing:</w:t>
      </w:r>
    </w:p>
    <w:p w14:paraId="127C6A96" w14:textId="77777777" w:rsidR="00C31046" w:rsidRDefault="00C31046" w:rsidP="00C31046">
      <w:pPr>
        <w:rPr>
          <w:b/>
        </w:rPr>
      </w:pPr>
    </w:p>
    <w:p w14:paraId="4A11C70C" w14:textId="77777777" w:rsidR="00C31046" w:rsidRDefault="00C31046" w:rsidP="00C31046">
      <w:r>
        <w:br w:type="page"/>
      </w:r>
    </w:p>
    <w:p w14:paraId="270DE6EF" w14:textId="77777777" w:rsidR="00C31046" w:rsidRPr="00E9673E" w:rsidRDefault="00C31046" w:rsidP="00C31046">
      <w:pPr>
        <w:rPr>
          <w:b/>
        </w:rPr>
      </w:pPr>
      <w:r w:rsidRPr="00726E87">
        <w:rPr>
          <w:b/>
        </w:rPr>
        <w:lastRenderedPageBreak/>
        <w:t>Case 3</w:t>
      </w:r>
    </w:p>
    <w:p w14:paraId="5B6134EA" w14:textId="77777777" w:rsidR="00C31046" w:rsidRDefault="00C31046" w:rsidP="00C31046">
      <w:r>
        <w:t>Your supervisee, Richard, is 45 and has been a qualified therapist for 19 years. He is very relaxed when discussing</w:t>
      </w:r>
      <w:r w:rsidRPr="000D24D2">
        <w:t xml:space="preserve"> his cases</w:t>
      </w:r>
      <w:r>
        <w:t xml:space="preserve"> in supervision and is rarely worried about carrying out therapy</w:t>
      </w:r>
      <w:r w:rsidRPr="000D24D2">
        <w:t xml:space="preserve">. </w:t>
      </w:r>
      <w:r>
        <w:t>During your supervision session he discusses one of his patients, Emma, who has depression and has just had her ninth treatment session.</w:t>
      </w:r>
    </w:p>
    <w:p w14:paraId="3B37E9E6" w14:textId="77777777" w:rsidR="00C31046" w:rsidRDefault="00C31046" w:rsidP="00C31046">
      <w:r>
        <w:t>Emma is 35 and lives with her daughter and long-term boyfriend of seven years. In recent years she has started feeling that life is pointless, and she is unhappy. Over the past five months she has started showing signs of depression, including poor self-esteem, low mood and self-blame. She is still managing to attend her job as a cashier but has stopped seeing people socially. She currently has no biological signs of depression and has given no indication of suicidal ideas or intent.</w:t>
      </w:r>
    </w:p>
    <w:p w14:paraId="6B14DDD1" w14:textId="77777777" w:rsidR="00C31046" w:rsidRDefault="00C31046" w:rsidP="00C31046">
      <w:r>
        <w:t xml:space="preserve">Richard is about to commence behavioural activation with Emma, and says he is quite comfortable in doing so. He is currently </w:t>
      </w:r>
      <w:r w:rsidRPr="000D24D2">
        <w:t xml:space="preserve">feeling satisfied </w:t>
      </w:r>
      <w:r>
        <w:t>with Emma’s</w:t>
      </w:r>
      <w:r w:rsidRPr="000D24D2">
        <w:t xml:space="preserve"> progress and has no i</w:t>
      </w:r>
      <w:r>
        <w:t xml:space="preserve">mmediate </w:t>
      </w:r>
      <w:r w:rsidRPr="000D24D2">
        <w:t>concerns.</w:t>
      </w:r>
      <w:r>
        <w:t xml:space="preserve"> </w:t>
      </w:r>
    </w:p>
    <w:p w14:paraId="1A8E7CC9" w14:textId="77777777" w:rsidR="00C31046" w:rsidRPr="007E3AA0" w:rsidRDefault="00C31046" w:rsidP="00C31046">
      <w:pPr>
        <w:rPr>
          <w:b/>
        </w:rPr>
      </w:pPr>
      <w:r w:rsidRPr="00726E87">
        <w:rPr>
          <w:b/>
        </w:rPr>
        <w:t>To what extent would you focus on the following techniques when giving the clinician advice during supervision?</w:t>
      </w:r>
    </w:p>
    <w:p w14:paraId="6755E72F" w14:textId="77777777" w:rsidR="00C31046" w:rsidRDefault="00C31046" w:rsidP="00C31046">
      <w:r>
        <w:t>(Please indicate your response by putting an ‘x’ in the appropriate box)</w:t>
      </w:r>
    </w:p>
    <w:tbl>
      <w:tblPr>
        <w:tblStyle w:val="TableGrid"/>
        <w:tblW w:w="9214" w:type="dxa"/>
        <w:tblInd w:w="250" w:type="dxa"/>
        <w:tblLayout w:type="fixed"/>
        <w:tblLook w:val="01E0" w:firstRow="1" w:lastRow="1" w:firstColumn="1" w:lastColumn="1" w:noHBand="0" w:noVBand="0"/>
      </w:tblPr>
      <w:tblGrid>
        <w:gridCol w:w="4111"/>
        <w:gridCol w:w="1276"/>
        <w:gridCol w:w="850"/>
        <w:gridCol w:w="851"/>
        <w:gridCol w:w="850"/>
        <w:gridCol w:w="1276"/>
      </w:tblGrid>
      <w:tr w:rsidR="00C31046" w:rsidRPr="009F46C6" w14:paraId="5D445CA1" w14:textId="77777777" w:rsidTr="00C31046">
        <w:trPr>
          <w:cantSplit/>
          <w:trHeight w:val="894"/>
        </w:trPr>
        <w:tc>
          <w:tcPr>
            <w:tcW w:w="4111" w:type="dxa"/>
            <w:tcBorders>
              <w:top w:val="single" w:sz="4" w:space="0" w:color="auto"/>
              <w:left w:val="single" w:sz="4" w:space="0" w:color="auto"/>
              <w:bottom w:val="single" w:sz="4" w:space="0" w:color="auto"/>
              <w:right w:val="single" w:sz="4" w:space="0" w:color="auto"/>
            </w:tcBorders>
          </w:tcPr>
          <w:p w14:paraId="6592F0CE" w14:textId="77777777" w:rsidR="00C31046" w:rsidRPr="009F46C6" w:rsidRDefault="00C31046" w:rsidP="000F7584">
            <w:pPr>
              <w:autoSpaceDE w:val="0"/>
              <w:autoSpaceDN w:val="0"/>
              <w:adjustRightInd w:val="0"/>
              <w:spacing w:line="360" w:lineRule="auto"/>
              <w:jc w:val="center"/>
            </w:pPr>
          </w:p>
          <w:p w14:paraId="512CFCE8" w14:textId="77777777" w:rsidR="00C31046" w:rsidRPr="009F46C6" w:rsidRDefault="00C31046" w:rsidP="000F7584">
            <w:pPr>
              <w:autoSpaceDE w:val="0"/>
              <w:autoSpaceDN w:val="0"/>
              <w:adjustRightInd w:val="0"/>
              <w:spacing w:line="360" w:lineRule="auto"/>
              <w:jc w:val="center"/>
            </w:pPr>
          </w:p>
          <w:p w14:paraId="45EF239A" w14:textId="77777777" w:rsidR="00C31046" w:rsidRPr="009F46C6" w:rsidRDefault="00C31046" w:rsidP="000F7584">
            <w:pPr>
              <w:autoSpaceDE w:val="0"/>
              <w:autoSpaceDN w:val="0"/>
              <w:adjustRightInd w:val="0"/>
              <w:spacing w:line="360" w:lineRule="auto"/>
            </w:pPr>
          </w:p>
          <w:p w14:paraId="0235A430" w14:textId="77777777" w:rsidR="00C31046" w:rsidRPr="009F46C6" w:rsidRDefault="00C31046" w:rsidP="000F7584">
            <w:pPr>
              <w:autoSpaceDE w:val="0"/>
              <w:autoSpaceDN w:val="0"/>
              <w:adjustRightInd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EE885B9" w14:textId="77777777" w:rsidR="00C31046" w:rsidRPr="009F46C6" w:rsidRDefault="00C31046" w:rsidP="000F7584">
            <w:pPr>
              <w:autoSpaceDE w:val="0"/>
              <w:autoSpaceDN w:val="0"/>
              <w:adjustRightInd w:val="0"/>
              <w:spacing w:line="360" w:lineRule="auto"/>
              <w:jc w:val="center"/>
            </w:pPr>
            <w:r>
              <w:t>I would not focus on this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5F0492"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3F10E8"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7787324"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E6046B" w14:textId="77777777" w:rsidR="00C31046" w:rsidRPr="009F46C6" w:rsidRDefault="00C31046" w:rsidP="000F7584">
            <w:pPr>
              <w:autoSpaceDE w:val="0"/>
              <w:autoSpaceDN w:val="0"/>
              <w:adjustRightInd w:val="0"/>
              <w:spacing w:line="360" w:lineRule="auto"/>
              <w:jc w:val="center"/>
            </w:pPr>
            <w:r>
              <w:t>I would focus entirely on this</w:t>
            </w:r>
          </w:p>
        </w:tc>
      </w:tr>
      <w:tr w:rsidR="00C31046" w:rsidRPr="009F46C6" w14:paraId="4223D143" w14:textId="77777777" w:rsidTr="00C31046">
        <w:tc>
          <w:tcPr>
            <w:tcW w:w="4111" w:type="dxa"/>
            <w:tcBorders>
              <w:top w:val="single" w:sz="4" w:space="0" w:color="auto"/>
              <w:left w:val="single" w:sz="4" w:space="0" w:color="auto"/>
              <w:bottom w:val="single" w:sz="4" w:space="0" w:color="auto"/>
              <w:right w:val="single" w:sz="4" w:space="0" w:color="auto"/>
            </w:tcBorders>
          </w:tcPr>
          <w:p w14:paraId="22A26B93" w14:textId="77777777" w:rsidR="00C31046" w:rsidRPr="009F46C6" w:rsidRDefault="00C31046" w:rsidP="000F7584">
            <w:pPr>
              <w:autoSpaceDE w:val="0"/>
              <w:autoSpaceDN w:val="0"/>
              <w:adjustRightInd w:val="0"/>
              <w:spacing w:line="360" w:lineRule="auto"/>
            </w:pPr>
            <w:r>
              <w:lastRenderedPageBreak/>
              <w:t>Focus on the development of the therapeutic alliance with the patient</w:t>
            </w:r>
          </w:p>
        </w:tc>
        <w:tc>
          <w:tcPr>
            <w:tcW w:w="1276" w:type="dxa"/>
            <w:tcBorders>
              <w:top w:val="single" w:sz="4" w:space="0" w:color="auto"/>
              <w:left w:val="single" w:sz="4" w:space="0" w:color="auto"/>
              <w:bottom w:val="single" w:sz="4" w:space="0" w:color="auto"/>
              <w:right w:val="single" w:sz="4" w:space="0" w:color="auto"/>
            </w:tcBorders>
          </w:tcPr>
          <w:p w14:paraId="4C05AD22"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10CFDD2D"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1164C970"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6290891B"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5DE8AC38" w14:textId="77777777" w:rsidR="00C31046" w:rsidRPr="009F46C6" w:rsidRDefault="00C31046" w:rsidP="000F7584">
            <w:pPr>
              <w:autoSpaceDE w:val="0"/>
              <w:autoSpaceDN w:val="0"/>
              <w:adjustRightInd w:val="0"/>
              <w:spacing w:line="360" w:lineRule="auto"/>
              <w:jc w:val="center"/>
            </w:pPr>
          </w:p>
        </w:tc>
      </w:tr>
      <w:tr w:rsidR="00C31046" w:rsidRPr="009F46C6" w14:paraId="414FD7F2"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731FC6E9" w14:textId="77777777" w:rsidR="00C31046" w:rsidRPr="009F46C6" w:rsidRDefault="00C31046" w:rsidP="000F7584">
            <w:pPr>
              <w:autoSpaceDE w:val="0"/>
              <w:autoSpaceDN w:val="0"/>
              <w:adjustRightInd w:val="0"/>
              <w:spacing w:line="360" w:lineRule="auto"/>
            </w:pPr>
            <w:r>
              <w:t xml:space="preserve">Focus on evidence-based therapeutic techniques </w:t>
            </w:r>
          </w:p>
        </w:tc>
        <w:tc>
          <w:tcPr>
            <w:tcW w:w="1276" w:type="dxa"/>
            <w:tcBorders>
              <w:top w:val="single" w:sz="4" w:space="0" w:color="auto"/>
              <w:left w:val="single" w:sz="4" w:space="0" w:color="auto"/>
              <w:bottom w:val="single" w:sz="4" w:space="0" w:color="auto"/>
              <w:right w:val="single" w:sz="4" w:space="0" w:color="auto"/>
            </w:tcBorders>
          </w:tcPr>
          <w:p w14:paraId="251ED51A"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2AE2150C"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3E4E3597"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596ABF97"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6F44E69C" w14:textId="77777777" w:rsidR="00C31046" w:rsidRPr="009F46C6" w:rsidRDefault="00C31046" w:rsidP="000F7584">
            <w:pPr>
              <w:autoSpaceDE w:val="0"/>
              <w:autoSpaceDN w:val="0"/>
              <w:adjustRightInd w:val="0"/>
              <w:spacing w:line="360" w:lineRule="auto"/>
              <w:jc w:val="center"/>
            </w:pPr>
          </w:p>
        </w:tc>
      </w:tr>
      <w:tr w:rsidR="00C31046" w:rsidRPr="009F46C6" w14:paraId="4F1DA71E" w14:textId="77777777" w:rsidTr="00C31046">
        <w:tc>
          <w:tcPr>
            <w:tcW w:w="4111" w:type="dxa"/>
            <w:tcBorders>
              <w:top w:val="single" w:sz="4" w:space="0" w:color="auto"/>
              <w:left w:val="single" w:sz="4" w:space="0" w:color="auto"/>
              <w:bottom w:val="single" w:sz="4" w:space="0" w:color="auto"/>
              <w:right w:val="single" w:sz="4" w:space="0" w:color="auto"/>
            </w:tcBorders>
            <w:hideMark/>
          </w:tcPr>
          <w:p w14:paraId="2F1C40B2" w14:textId="77777777" w:rsidR="00C31046" w:rsidRPr="009F46C6" w:rsidRDefault="00C31046" w:rsidP="000F7584">
            <w:pPr>
              <w:autoSpaceDE w:val="0"/>
              <w:autoSpaceDN w:val="0"/>
              <w:adjustRightInd w:val="0"/>
              <w:spacing w:line="360" w:lineRule="auto"/>
            </w:pPr>
            <w:r>
              <w:t xml:space="preserve">Focus on other issues in supervision </w:t>
            </w:r>
            <w:r w:rsidRPr="007E3AA0">
              <w:t>(see below to tell us which issues)</w:t>
            </w:r>
          </w:p>
        </w:tc>
        <w:tc>
          <w:tcPr>
            <w:tcW w:w="1276" w:type="dxa"/>
            <w:tcBorders>
              <w:top w:val="single" w:sz="4" w:space="0" w:color="auto"/>
              <w:left w:val="single" w:sz="4" w:space="0" w:color="auto"/>
              <w:bottom w:val="single" w:sz="4" w:space="0" w:color="auto"/>
              <w:right w:val="single" w:sz="4" w:space="0" w:color="auto"/>
            </w:tcBorders>
          </w:tcPr>
          <w:p w14:paraId="69EAC813"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6F0A71D1" w14:textId="77777777" w:rsidR="00C31046" w:rsidRPr="009F46C6" w:rsidRDefault="00C31046" w:rsidP="000F7584">
            <w:pPr>
              <w:autoSpaceDE w:val="0"/>
              <w:autoSpaceDN w:val="0"/>
              <w:adjustRightInd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14:paraId="7EBD54DC" w14:textId="77777777" w:rsidR="00C31046" w:rsidRPr="009F46C6" w:rsidRDefault="00C31046" w:rsidP="000F7584">
            <w:pPr>
              <w:autoSpaceDE w:val="0"/>
              <w:autoSpaceDN w:val="0"/>
              <w:adjustRightInd w:val="0"/>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14:paraId="406D7887" w14:textId="77777777" w:rsidR="00C31046" w:rsidRPr="009F46C6" w:rsidRDefault="00C31046" w:rsidP="000F7584">
            <w:pPr>
              <w:autoSpaceDE w:val="0"/>
              <w:autoSpaceDN w:val="0"/>
              <w:adjustRightInd w:val="0"/>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tcPr>
          <w:p w14:paraId="42B5AF94" w14:textId="77777777" w:rsidR="00C31046" w:rsidRPr="009F46C6" w:rsidRDefault="00C31046" w:rsidP="000F7584">
            <w:pPr>
              <w:autoSpaceDE w:val="0"/>
              <w:autoSpaceDN w:val="0"/>
              <w:adjustRightInd w:val="0"/>
              <w:spacing w:line="360" w:lineRule="auto"/>
              <w:jc w:val="center"/>
            </w:pPr>
          </w:p>
        </w:tc>
      </w:tr>
    </w:tbl>
    <w:p w14:paraId="3FA10862" w14:textId="77777777" w:rsidR="00C31046" w:rsidRPr="00FC5902" w:rsidRDefault="00C31046" w:rsidP="00C31046"/>
    <w:p w14:paraId="1FCB7351" w14:textId="77777777" w:rsidR="00C31046" w:rsidRPr="007E3AA0" w:rsidRDefault="00C31046" w:rsidP="00C31046">
      <w:r w:rsidRPr="007E3AA0">
        <w:t>If focusing on ‘other issues’, please list the major issues that you would be addressing:</w:t>
      </w:r>
    </w:p>
    <w:p w14:paraId="14656B2E" w14:textId="77777777" w:rsidR="00C31046" w:rsidRDefault="00C31046" w:rsidP="00C31046">
      <w:pPr>
        <w:rPr>
          <w:b/>
        </w:rPr>
      </w:pPr>
      <w:r>
        <w:rPr>
          <w:b/>
        </w:rPr>
        <w:br w:type="page"/>
      </w:r>
    </w:p>
    <w:p w14:paraId="11CD7F48" w14:textId="77777777" w:rsidR="00C31046" w:rsidRDefault="00C31046" w:rsidP="00C31046">
      <w:pPr>
        <w:spacing w:after="60" w:line="240" w:lineRule="auto"/>
      </w:pPr>
      <w:r w:rsidRPr="00F53203">
        <w:lastRenderedPageBreak/>
        <w:t xml:space="preserve">We are interested in whether the techniques that you focus on in supervision are related to you as a person. </w:t>
      </w:r>
      <w:r w:rsidRPr="0029342A">
        <w:t>Please indicate the extent to which the following items apply to you</w:t>
      </w:r>
      <w:r>
        <w:t>.</w:t>
      </w:r>
    </w:p>
    <w:tbl>
      <w:tblPr>
        <w:tblStyle w:val="TableGrid"/>
        <w:tblpPr w:leftFromText="180" w:rightFromText="180" w:vertAnchor="text" w:tblpY="39"/>
        <w:tblW w:w="9238" w:type="dxa"/>
        <w:tblLook w:val="04A0" w:firstRow="1" w:lastRow="0" w:firstColumn="1" w:lastColumn="0" w:noHBand="0" w:noVBand="1"/>
      </w:tblPr>
      <w:tblGrid>
        <w:gridCol w:w="4527"/>
        <w:gridCol w:w="1792"/>
        <w:gridCol w:w="885"/>
        <w:gridCol w:w="1017"/>
        <w:gridCol w:w="1017"/>
      </w:tblGrid>
      <w:tr w:rsidR="00C31046" w14:paraId="726BBC9D" w14:textId="77777777" w:rsidTr="00CE04C8">
        <w:trPr>
          <w:trHeight w:val="749"/>
        </w:trPr>
        <w:tc>
          <w:tcPr>
            <w:tcW w:w="4630" w:type="dxa"/>
            <w:vAlign w:val="center"/>
          </w:tcPr>
          <w:p w14:paraId="1398B025" w14:textId="77777777" w:rsidR="00C31046" w:rsidRDefault="00C31046" w:rsidP="000F7584">
            <w:pPr>
              <w:spacing w:after="60" w:line="360" w:lineRule="auto"/>
              <w:ind w:right="-118"/>
              <w:jc w:val="center"/>
              <w:rPr>
                <w:sz w:val="20"/>
                <w:szCs w:val="20"/>
              </w:rPr>
            </w:pPr>
            <w:r>
              <w:t>Statement</w:t>
            </w:r>
          </w:p>
        </w:tc>
        <w:tc>
          <w:tcPr>
            <w:tcW w:w="1819" w:type="dxa"/>
            <w:vAlign w:val="center"/>
          </w:tcPr>
          <w:p w14:paraId="63AA3DC0" w14:textId="77777777" w:rsidR="00C31046" w:rsidRDefault="00C31046" w:rsidP="000F7584">
            <w:pPr>
              <w:spacing w:after="60" w:line="360" w:lineRule="auto"/>
              <w:jc w:val="center"/>
              <w:rPr>
                <w:sz w:val="20"/>
                <w:szCs w:val="20"/>
              </w:rPr>
            </w:pPr>
            <w:r w:rsidRPr="00726E87">
              <w:rPr>
                <w:sz w:val="20"/>
              </w:rPr>
              <w:t>Strongly Agree</w:t>
            </w:r>
          </w:p>
        </w:tc>
        <w:tc>
          <w:tcPr>
            <w:tcW w:w="889" w:type="dxa"/>
            <w:vAlign w:val="center"/>
          </w:tcPr>
          <w:p w14:paraId="150FE570" w14:textId="77777777" w:rsidR="00C31046" w:rsidRDefault="00C31046" w:rsidP="000F7584">
            <w:pPr>
              <w:spacing w:after="60" w:line="360" w:lineRule="auto"/>
              <w:jc w:val="center"/>
              <w:rPr>
                <w:sz w:val="20"/>
                <w:szCs w:val="20"/>
              </w:rPr>
            </w:pPr>
            <w:r w:rsidRPr="00726E87">
              <w:rPr>
                <w:sz w:val="20"/>
              </w:rPr>
              <w:t>Agree</w:t>
            </w:r>
          </w:p>
        </w:tc>
        <w:tc>
          <w:tcPr>
            <w:tcW w:w="950" w:type="dxa"/>
            <w:vAlign w:val="center"/>
          </w:tcPr>
          <w:p w14:paraId="1DE1C8BD" w14:textId="77777777" w:rsidR="00C31046" w:rsidRDefault="00C31046" w:rsidP="000F7584">
            <w:pPr>
              <w:spacing w:after="60" w:line="360" w:lineRule="auto"/>
              <w:jc w:val="center"/>
              <w:rPr>
                <w:sz w:val="20"/>
                <w:szCs w:val="20"/>
              </w:rPr>
            </w:pPr>
            <w:r w:rsidRPr="00726E87">
              <w:rPr>
                <w:sz w:val="20"/>
              </w:rPr>
              <w:t>Disagree</w:t>
            </w:r>
          </w:p>
        </w:tc>
        <w:tc>
          <w:tcPr>
            <w:tcW w:w="950" w:type="dxa"/>
            <w:vAlign w:val="center"/>
          </w:tcPr>
          <w:p w14:paraId="79DEC656" w14:textId="77777777" w:rsidR="00C31046" w:rsidRDefault="00C31046" w:rsidP="000F7584">
            <w:pPr>
              <w:spacing w:after="60" w:line="360" w:lineRule="auto"/>
              <w:jc w:val="center"/>
              <w:rPr>
                <w:sz w:val="20"/>
                <w:szCs w:val="20"/>
              </w:rPr>
            </w:pPr>
            <w:r w:rsidRPr="00726E87">
              <w:rPr>
                <w:sz w:val="20"/>
              </w:rPr>
              <w:t>Strongly Disagree</w:t>
            </w:r>
          </w:p>
        </w:tc>
      </w:tr>
      <w:tr w:rsidR="00C31046" w14:paraId="413F8BB7" w14:textId="77777777" w:rsidTr="00CE04C8">
        <w:trPr>
          <w:trHeight w:val="575"/>
        </w:trPr>
        <w:tc>
          <w:tcPr>
            <w:tcW w:w="4630" w:type="dxa"/>
            <w:vAlign w:val="center"/>
          </w:tcPr>
          <w:p w14:paraId="2A2FB81D" w14:textId="77777777" w:rsidR="00C31046" w:rsidRDefault="00C31046" w:rsidP="000F7584">
            <w:pPr>
              <w:spacing w:after="60" w:line="360" w:lineRule="auto"/>
            </w:pPr>
            <w:r>
              <w:t>I feel that I am a person of worth, at least on an equal plane with others.</w:t>
            </w:r>
          </w:p>
        </w:tc>
        <w:tc>
          <w:tcPr>
            <w:tcW w:w="1819" w:type="dxa"/>
          </w:tcPr>
          <w:p w14:paraId="03B70BBA"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2049943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41C80448"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31591320"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2C2ECE32" w14:textId="77777777" w:rsidTr="00CE04C8">
        <w:trPr>
          <w:trHeight w:val="444"/>
        </w:trPr>
        <w:tc>
          <w:tcPr>
            <w:tcW w:w="4630" w:type="dxa"/>
          </w:tcPr>
          <w:p w14:paraId="3DDFC432" w14:textId="77777777" w:rsidR="00C31046" w:rsidRDefault="00C31046" w:rsidP="000F7584">
            <w:pPr>
              <w:spacing w:after="60" w:line="360" w:lineRule="auto"/>
            </w:pPr>
            <w:r>
              <w:t>I feel that I have a number of good qualities.</w:t>
            </w:r>
          </w:p>
        </w:tc>
        <w:tc>
          <w:tcPr>
            <w:tcW w:w="1819" w:type="dxa"/>
          </w:tcPr>
          <w:p w14:paraId="4C768E66"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7B41CFE5"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26D1732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4C3BC62F"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493A775E" w14:textId="77777777" w:rsidTr="00CE04C8">
        <w:trPr>
          <w:trHeight w:val="19"/>
        </w:trPr>
        <w:tc>
          <w:tcPr>
            <w:tcW w:w="4630" w:type="dxa"/>
          </w:tcPr>
          <w:p w14:paraId="1AA914D4" w14:textId="77777777" w:rsidR="00C31046" w:rsidRDefault="00C31046" w:rsidP="000F7584">
            <w:pPr>
              <w:spacing w:after="60" w:line="360" w:lineRule="auto"/>
            </w:pPr>
            <w:r>
              <w:t>All in all, I am inclined to feel that I am a failure.</w:t>
            </w:r>
          </w:p>
        </w:tc>
        <w:tc>
          <w:tcPr>
            <w:tcW w:w="1819" w:type="dxa"/>
          </w:tcPr>
          <w:p w14:paraId="6390D97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46F46D65"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2A15A57E"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1B7A988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555BC1E4" w14:textId="77777777" w:rsidTr="00CE04C8">
        <w:trPr>
          <w:trHeight w:val="19"/>
        </w:trPr>
        <w:tc>
          <w:tcPr>
            <w:tcW w:w="4630" w:type="dxa"/>
          </w:tcPr>
          <w:p w14:paraId="63022272" w14:textId="77777777" w:rsidR="00C31046" w:rsidRDefault="00C31046" w:rsidP="000F7584">
            <w:pPr>
              <w:spacing w:after="60" w:line="360" w:lineRule="auto"/>
            </w:pPr>
            <w:r>
              <w:t>I am able to do things as well as most other people.</w:t>
            </w:r>
          </w:p>
        </w:tc>
        <w:tc>
          <w:tcPr>
            <w:tcW w:w="1819" w:type="dxa"/>
          </w:tcPr>
          <w:p w14:paraId="63F04C53"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14ACEEFC"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4959036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76E54A2E"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2C8B4AC0" w14:textId="77777777" w:rsidTr="00CE04C8">
        <w:trPr>
          <w:trHeight w:val="19"/>
        </w:trPr>
        <w:tc>
          <w:tcPr>
            <w:tcW w:w="4630" w:type="dxa"/>
          </w:tcPr>
          <w:p w14:paraId="3C2A3958" w14:textId="77777777" w:rsidR="00C31046" w:rsidRDefault="00C31046" w:rsidP="000F7584">
            <w:pPr>
              <w:spacing w:after="60" w:line="360" w:lineRule="auto"/>
            </w:pPr>
            <w:r>
              <w:t>I feel I do not have much to be proud of.</w:t>
            </w:r>
          </w:p>
        </w:tc>
        <w:tc>
          <w:tcPr>
            <w:tcW w:w="1819" w:type="dxa"/>
          </w:tcPr>
          <w:p w14:paraId="3AE6C5E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4243F096"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43717C04"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73AF70E7"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73C1388A" w14:textId="77777777" w:rsidTr="00CE04C8">
        <w:trPr>
          <w:trHeight w:val="19"/>
        </w:trPr>
        <w:tc>
          <w:tcPr>
            <w:tcW w:w="4630" w:type="dxa"/>
          </w:tcPr>
          <w:p w14:paraId="76BF72E6" w14:textId="77777777" w:rsidR="00C31046" w:rsidRDefault="00C31046" w:rsidP="000F7584">
            <w:pPr>
              <w:spacing w:after="60" w:line="360" w:lineRule="auto"/>
            </w:pPr>
            <w:r>
              <w:t>I take a positive attitude toward myself.</w:t>
            </w:r>
          </w:p>
        </w:tc>
        <w:tc>
          <w:tcPr>
            <w:tcW w:w="1819" w:type="dxa"/>
          </w:tcPr>
          <w:p w14:paraId="29A7E8E0"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299DB504"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2236138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0F98CB70"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6160814F" w14:textId="77777777" w:rsidTr="00CE04C8">
        <w:trPr>
          <w:trHeight w:val="19"/>
        </w:trPr>
        <w:tc>
          <w:tcPr>
            <w:tcW w:w="4630" w:type="dxa"/>
          </w:tcPr>
          <w:p w14:paraId="56A2F074" w14:textId="77777777" w:rsidR="00C31046" w:rsidRDefault="00C31046" w:rsidP="000F7584">
            <w:pPr>
              <w:spacing w:after="60" w:line="360" w:lineRule="auto"/>
            </w:pPr>
            <w:r>
              <w:t>On the whole, I am satisfied with myself.</w:t>
            </w:r>
          </w:p>
        </w:tc>
        <w:tc>
          <w:tcPr>
            <w:tcW w:w="1819" w:type="dxa"/>
          </w:tcPr>
          <w:p w14:paraId="43EF88C1"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575E1C31"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506C79F6"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6C8FBD5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1CC99B0E" w14:textId="77777777" w:rsidTr="00CE04C8">
        <w:trPr>
          <w:trHeight w:val="19"/>
        </w:trPr>
        <w:tc>
          <w:tcPr>
            <w:tcW w:w="4630" w:type="dxa"/>
          </w:tcPr>
          <w:p w14:paraId="4E4D9C86" w14:textId="77777777" w:rsidR="00C31046" w:rsidRDefault="00C31046" w:rsidP="000F7584">
            <w:pPr>
              <w:spacing w:after="60" w:line="360" w:lineRule="auto"/>
            </w:pPr>
            <w:r>
              <w:t>I wish I could have more respect for myself.</w:t>
            </w:r>
          </w:p>
        </w:tc>
        <w:tc>
          <w:tcPr>
            <w:tcW w:w="1819" w:type="dxa"/>
          </w:tcPr>
          <w:p w14:paraId="127A9EF1"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05304A5D"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28A177DA"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557FA42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2C666DD3" w14:textId="77777777" w:rsidTr="00CE04C8">
        <w:trPr>
          <w:trHeight w:val="19"/>
        </w:trPr>
        <w:tc>
          <w:tcPr>
            <w:tcW w:w="4630" w:type="dxa"/>
          </w:tcPr>
          <w:p w14:paraId="7D4E199C" w14:textId="77777777" w:rsidR="00C31046" w:rsidRDefault="00C31046" w:rsidP="000F7584">
            <w:pPr>
              <w:spacing w:after="60" w:line="360" w:lineRule="auto"/>
            </w:pPr>
            <w:r>
              <w:t>I certainly feel useless at times.</w:t>
            </w:r>
          </w:p>
        </w:tc>
        <w:tc>
          <w:tcPr>
            <w:tcW w:w="1819" w:type="dxa"/>
          </w:tcPr>
          <w:p w14:paraId="3839785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0FCABFC8"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702C2023"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67D9DFAA"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r w:rsidR="00C31046" w14:paraId="2017CD46" w14:textId="77777777" w:rsidTr="00CE04C8">
        <w:trPr>
          <w:trHeight w:val="19"/>
        </w:trPr>
        <w:tc>
          <w:tcPr>
            <w:tcW w:w="4630" w:type="dxa"/>
          </w:tcPr>
          <w:p w14:paraId="70901529" w14:textId="77777777" w:rsidR="00C31046" w:rsidRDefault="00C31046" w:rsidP="000F7584">
            <w:pPr>
              <w:spacing w:after="60" w:line="360" w:lineRule="auto"/>
            </w:pPr>
            <w:r>
              <w:t>At times I think I am no good at all.</w:t>
            </w:r>
          </w:p>
        </w:tc>
        <w:tc>
          <w:tcPr>
            <w:tcW w:w="1819" w:type="dxa"/>
          </w:tcPr>
          <w:p w14:paraId="6288BA1B"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889" w:type="dxa"/>
          </w:tcPr>
          <w:p w14:paraId="32589386"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0B203CDF"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c>
          <w:tcPr>
            <w:tcW w:w="950" w:type="dxa"/>
          </w:tcPr>
          <w:p w14:paraId="6ECBEB89" w14:textId="77777777" w:rsidR="00C31046" w:rsidRDefault="00C31046" w:rsidP="000F7584">
            <w:pPr>
              <w:spacing w:after="60" w:line="360" w:lineRule="auto"/>
              <w:rPr>
                <w:rFonts w:asciiTheme="majorHAnsi" w:eastAsiaTheme="majorEastAsia" w:hAnsiTheme="majorHAnsi" w:cstheme="majorBidi"/>
                <w:b/>
                <w:bCs/>
                <w:color w:val="A5A5A5" w:themeColor="accent1" w:themeShade="BF"/>
                <w:sz w:val="28"/>
                <w:szCs w:val="28"/>
              </w:rPr>
            </w:pPr>
          </w:p>
        </w:tc>
      </w:tr>
    </w:tbl>
    <w:p w14:paraId="4C2ABC7D" w14:textId="77777777" w:rsidR="00C31046" w:rsidRDefault="00C31046" w:rsidP="00C31046">
      <w:pPr>
        <w:spacing w:after="60" w:line="240" w:lineRule="auto"/>
      </w:pPr>
    </w:p>
    <w:tbl>
      <w:tblPr>
        <w:tblStyle w:val="TableGrid"/>
        <w:tblW w:w="9351" w:type="dxa"/>
        <w:tblLayout w:type="fixed"/>
        <w:tblLook w:val="04A0" w:firstRow="1" w:lastRow="0" w:firstColumn="1" w:lastColumn="0" w:noHBand="0" w:noVBand="1"/>
      </w:tblPr>
      <w:tblGrid>
        <w:gridCol w:w="3397"/>
        <w:gridCol w:w="1418"/>
        <w:gridCol w:w="879"/>
        <w:gridCol w:w="1134"/>
        <w:gridCol w:w="1038"/>
        <w:gridCol w:w="1485"/>
      </w:tblGrid>
      <w:tr w:rsidR="00C31046" w:rsidRPr="009F46C6" w14:paraId="0B97E091" w14:textId="77777777" w:rsidTr="00CE04C8">
        <w:trPr>
          <w:trHeight w:val="894"/>
        </w:trPr>
        <w:tc>
          <w:tcPr>
            <w:tcW w:w="3397" w:type="dxa"/>
          </w:tcPr>
          <w:p w14:paraId="1E8DDAE2" w14:textId="77777777" w:rsidR="00C31046" w:rsidRDefault="00C31046" w:rsidP="000F7584">
            <w:pPr>
              <w:autoSpaceDE w:val="0"/>
              <w:autoSpaceDN w:val="0"/>
              <w:adjustRightInd w:val="0"/>
              <w:spacing w:line="360" w:lineRule="auto"/>
              <w:jc w:val="center"/>
            </w:pPr>
          </w:p>
          <w:p w14:paraId="4312D0EA" w14:textId="77777777" w:rsidR="00C31046" w:rsidRDefault="00C31046" w:rsidP="000F7584">
            <w:pPr>
              <w:autoSpaceDE w:val="0"/>
              <w:autoSpaceDN w:val="0"/>
              <w:adjustRightInd w:val="0"/>
              <w:spacing w:line="360" w:lineRule="auto"/>
              <w:jc w:val="center"/>
            </w:pPr>
          </w:p>
          <w:p w14:paraId="43E57F6B" w14:textId="77777777" w:rsidR="00C31046" w:rsidRDefault="00C31046" w:rsidP="000F7584">
            <w:pPr>
              <w:autoSpaceDE w:val="0"/>
              <w:autoSpaceDN w:val="0"/>
              <w:adjustRightInd w:val="0"/>
              <w:spacing w:line="360" w:lineRule="auto"/>
            </w:pPr>
            <w:r w:rsidRPr="009F46C6">
              <w:t>Item</w:t>
            </w:r>
          </w:p>
        </w:tc>
        <w:tc>
          <w:tcPr>
            <w:tcW w:w="1418" w:type="dxa"/>
            <w:hideMark/>
          </w:tcPr>
          <w:p w14:paraId="5656009D" w14:textId="77777777" w:rsidR="00C31046" w:rsidRDefault="00C31046" w:rsidP="000F7584">
            <w:pPr>
              <w:autoSpaceDE w:val="0"/>
              <w:autoSpaceDN w:val="0"/>
              <w:adjustRightInd w:val="0"/>
              <w:spacing w:line="360" w:lineRule="auto"/>
              <w:jc w:val="center"/>
              <w:rPr>
                <w:sz w:val="20"/>
              </w:rPr>
            </w:pPr>
            <w:r w:rsidRPr="00726E87">
              <w:rPr>
                <w:sz w:val="20"/>
              </w:rPr>
              <w:t xml:space="preserve">1 </w:t>
            </w:r>
          </w:p>
          <w:p w14:paraId="3C627195" w14:textId="77777777" w:rsidR="00C31046" w:rsidRDefault="00C31046" w:rsidP="000F7584">
            <w:pPr>
              <w:autoSpaceDE w:val="0"/>
              <w:autoSpaceDN w:val="0"/>
              <w:adjustRightInd w:val="0"/>
              <w:spacing w:line="360" w:lineRule="auto"/>
              <w:jc w:val="center"/>
              <w:rPr>
                <w:sz w:val="20"/>
              </w:rPr>
            </w:pPr>
            <w:r w:rsidRPr="00726E87">
              <w:rPr>
                <w:sz w:val="20"/>
              </w:rPr>
              <w:t>Not at all characteristic of me</w:t>
            </w:r>
          </w:p>
        </w:tc>
        <w:tc>
          <w:tcPr>
            <w:tcW w:w="879" w:type="dxa"/>
            <w:hideMark/>
          </w:tcPr>
          <w:p w14:paraId="27AC4635" w14:textId="77777777" w:rsidR="00C31046" w:rsidRDefault="00C31046" w:rsidP="000F7584">
            <w:pPr>
              <w:autoSpaceDE w:val="0"/>
              <w:autoSpaceDN w:val="0"/>
              <w:adjustRightInd w:val="0"/>
              <w:spacing w:line="360" w:lineRule="auto"/>
              <w:jc w:val="center"/>
              <w:rPr>
                <w:sz w:val="20"/>
              </w:rPr>
            </w:pPr>
            <w:r w:rsidRPr="00726E87">
              <w:rPr>
                <w:sz w:val="20"/>
              </w:rPr>
              <w:t>2</w:t>
            </w:r>
          </w:p>
        </w:tc>
        <w:tc>
          <w:tcPr>
            <w:tcW w:w="1134" w:type="dxa"/>
            <w:hideMark/>
          </w:tcPr>
          <w:p w14:paraId="170E3A5F" w14:textId="77777777" w:rsidR="00C31046" w:rsidRDefault="00C31046" w:rsidP="000F7584">
            <w:pPr>
              <w:autoSpaceDE w:val="0"/>
              <w:autoSpaceDN w:val="0"/>
              <w:adjustRightInd w:val="0"/>
              <w:spacing w:line="360" w:lineRule="auto"/>
              <w:jc w:val="center"/>
              <w:rPr>
                <w:sz w:val="20"/>
              </w:rPr>
            </w:pPr>
            <w:r w:rsidRPr="00726E87">
              <w:rPr>
                <w:sz w:val="20"/>
              </w:rPr>
              <w:t>3</w:t>
            </w:r>
          </w:p>
        </w:tc>
        <w:tc>
          <w:tcPr>
            <w:tcW w:w="1038" w:type="dxa"/>
            <w:hideMark/>
          </w:tcPr>
          <w:p w14:paraId="17E1FD32" w14:textId="77777777" w:rsidR="00C31046" w:rsidRDefault="00C31046" w:rsidP="000F7584">
            <w:pPr>
              <w:autoSpaceDE w:val="0"/>
              <w:autoSpaceDN w:val="0"/>
              <w:adjustRightInd w:val="0"/>
              <w:spacing w:line="360" w:lineRule="auto"/>
              <w:jc w:val="center"/>
              <w:rPr>
                <w:sz w:val="20"/>
              </w:rPr>
            </w:pPr>
            <w:r w:rsidRPr="00726E87">
              <w:rPr>
                <w:sz w:val="20"/>
              </w:rPr>
              <w:t>4</w:t>
            </w:r>
          </w:p>
        </w:tc>
        <w:tc>
          <w:tcPr>
            <w:tcW w:w="1485" w:type="dxa"/>
            <w:hideMark/>
          </w:tcPr>
          <w:p w14:paraId="53BB20DC" w14:textId="77777777" w:rsidR="00C31046" w:rsidRDefault="00C31046" w:rsidP="000F7584">
            <w:pPr>
              <w:autoSpaceDE w:val="0"/>
              <w:autoSpaceDN w:val="0"/>
              <w:adjustRightInd w:val="0"/>
              <w:spacing w:line="360" w:lineRule="auto"/>
              <w:jc w:val="center"/>
              <w:rPr>
                <w:sz w:val="20"/>
              </w:rPr>
            </w:pPr>
            <w:r w:rsidRPr="00726E87">
              <w:rPr>
                <w:sz w:val="20"/>
              </w:rPr>
              <w:t xml:space="preserve">5 </w:t>
            </w:r>
          </w:p>
          <w:p w14:paraId="4CE86C84" w14:textId="77777777" w:rsidR="00C31046" w:rsidRDefault="00C31046" w:rsidP="000F7584">
            <w:pPr>
              <w:autoSpaceDE w:val="0"/>
              <w:autoSpaceDN w:val="0"/>
              <w:adjustRightInd w:val="0"/>
              <w:spacing w:line="360" w:lineRule="auto"/>
              <w:jc w:val="center"/>
              <w:rPr>
                <w:sz w:val="20"/>
              </w:rPr>
            </w:pPr>
            <w:r w:rsidRPr="00726E87">
              <w:rPr>
                <w:sz w:val="20"/>
              </w:rPr>
              <w:t>Entirely characteristic of me</w:t>
            </w:r>
          </w:p>
        </w:tc>
      </w:tr>
      <w:tr w:rsidR="00C31046" w:rsidRPr="009F46C6" w14:paraId="7359CAB6" w14:textId="77777777" w:rsidTr="00CE04C8">
        <w:trPr>
          <w:trHeight w:val="539"/>
        </w:trPr>
        <w:tc>
          <w:tcPr>
            <w:tcW w:w="3397" w:type="dxa"/>
          </w:tcPr>
          <w:p w14:paraId="5C8EE1A2" w14:textId="77777777" w:rsidR="00C31046" w:rsidRPr="00F7525D" w:rsidRDefault="00C31046" w:rsidP="000F7584">
            <w:pPr>
              <w:spacing w:line="360" w:lineRule="auto"/>
            </w:pPr>
            <w:r w:rsidRPr="00F7525D">
              <w:t>Unforeseen events upset me greatly.</w:t>
            </w:r>
          </w:p>
        </w:tc>
        <w:tc>
          <w:tcPr>
            <w:tcW w:w="1418" w:type="dxa"/>
          </w:tcPr>
          <w:p w14:paraId="7072DE36" w14:textId="77777777" w:rsidR="00C31046" w:rsidRDefault="00C31046" w:rsidP="000F7584">
            <w:pPr>
              <w:autoSpaceDE w:val="0"/>
              <w:autoSpaceDN w:val="0"/>
              <w:adjustRightInd w:val="0"/>
              <w:spacing w:after="60" w:line="360" w:lineRule="auto"/>
              <w:jc w:val="center"/>
            </w:pPr>
          </w:p>
        </w:tc>
        <w:tc>
          <w:tcPr>
            <w:tcW w:w="879" w:type="dxa"/>
          </w:tcPr>
          <w:p w14:paraId="01C3C012" w14:textId="77777777" w:rsidR="00C31046" w:rsidRDefault="00C31046" w:rsidP="000F7584">
            <w:pPr>
              <w:autoSpaceDE w:val="0"/>
              <w:autoSpaceDN w:val="0"/>
              <w:adjustRightInd w:val="0"/>
              <w:spacing w:after="60" w:line="360" w:lineRule="auto"/>
              <w:jc w:val="center"/>
            </w:pPr>
          </w:p>
        </w:tc>
        <w:tc>
          <w:tcPr>
            <w:tcW w:w="1134" w:type="dxa"/>
          </w:tcPr>
          <w:p w14:paraId="4DAC2F28" w14:textId="77777777" w:rsidR="00C31046" w:rsidRDefault="00C31046" w:rsidP="000F7584">
            <w:pPr>
              <w:autoSpaceDE w:val="0"/>
              <w:autoSpaceDN w:val="0"/>
              <w:adjustRightInd w:val="0"/>
              <w:spacing w:after="60" w:line="360" w:lineRule="auto"/>
              <w:jc w:val="center"/>
            </w:pPr>
          </w:p>
        </w:tc>
        <w:tc>
          <w:tcPr>
            <w:tcW w:w="1038" w:type="dxa"/>
          </w:tcPr>
          <w:p w14:paraId="6199E959" w14:textId="77777777" w:rsidR="00C31046" w:rsidRDefault="00C31046" w:rsidP="000F7584">
            <w:pPr>
              <w:autoSpaceDE w:val="0"/>
              <w:autoSpaceDN w:val="0"/>
              <w:adjustRightInd w:val="0"/>
              <w:spacing w:after="60" w:line="360" w:lineRule="auto"/>
              <w:jc w:val="center"/>
            </w:pPr>
          </w:p>
        </w:tc>
        <w:tc>
          <w:tcPr>
            <w:tcW w:w="1485" w:type="dxa"/>
          </w:tcPr>
          <w:p w14:paraId="6899E7AD" w14:textId="77777777" w:rsidR="00C31046" w:rsidRDefault="00C31046" w:rsidP="000F7584">
            <w:pPr>
              <w:autoSpaceDE w:val="0"/>
              <w:autoSpaceDN w:val="0"/>
              <w:adjustRightInd w:val="0"/>
              <w:spacing w:after="60" w:line="360" w:lineRule="auto"/>
              <w:jc w:val="center"/>
            </w:pPr>
          </w:p>
        </w:tc>
      </w:tr>
      <w:tr w:rsidR="00C31046" w:rsidRPr="009F46C6" w14:paraId="13CD2B7E" w14:textId="77777777" w:rsidTr="00CE04C8">
        <w:trPr>
          <w:trHeight w:val="539"/>
        </w:trPr>
        <w:tc>
          <w:tcPr>
            <w:tcW w:w="3397" w:type="dxa"/>
            <w:hideMark/>
          </w:tcPr>
          <w:p w14:paraId="56C2936A" w14:textId="77777777" w:rsidR="00C31046" w:rsidRPr="00F7525D" w:rsidRDefault="00C31046" w:rsidP="000F7584">
            <w:pPr>
              <w:spacing w:line="360" w:lineRule="auto"/>
            </w:pPr>
            <w:r w:rsidRPr="00F7525D">
              <w:t>It frustrates me not having all the information I need.</w:t>
            </w:r>
          </w:p>
        </w:tc>
        <w:tc>
          <w:tcPr>
            <w:tcW w:w="1418" w:type="dxa"/>
          </w:tcPr>
          <w:p w14:paraId="019E278C" w14:textId="77777777" w:rsidR="00C31046" w:rsidRDefault="00C31046" w:rsidP="000F7584">
            <w:pPr>
              <w:autoSpaceDE w:val="0"/>
              <w:autoSpaceDN w:val="0"/>
              <w:adjustRightInd w:val="0"/>
              <w:spacing w:after="60" w:line="360" w:lineRule="auto"/>
              <w:jc w:val="center"/>
            </w:pPr>
          </w:p>
        </w:tc>
        <w:tc>
          <w:tcPr>
            <w:tcW w:w="879" w:type="dxa"/>
          </w:tcPr>
          <w:p w14:paraId="2B5FD7C3" w14:textId="77777777" w:rsidR="00C31046" w:rsidRDefault="00C31046" w:rsidP="000F7584">
            <w:pPr>
              <w:autoSpaceDE w:val="0"/>
              <w:autoSpaceDN w:val="0"/>
              <w:adjustRightInd w:val="0"/>
              <w:spacing w:after="60" w:line="360" w:lineRule="auto"/>
              <w:jc w:val="center"/>
            </w:pPr>
          </w:p>
        </w:tc>
        <w:tc>
          <w:tcPr>
            <w:tcW w:w="1134" w:type="dxa"/>
          </w:tcPr>
          <w:p w14:paraId="16E52CA2" w14:textId="77777777" w:rsidR="00C31046" w:rsidRDefault="00C31046" w:rsidP="000F7584">
            <w:pPr>
              <w:autoSpaceDE w:val="0"/>
              <w:autoSpaceDN w:val="0"/>
              <w:adjustRightInd w:val="0"/>
              <w:spacing w:after="60" w:line="360" w:lineRule="auto"/>
              <w:jc w:val="center"/>
            </w:pPr>
          </w:p>
        </w:tc>
        <w:tc>
          <w:tcPr>
            <w:tcW w:w="1038" w:type="dxa"/>
          </w:tcPr>
          <w:p w14:paraId="70EE0B31" w14:textId="77777777" w:rsidR="00C31046" w:rsidRDefault="00C31046" w:rsidP="000F7584">
            <w:pPr>
              <w:autoSpaceDE w:val="0"/>
              <w:autoSpaceDN w:val="0"/>
              <w:adjustRightInd w:val="0"/>
              <w:spacing w:after="60" w:line="360" w:lineRule="auto"/>
              <w:jc w:val="center"/>
            </w:pPr>
          </w:p>
        </w:tc>
        <w:tc>
          <w:tcPr>
            <w:tcW w:w="1485" w:type="dxa"/>
          </w:tcPr>
          <w:p w14:paraId="7730522B" w14:textId="77777777" w:rsidR="00C31046" w:rsidRDefault="00C31046" w:rsidP="000F7584">
            <w:pPr>
              <w:autoSpaceDE w:val="0"/>
              <w:autoSpaceDN w:val="0"/>
              <w:adjustRightInd w:val="0"/>
              <w:spacing w:after="60" w:line="360" w:lineRule="auto"/>
              <w:jc w:val="center"/>
            </w:pPr>
          </w:p>
        </w:tc>
      </w:tr>
      <w:tr w:rsidR="00C31046" w:rsidRPr="009F46C6" w14:paraId="1377B1A3" w14:textId="77777777" w:rsidTr="00CE04C8">
        <w:trPr>
          <w:trHeight w:val="539"/>
        </w:trPr>
        <w:tc>
          <w:tcPr>
            <w:tcW w:w="3397" w:type="dxa"/>
            <w:hideMark/>
          </w:tcPr>
          <w:p w14:paraId="410A3B98" w14:textId="77777777" w:rsidR="00C31046" w:rsidRPr="00F7525D" w:rsidRDefault="00C31046" w:rsidP="000F7584">
            <w:pPr>
              <w:spacing w:line="360" w:lineRule="auto"/>
            </w:pPr>
            <w:r w:rsidRPr="00F7525D">
              <w:t>Uncertainty keeps me from living a full life.</w:t>
            </w:r>
          </w:p>
        </w:tc>
        <w:tc>
          <w:tcPr>
            <w:tcW w:w="1418" w:type="dxa"/>
          </w:tcPr>
          <w:p w14:paraId="409D0040" w14:textId="77777777" w:rsidR="00C31046" w:rsidRDefault="00C31046" w:rsidP="000F7584">
            <w:pPr>
              <w:autoSpaceDE w:val="0"/>
              <w:autoSpaceDN w:val="0"/>
              <w:adjustRightInd w:val="0"/>
              <w:spacing w:after="60" w:line="360" w:lineRule="auto"/>
              <w:jc w:val="center"/>
            </w:pPr>
          </w:p>
        </w:tc>
        <w:tc>
          <w:tcPr>
            <w:tcW w:w="879" w:type="dxa"/>
          </w:tcPr>
          <w:p w14:paraId="621F5C68" w14:textId="77777777" w:rsidR="00C31046" w:rsidRDefault="00C31046" w:rsidP="000F7584">
            <w:pPr>
              <w:autoSpaceDE w:val="0"/>
              <w:autoSpaceDN w:val="0"/>
              <w:adjustRightInd w:val="0"/>
              <w:spacing w:after="60" w:line="360" w:lineRule="auto"/>
              <w:jc w:val="center"/>
            </w:pPr>
          </w:p>
        </w:tc>
        <w:tc>
          <w:tcPr>
            <w:tcW w:w="1134" w:type="dxa"/>
          </w:tcPr>
          <w:p w14:paraId="6828F4B8" w14:textId="77777777" w:rsidR="00C31046" w:rsidRDefault="00C31046" w:rsidP="000F7584">
            <w:pPr>
              <w:autoSpaceDE w:val="0"/>
              <w:autoSpaceDN w:val="0"/>
              <w:adjustRightInd w:val="0"/>
              <w:spacing w:after="60" w:line="360" w:lineRule="auto"/>
              <w:jc w:val="center"/>
            </w:pPr>
          </w:p>
        </w:tc>
        <w:tc>
          <w:tcPr>
            <w:tcW w:w="1038" w:type="dxa"/>
          </w:tcPr>
          <w:p w14:paraId="0641291D" w14:textId="77777777" w:rsidR="00C31046" w:rsidRDefault="00C31046" w:rsidP="000F7584">
            <w:pPr>
              <w:autoSpaceDE w:val="0"/>
              <w:autoSpaceDN w:val="0"/>
              <w:adjustRightInd w:val="0"/>
              <w:spacing w:after="60" w:line="360" w:lineRule="auto"/>
              <w:jc w:val="center"/>
            </w:pPr>
          </w:p>
        </w:tc>
        <w:tc>
          <w:tcPr>
            <w:tcW w:w="1485" w:type="dxa"/>
          </w:tcPr>
          <w:p w14:paraId="0CD2F117" w14:textId="77777777" w:rsidR="00C31046" w:rsidRDefault="00C31046" w:rsidP="000F7584">
            <w:pPr>
              <w:autoSpaceDE w:val="0"/>
              <w:autoSpaceDN w:val="0"/>
              <w:adjustRightInd w:val="0"/>
              <w:spacing w:after="60" w:line="360" w:lineRule="auto"/>
              <w:jc w:val="center"/>
            </w:pPr>
          </w:p>
        </w:tc>
      </w:tr>
      <w:tr w:rsidR="00C31046" w:rsidRPr="009F46C6" w14:paraId="4017A7F1" w14:textId="77777777" w:rsidTr="00CE04C8">
        <w:trPr>
          <w:trHeight w:val="539"/>
        </w:trPr>
        <w:tc>
          <w:tcPr>
            <w:tcW w:w="3397" w:type="dxa"/>
            <w:hideMark/>
          </w:tcPr>
          <w:p w14:paraId="71E6691E" w14:textId="77777777" w:rsidR="00C31046" w:rsidRPr="00F7525D" w:rsidRDefault="00C31046" w:rsidP="000F7584">
            <w:pPr>
              <w:spacing w:line="360" w:lineRule="auto"/>
            </w:pPr>
            <w:r w:rsidRPr="00F7525D">
              <w:lastRenderedPageBreak/>
              <w:t>One should always look ahead so as to avoid surprises.</w:t>
            </w:r>
          </w:p>
        </w:tc>
        <w:tc>
          <w:tcPr>
            <w:tcW w:w="1418" w:type="dxa"/>
          </w:tcPr>
          <w:p w14:paraId="2F5B98DD" w14:textId="77777777" w:rsidR="00C31046" w:rsidRDefault="00C31046" w:rsidP="000F7584">
            <w:pPr>
              <w:autoSpaceDE w:val="0"/>
              <w:autoSpaceDN w:val="0"/>
              <w:adjustRightInd w:val="0"/>
              <w:spacing w:after="60" w:line="360" w:lineRule="auto"/>
              <w:jc w:val="center"/>
            </w:pPr>
          </w:p>
        </w:tc>
        <w:tc>
          <w:tcPr>
            <w:tcW w:w="879" w:type="dxa"/>
          </w:tcPr>
          <w:p w14:paraId="68041E97" w14:textId="77777777" w:rsidR="00C31046" w:rsidRDefault="00C31046" w:rsidP="000F7584">
            <w:pPr>
              <w:autoSpaceDE w:val="0"/>
              <w:autoSpaceDN w:val="0"/>
              <w:adjustRightInd w:val="0"/>
              <w:spacing w:after="60" w:line="360" w:lineRule="auto"/>
              <w:jc w:val="center"/>
            </w:pPr>
          </w:p>
        </w:tc>
        <w:tc>
          <w:tcPr>
            <w:tcW w:w="1134" w:type="dxa"/>
          </w:tcPr>
          <w:p w14:paraId="01166B90" w14:textId="77777777" w:rsidR="00C31046" w:rsidRDefault="00C31046" w:rsidP="000F7584">
            <w:pPr>
              <w:autoSpaceDE w:val="0"/>
              <w:autoSpaceDN w:val="0"/>
              <w:adjustRightInd w:val="0"/>
              <w:spacing w:after="60" w:line="360" w:lineRule="auto"/>
              <w:jc w:val="center"/>
            </w:pPr>
          </w:p>
        </w:tc>
        <w:tc>
          <w:tcPr>
            <w:tcW w:w="1038" w:type="dxa"/>
          </w:tcPr>
          <w:p w14:paraId="54292B95" w14:textId="77777777" w:rsidR="00C31046" w:rsidRDefault="00C31046" w:rsidP="000F7584">
            <w:pPr>
              <w:autoSpaceDE w:val="0"/>
              <w:autoSpaceDN w:val="0"/>
              <w:adjustRightInd w:val="0"/>
              <w:spacing w:after="60" w:line="360" w:lineRule="auto"/>
              <w:jc w:val="center"/>
            </w:pPr>
          </w:p>
        </w:tc>
        <w:tc>
          <w:tcPr>
            <w:tcW w:w="1485" w:type="dxa"/>
          </w:tcPr>
          <w:p w14:paraId="4A79DCC7" w14:textId="77777777" w:rsidR="00C31046" w:rsidRDefault="00C31046" w:rsidP="000F7584">
            <w:pPr>
              <w:autoSpaceDE w:val="0"/>
              <w:autoSpaceDN w:val="0"/>
              <w:adjustRightInd w:val="0"/>
              <w:spacing w:after="60" w:line="360" w:lineRule="auto"/>
              <w:jc w:val="center"/>
            </w:pPr>
          </w:p>
        </w:tc>
      </w:tr>
      <w:tr w:rsidR="00C31046" w:rsidRPr="009F46C6" w14:paraId="44BDACF8" w14:textId="77777777" w:rsidTr="00CE04C8">
        <w:trPr>
          <w:trHeight w:val="539"/>
        </w:trPr>
        <w:tc>
          <w:tcPr>
            <w:tcW w:w="3397" w:type="dxa"/>
            <w:hideMark/>
          </w:tcPr>
          <w:p w14:paraId="6692A6BC" w14:textId="77777777" w:rsidR="00C31046" w:rsidRPr="00F7525D" w:rsidRDefault="00C31046" w:rsidP="000F7584">
            <w:pPr>
              <w:spacing w:line="360" w:lineRule="auto"/>
            </w:pPr>
            <w:r w:rsidRPr="00F7525D">
              <w:t>A small unforeseen event can spoil everything, even with the best of planning.</w:t>
            </w:r>
          </w:p>
        </w:tc>
        <w:tc>
          <w:tcPr>
            <w:tcW w:w="1418" w:type="dxa"/>
          </w:tcPr>
          <w:p w14:paraId="23136080" w14:textId="77777777" w:rsidR="00C31046" w:rsidRDefault="00C31046" w:rsidP="000F7584">
            <w:pPr>
              <w:autoSpaceDE w:val="0"/>
              <w:autoSpaceDN w:val="0"/>
              <w:adjustRightInd w:val="0"/>
              <w:spacing w:after="60" w:line="360" w:lineRule="auto"/>
              <w:jc w:val="center"/>
            </w:pPr>
          </w:p>
        </w:tc>
        <w:tc>
          <w:tcPr>
            <w:tcW w:w="879" w:type="dxa"/>
          </w:tcPr>
          <w:p w14:paraId="3969DF0C" w14:textId="77777777" w:rsidR="00C31046" w:rsidRDefault="00C31046" w:rsidP="000F7584">
            <w:pPr>
              <w:autoSpaceDE w:val="0"/>
              <w:autoSpaceDN w:val="0"/>
              <w:adjustRightInd w:val="0"/>
              <w:spacing w:after="60" w:line="360" w:lineRule="auto"/>
              <w:jc w:val="center"/>
            </w:pPr>
          </w:p>
        </w:tc>
        <w:tc>
          <w:tcPr>
            <w:tcW w:w="1134" w:type="dxa"/>
          </w:tcPr>
          <w:p w14:paraId="2D9EB351" w14:textId="77777777" w:rsidR="00C31046" w:rsidRDefault="00C31046" w:rsidP="000F7584">
            <w:pPr>
              <w:autoSpaceDE w:val="0"/>
              <w:autoSpaceDN w:val="0"/>
              <w:adjustRightInd w:val="0"/>
              <w:spacing w:after="60" w:line="360" w:lineRule="auto"/>
              <w:jc w:val="center"/>
            </w:pPr>
          </w:p>
        </w:tc>
        <w:tc>
          <w:tcPr>
            <w:tcW w:w="1038" w:type="dxa"/>
          </w:tcPr>
          <w:p w14:paraId="3C51E9BE" w14:textId="77777777" w:rsidR="00C31046" w:rsidRDefault="00C31046" w:rsidP="000F7584">
            <w:pPr>
              <w:autoSpaceDE w:val="0"/>
              <w:autoSpaceDN w:val="0"/>
              <w:adjustRightInd w:val="0"/>
              <w:spacing w:after="60" w:line="360" w:lineRule="auto"/>
              <w:jc w:val="center"/>
            </w:pPr>
          </w:p>
        </w:tc>
        <w:tc>
          <w:tcPr>
            <w:tcW w:w="1485" w:type="dxa"/>
          </w:tcPr>
          <w:p w14:paraId="2D80E428" w14:textId="77777777" w:rsidR="00C31046" w:rsidRDefault="00C31046" w:rsidP="000F7584">
            <w:pPr>
              <w:autoSpaceDE w:val="0"/>
              <w:autoSpaceDN w:val="0"/>
              <w:adjustRightInd w:val="0"/>
              <w:spacing w:after="60" w:line="360" w:lineRule="auto"/>
              <w:jc w:val="center"/>
            </w:pPr>
          </w:p>
        </w:tc>
      </w:tr>
      <w:tr w:rsidR="00C31046" w:rsidRPr="009F46C6" w14:paraId="32F4737A" w14:textId="77777777" w:rsidTr="00CE04C8">
        <w:trPr>
          <w:trHeight w:val="539"/>
        </w:trPr>
        <w:tc>
          <w:tcPr>
            <w:tcW w:w="3397" w:type="dxa"/>
            <w:hideMark/>
          </w:tcPr>
          <w:p w14:paraId="3BA18926" w14:textId="77777777" w:rsidR="00C31046" w:rsidRPr="00F7525D" w:rsidRDefault="00C31046" w:rsidP="000F7584">
            <w:pPr>
              <w:spacing w:line="360" w:lineRule="auto"/>
            </w:pPr>
            <w:r w:rsidRPr="00F7525D">
              <w:t>When it’s time to act, uncertainty paralyses me.</w:t>
            </w:r>
          </w:p>
        </w:tc>
        <w:tc>
          <w:tcPr>
            <w:tcW w:w="1418" w:type="dxa"/>
          </w:tcPr>
          <w:p w14:paraId="3F175597" w14:textId="77777777" w:rsidR="00C31046" w:rsidRDefault="00C31046" w:rsidP="000F7584">
            <w:pPr>
              <w:autoSpaceDE w:val="0"/>
              <w:autoSpaceDN w:val="0"/>
              <w:adjustRightInd w:val="0"/>
              <w:spacing w:after="60" w:line="360" w:lineRule="auto"/>
              <w:jc w:val="center"/>
            </w:pPr>
          </w:p>
        </w:tc>
        <w:tc>
          <w:tcPr>
            <w:tcW w:w="879" w:type="dxa"/>
          </w:tcPr>
          <w:p w14:paraId="7D3B5313" w14:textId="77777777" w:rsidR="00C31046" w:rsidRDefault="00C31046" w:rsidP="000F7584">
            <w:pPr>
              <w:autoSpaceDE w:val="0"/>
              <w:autoSpaceDN w:val="0"/>
              <w:adjustRightInd w:val="0"/>
              <w:spacing w:after="60" w:line="360" w:lineRule="auto"/>
              <w:jc w:val="center"/>
            </w:pPr>
          </w:p>
        </w:tc>
        <w:tc>
          <w:tcPr>
            <w:tcW w:w="1134" w:type="dxa"/>
          </w:tcPr>
          <w:p w14:paraId="67EEFC35" w14:textId="77777777" w:rsidR="00C31046" w:rsidRDefault="00C31046" w:rsidP="000F7584">
            <w:pPr>
              <w:autoSpaceDE w:val="0"/>
              <w:autoSpaceDN w:val="0"/>
              <w:adjustRightInd w:val="0"/>
              <w:spacing w:after="60" w:line="360" w:lineRule="auto"/>
              <w:jc w:val="center"/>
            </w:pPr>
          </w:p>
        </w:tc>
        <w:tc>
          <w:tcPr>
            <w:tcW w:w="1038" w:type="dxa"/>
          </w:tcPr>
          <w:p w14:paraId="564E6447" w14:textId="77777777" w:rsidR="00C31046" w:rsidRDefault="00C31046" w:rsidP="000F7584">
            <w:pPr>
              <w:autoSpaceDE w:val="0"/>
              <w:autoSpaceDN w:val="0"/>
              <w:adjustRightInd w:val="0"/>
              <w:spacing w:after="60" w:line="360" w:lineRule="auto"/>
              <w:jc w:val="center"/>
            </w:pPr>
          </w:p>
        </w:tc>
        <w:tc>
          <w:tcPr>
            <w:tcW w:w="1485" w:type="dxa"/>
          </w:tcPr>
          <w:p w14:paraId="1869EEA2" w14:textId="77777777" w:rsidR="00C31046" w:rsidRDefault="00C31046" w:rsidP="000F7584">
            <w:pPr>
              <w:autoSpaceDE w:val="0"/>
              <w:autoSpaceDN w:val="0"/>
              <w:adjustRightInd w:val="0"/>
              <w:spacing w:after="60" w:line="360" w:lineRule="auto"/>
              <w:jc w:val="center"/>
            </w:pPr>
          </w:p>
        </w:tc>
      </w:tr>
      <w:tr w:rsidR="00C31046" w:rsidRPr="009F46C6" w14:paraId="6539AF11" w14:textId="77777777" w:rsidTr="00CE04C8">
        <w:trPr>
          <w:trHeight w:val="539"/>
        </w:trPr>
        <w:tc>
          <w:tcPr>
            <w:tcW w:w="3397" w:type="dxa"/>
            <w:hideMark/>
          </w:tcPr>
          <w:p w14:paraId="66FED2C1" w14:textId="77777777" w:rsidR="00C31046" w:rsidRPr="00F7525D" w:rsidRDefault="00C31046" w:rsidP="000F7584">
            <w:pPr>
              <w:spacing w:line="360" w:lineRule="auto"/>
            </w:pPr>
            <w:r w:rsidRPr="00F7525D">
              <w:t>When I am uncertain I can’t function very well.</w:t>
            </w:r>
          </w:p>
        </w:tc>
        <w:tc>
          <w:tcPr>
            <w:tcW w:w="1418" w:type="dxa"/>
          </w:tcPr>
          <w:p w14:paraId="58E8223C" w14:textId="77777777" w:rsidR="00C31046" w:rsidRDefault="00C31046" w:rsidP="000F7584">
            <w:pPr>
              <w:autoSpaceDE w:val="0"/>
              <w:autoSpaceDN w:val="0"/>
              <w:adjustRightInd w:val="0"/>
              <w:spacing w:after="60" w:line="360" w:lineRule="auto"/>
              <w:jc w:val="center"/>
            </w:pPr>
          </w:p>
        </w:tc>
        <w:tc>
          <w:tcPr>
            <w:tcW w:w="879" w:type="dxa"/>
          </w:tcPr>
          <w:p w14:paraId="5C7635C1" w14:textId="77777777" w:rsidR="00C31046" w:rsidRDefault="00C31046" w:rsidP="000F7584">
            <w:pPr>
              <w:autoSpaceDE w:val="0"/>
              <w:autoSpaceDN w:val="0"/>
              <w:adjustRightInd w:val="0"/>
              <w:spacing w:after="60" w:line="360" w:lineRule="auto"/>
              <w:jc w:val="center"/>
            </w:pPr>
          </w:p>
        </w:tc>
        <w:tc>
          <w:tcPr>
            <w:tcW w:w="1134" w:type="dxa"/>
          </w:tcPr>
          <w:p w14:paraId="3DF924C6" w14:textId="77777777" w:rsidR="00C31046" w:rsidRDefault="00C31046" w:rsidP="000F7584">
            <w:pPr>
              <w:autoSpaceDE w:val="0"/>
              <w:autoSpaceDN w:val="0"/>
              <w:adjustRightInd w:val="0"/>
              <w:spacing w:after="60" w:line="360" w:lineRule="auto"/>
              <w:jc w:val="center"/>
            </w:pPr>
          </w:p>
        </w:tc>
        <w:tc>
          <w:tcPr>
            <w:tcW w:w="1038" w:type="dxa"/>
          </w:tcPr>
          <w:p w14:paraId="1A049CD8" w14:textId="77777777" w:rsidR="00C31046" w:rsidRDefault="00C31046" w:rsidP="000F7584">
            <w:pPr>
              <w:autoSpaceDE w:val="0"/>
              <w:autoSpaceDN w:val="0"/>
              <w:adjustRightInd w:val="0"/>
              <w:spacing w:after="60" w:line="360" w:lineRule="auto"/>
              <w:jc w:val="center"/>
            </w:pPr>
          </w:p>
        </w:tc>
        <w:tc>
          <w:tcPr>
            <w:tcW w:w="1485" w:type="dxa"/>
          </w:tcPr>
          <w:p w14:paraId="3E01C6F0" w14:textId="77777777" w:rsidR="00C31046" w:rsidRDefault="00C31046" w:rsidP="000F7584">
            <w:pPr>
              <w:autoSpaceDE w:val="0"/>
              <w:autoSpaceDN w:val="0"/>
              <w:adjustRightInd w:val="0"/>
              <w:spacing w:after="60" w:line="360" w:lineRule="auto"/>
              <w:jc w:val="center"/>
            </w:pPr>
          </w:p>
        </w:tc>
      </w:tr>
      <w:tr w:rsidR="00C31046" w:rsidRPr="009F46C6" w14:paraId="04A1F525" w14:textId="77777777" w:rsidTr="00CE04C8">
        <w:trPr>
          <w:trHeight w:val="539"/>
        </w:trPr>
        <w:tc>
          <w:tcPr>
            <w:tcW w:w="3397" w:type="dxa"/>
          </w:tcPr>
          <w:p w14:paraId="70FDFCC2" w14:textId="77777777" w:rsidR="00C31046" w:rsidRPr="00F7525D" w:rsidRDefault="00C31046" w:rsidP="000F7584">
            <w:pPr>
              <w:spacing w:line="360" w:lineRule="auto"/>
            </w:pPr>
            <w:r w:rsidRPr="00F7525D">
              <w:t>I always want to know what the future has in store for me.</w:t>
            </w:r>
          </w:p>
        </w:tc>
        <w:tc>
          <w:tcPr>
            <w:tcW w:w="1418" w:type="dxa"/>
          </w:tcPr>
          <w:p w14:paraId="5AD699A8" w14:textId="77777777" w:rsidR="00C31046" w:rsidRDefault="00C31046" w:rsidP="000F7584">
            <w:pPr>
              <w:autoSpaceDE w:val="0"/>
              <w:autoSpaceDN w:val="0"/>
              <w:adjustRightInd w:val="0"/>
              <w:spacing w:after="60" w:line="360" w:lineRule="auto"/>
              <w:jc w:val="center"/>
            </w:pPr>
          </w:p>
        </w:tc>
        <w:tc>
          <w:tcPr>
            <w:tcW w:w="879" w:type="dxa"/>
          </w:tcPr>
          <w:p w14:paraId="75D1B38B" w14:textId="77777777" w:rsidR="00C31046" w:rsidRDefault="00C31046" w:rsidP="000F7584">
            <w:pPr>
              <w:autoSpaceDE w:val="0"/>
              <w:autoSpaceDN w:val="0"/>
              <w:adjustRightInd w:val="0"/>
              <w:spacing w:after="60" w:line="360" w:lineRule="auto"/>
              <w:jc w:val="center"/>
            </w:pPr>
          </w:p>
        </w:tc>
        <w:tc>
          <w:tcPr>
            <w:tcW w:w="1134" w:type="dxa"/>
          </w:tcPr>
          <w:p w14:paraId="08E1E2D2" w14:textId="77777777" w:rsidR="00C31046" w:rsidRDefault="00C31046" w:rsidP="000F7584">
            <w:pPr>
              <w:autoSpaceDE w:val="0"/>
              <w:autoSpaceDN w:val="0"/>
              <w:adjustRightInd w:val="0"/>
              <w:spacing w:after="60" w:line="360" w:lineRule="auto"/>
              <w:jc w:val="center"/>
            </w:pPr>
          </w:p>
        </w:tc>
        <w:tc>
          <w:tcPr>
            <w:tcW w:w="1038" w:type="dxa"/>
          </w:tcPr>
          <w:p w14:paraId="5CC74790" w14:textId="77777777" w:rsidR="00C31046" w:rsidRDefault="00C31046" w:rsidP="000F7584">
            <w:pPr>
              <w:autoSpaceDE w:val="0"/>
              <w:autoSpaceDN w:val="0"/>
              <w:adjustRightInd w:val="0"/>
              <w:spacing w:after="60" w:line="360" w:lineRule="auto"/>
              <w:jc w:val="center"/>
            </w:pPr>
          </w:p>
        </w:tc>
        <w:tc>
          <w:tcPr>
            <w:tcW w:w="1485" w:type="dxa"/>
          </w:tcPr>
          <w:p w14:paraId="64113EC5" w14:textId="77777777" w:rsidR="00C31046" w:rsidRDefault="00C31046" w:rsidP="000F7584">
            <w:pPr>
              <w:autoSpaceDE w:val="0"/>
              <w:autoSpaceDN w:val="0"/>
              <w:adjustRightInd w:val="0"/>
              <w:spacing w:after="60" w:line="360" w:lineRule="auto"/>
              <w:jc w:val="center"/>
            </w:pPr>
          </w:p>
        </w:tc>
      </w:tr>
      <w:tr w:rsidR="00C31046" w:rsidRPr="009F46C6" w14:paraId="1FDEF0CB" w14:textId="77777777" w:rsidTr="00CE04C8">
        <w:trPr>
          <w:trHeight w:val="539"/>
        </w:trPr>
        <w:tc>
          <w:tcPr>
            <w:tcW w:w="3397" w:type="dxa"/>
            <w:hideMark/>
          </w:tcPr>
          <w:p w14:paraId="54463D4B" w14:textId="77777777" w:rsidR="00C31046" w:rsidRPr="00F7525D" w:rsidRDefault="00C31046" w:rsidP="000F7584">
            <w:pPr>
              <w:spacing w:line="360" w:lineRule="auto"/>
            </w:pPr>
            <w:r w:rsidRPr="00F7525D">
              <w:t>I can’t stand being taken by surprise.</w:t>
            </w:r>
          </w:p>
        </w:tc>
        <w:tc>
          <w:tcPr>
            <w:tcW w:w="1418" w:type="dxa"/>
          </w:tcPr>
          <w:p w14:paraId="25AA5092" w14:textId="77777777" w:rsidR="00C31046" w:rsidRDefault="00C31046" w:rsidP="000F7584">
            <w:pPr>
              <w:autoSpaceDE w:val="0"/>
              <w:autoSpaceDN w:val="0"/>
              <w:adjustRightInd w:val="0"/>
              <w:spacing w:after="60" w:line="360" w:lineRule="auto"/>
              <w:jc w:val="center"/>
            </w:pPr>
          </w:p>
        </w:tc>
        <w:tc>
          <w:tcPr>
            <w:tcW w:w="879" w:type="dxa"/>
          </w:tcPr>
          <w:p w14:paraId="11E1C137" w14:textId="77777777" w:rsidR="00C31046" w:rsidRDefault="00C31046" w:rsidP="000F7584">
            <w:pPr>
              <w:autoSpaceDE w:val="0"/>
              <w:autoSpaceDN w:val="0"/>
              <w:adjustRightInd w:val="0"/>
              <w:spacing w:after="60" w:line="360" w:lineRule="auto"/>
              <w:jc w:val="center"/>
            </w:pPr>
          </w:p>
        </w:tc>
        <w:tc>
          <w:tcPr>
            <w:tcW w:w="1134" w:type="dxa"/>
          </w:tcPr>
          <w:p w14:paraId="1CBE1C18" w14:textId="77777777" w:rsidR="00C31046" w:rsidRDefault="00C31046" w:rsidP="000F7584">
            <w:pPr>
              <w:autoSpaceDE w:val="0"/>
              <w:autoSpaceDN w:val="0"/>
              <w:adjustRightInd w:val="0"/>
              <w:spacing w:after="60" w:line="360" w:lineRule="auto"/>
              <w:jc w:val="center"/>
            </w:pPr>
          </w:p>
        </w:tc>
        <w:tc>
          <w:tcPr>
            <w:tcW w:w="1038" w:type="dxa"/>
          </w:tcPr>
          <w:p w14:paraId="444898A3" w14:textId="77777777" w:rsidR="00C31046" w:rsidRDefault="00C31046" w:rsidP="000F7584">
            <w:pPr>
              <w:autoSpaceDE w:val="0"/>
              <w:autoSpaceDN w:val="0"/>
              <w:adjustRightInd w:val="0"/>
              <w:spacing w:after="60" w:line="360" w:lineRule="auto"/>
              <w:jc w:val="center"/>
            </w:pPr>
          </w:p>
        </w:tc>
        <w:tc>
          <w:tcPr>
            <w:tcW w:w="1485" w:type="dxa"/>
          </w:tcPr>
          <w:p w14:paraId="30148FD7" w14:textId="77777777" w:rsidR="00C31046" w:rsidRDefault="00C31046" w:rsidP="000F7584">
            <w:pPr>
              <w:autoSpaceDE w:val="0"/>
              <w:autoSpaceDN w:val="0"/>
              <w:adjustRightInd w:val="0"/>
              <w:spacing w:after="60" w:line="360" w:lineRule="auto"/>
              <w:jc w:val="center"/>
            </w:pPr>
          </w:p>
        </w:tc>
      </w:tr>
      <w:tr w:rsidR="00C31046" w:rsidRPr="009F46C6" w14:paraId="25498EF2" w14:textId="77777777" w:rsidTr="00CE04C8">
        <w:trPr>
          <w:trHeight w:val="539"/>
        </w:trPr>
        <w:tc>
          <w:tcPr>
            <w:tcW w:w="3397" w:type="dxa"/>
            <w:hideMark/>
          </w:tcPr>
          <w:p w14:paraId="46C84C60" w14:textId="77777777" w:rsidR="00C31046" w:rsidRPr="00F7525D" w:rsidRDefault="00C31046" w:rsidP="000F7584">
            <w:pPr>
              <w:spacing w:line="360" w:lineRule="auto"/>
            </w:pPr>
            <w:r w:rsidRPr="00F7525D">
              <w:t>The smallest doubt can stop me from acting.</w:t>
            </w:r>
          </w:p>
        </w:tc>
        <w:tc>
          <w:tcPr>
            <w:tcW w:w="1418" w:type="dxa"/>
          </w:tcPr>
          <w:p w14:paraId="0D26D44C" w14:textId="77777777" w:rsidR="00C31046" w:rsidRDefault="00C31046" w:rsidP="000F7584">
            <w:pPr>
              <w:autoSpaceDE w:val="0"/>
              <w:autoSpaceDN w:val="0"/>
              <w:adjustRightInd w:val="0"/>
              <w:spacing w:after="60" w:line="360" w:lineRule="auto"/>
              <w:jc w:val="center"/>
            </w:pPr>
          </w:p>
        </w:tc>
        <w:tc>
          <w:tcPr>
            <w:tcW w:w="879" w:type="dxa"/>
          </w:tcPr>
          <w:p w14:paraId="25AB1DC9" w14:textId="77777777" w:rsidR="00C31046" w:rsidRDefault="00C31046" w:rsidP="000F7584">
            <w:pPr>
              <w:autoSpaceDE w:val="0"/>
              <w:autoSpaceDN w:val="0"/>
              <w:adjustRightInd w:val="0"/>
              <w:spacing w:after="60" w:line="360" w:lineRule="auto"/>
              <w:jc w:val="center"/>
            </w:pPr>
          </w:p>
        </w:tc>
        <w:tc>
          <w:tcPr>
            <w:tcW w:w="1134" w:type="dxa"/>
          </w:tcPr>
          <w:p w14:paraId="30A26802" w14:textId="77777777" w:rsidR="00C31046" w:rsidRDefault="00C31046" w:rsidP="000F7584">
            <w:pPr>
              <w:autoSpaceDE w:val="0"/>
              <w:autoSpaceDN w:val="0"/>
              <w:adjustRightInd w:val="0"/>
              <w:spacing w:after="60" w:line="360" w:lineRule="auto"/>
              <w:jc w:val="center"/>
            </w:pPr>
          </w:p>
        </w:tc>
        <w:tc>
          <w:tcPr>
            <w:tcW w:w="1038" w:type="dxa"/>
          </w:tcPr>
          <w:p w14:paraId="617CF336" w14:textId="77777777" w:rsidR="00C31046" w:rsidRDefault="00C31046" w:rsidP="000F7584">
            <w:pPr>
              <w:autoSpaceDE w:val="0"/>
              <w:autoSpaceDN w:val="0"/>
              <w:adjustRightInd w:val="0"/>
              <w:spacing w:after="60" w:line="360" w:lineRule="auto"/>
              <w:jc w:val="center"/>
            </w:pPr>
          </w:p>
        </w:tc>
        <w:tc>
          <w:tcPr>
            <w:tcW w:w="1485" w:type="dxa"/>
          </w:tcPr>
          <w:p w14:paraId="118B3A55" w14:textId="77777777" w:rsidR="00C31046" w:rsidRDefault="00C31046" w:rsidP="000F7584">
            <w:pPr>
              <w:autoSpaceDE w:val="0"/>
              <w:autoSpaceDN w:val="0"/>
              <w:adjustRightInd w:val="0"/>
              <w:spacing w:after="60" w:line="360" w:lineRule="auto"/>
              <w:jc w:val="center"/>
            </w:pPr>
          </w:p>
        </w:tc>
      </w:tr>
      <w:tr w:rsidR="00C31046" w:rsidRPr="009F46C6" w14:paraId="1B012EB2" w14:textId="77777777" w:rsidTr="00CE04C8">
        <w:trPr>
          <w:trHeight w:val="539"/>
        </w:trPr>
        <w:tc>
          <w:tcPr>
            <w:tcW w:w="3397" w:type="dxa"/>
          </w:tcPr>
          <w:p w14:paraId="11FD9902" w14:textId="77777777" w:rsidR="00C31046" w:rsidRPr="00F7525D" w:rsidRDefault="00C31046" w:rsidP="000F7584">
            <w:pPr>
              <w:spacing w:line="360" w:lineRule="auto"/>
            </w:pPr>
            <w:r w:rsidRPr="00F7525D">
              <w:t>I should be able to organize everything in advance.</w:t>
            </w:r>
          </w:p>
        </w:tc>
        <w:tc>
          <w:tcPr>
            <w:tcW w:w="1418" w:type="dxa"/>
          </w:tcPr>
          <w:p w14:paraId="48E392F4" w14:textId="77777777" w:rsidR="00C31046" w:rsidRDefault="00C31046" w:rsidP="000F7584">
            <w:pPr>
              <w:autoSpaceDE w:val="0"/>
              <w:autoSpaceDN w:val="0"/>
              <w:adjustRightInd w:val="0"/>
              <w:spacing w:after="60" w:line="360" w:lineRule="auto"/>
              <w:jc w:val="center"/>
            </w:pPr>
          </w:p>
        </w:tc>
        <w:tc>
          <w:tcPr>
            <w:tcW w:w="879" w:type="dxa"/>
          </w:tcPr>
          <w:p w14:paraId="5D898171" w14:textId="77777777" w:rsidR="00C31046" w:rsidRDefault="00C31046" w:rsidP="000F7584">
            <w:pPr>
              <w:autoSpaceDE w:val="0"/>
              <w:autoSpaceDN w:val="0"/>
              <w:adjustRightInd w:val="0"/>
              <w:spacing w:after="60" w:line="360" w:lineRule="auto"/>
              <w:jc w:val="center"/>
            </w:pPr>
          </w:p>
        </w:tc>
        <w:tc>
          <w:tcPr>
            <w:tcW w:w="1134" w:type="dxa"/>
          </w:tcPr>
          <w:p w14:paraId="7F37ADFB" w14:textId="77777777" w:rsidR="00C31046" w:rsidRDefault="00C31046" w:rsidP="000F7584">
            <w:pPr>
              <w:autoSpaceDE w:val="0"/>
              <w:autoSpaceDN w:val="0"/>
              <w:adjustRightInd w:val="0"/>
              <w:spacing w:after="60" w:line="360" w:lineRule="auto"/>
              <w:jc w:val="center"/>
            </w:pPr>
          </w:p>
        </w:tc>
        <w:tc>
          <w:tcPr>
            <w:tcW w:w="1038" w:type="dxa"/>
          </w:tcPr>
          <w:p w14:paraId="161A5F89" w14:textId="77777777" w:rsidR="00C31046" w:rsidRDefault="00C31046" w:rsidP="000F7584">
            <w:pPr>
              <w:autoSpaceDE w:val="0"/>
              <w:autoSpaceDN w:val="0"/>
              <w:adjustRightInd w:val="0"/>
              <w:spacing w:after="60" w:line="360" w:lineRule="auto"/>
              <w:jc w:val="center"/>
            </w:pPr>
          </w:p>
        </w:tc>
        <w:tc>
          <w:tcPr>
            <w:tcW w:w="1485" w:type="dxa"/>
          </w:tcPr>
          <w:p w14:paraId="0CCFCD3C" w14:textId="77777777" w:rsidR="00C31046" w:rsidRDefault="00C31046" w:rsidP="000F7584">
            <w:pPr>
              <w:autoSpaceDE w:val="0"/>
              <w:autoSpaceDN w:val="0"/>
              <w:adjustRightInd w:val="0"/>
              <w:spacing w:after="60" w:line="360" w:lineRule="auto"/>
              <w:jc w:val="center"/>
            </w:pPr>
          </w:p>
        </w:tc>
      </w:tr>
      <w:tr w:rsidR="00C31046" w:rsidRPr="009F46C6" w14:paraId="12B1199D" w14:textId="77777777" w:rsidTr="00CE04C8">
        <w:trPr>
          <w:trHeight w:val="539"/>
        </w:trPr>
        <w:tc>
          <w:tcPr>
            <w:tcW w:w="3397" w:type="dxa"/>
          </w:tcPr>
          <w:p w14:paraId="17692979" w14:textId="77777777" w:rsidR="00C31046" w:rsidRDefault="00C31046" w:rsidP="000F7584">
            <w:pPr>
              <w:spacing w:line="360" w:lineRule="auto"/>
            </w:pPr>
            <w:r w:rsidRPr="00F7525D">
              <w:t>I must get away from all uncertain situations.</w:t>
            </w:r>
          </w:p>
        </w:tc>
        <w:tc>
          <w:tcPr>
            <w:tcW w:w="1418" w:type="dxa"/>
          </w:tcPr>
          <w:p w14:paraId="3868D362" w14:textId="77777777" w:rsidR="00C31046" w:rsidRDefault="00C31046" w:rsidP="000F7584">
            <w:pPr>
              <w:autoSpaceDE w:val="0"/>
              <w:autoSpaceDN w:val="0"/>
              <w:adjustRightInd w:val="0"/>
              <w:spacing w:after="60" w:line="360" w:lineRule="auto"/>
              <w:jc w:val="center"/>
            </w:pPr>
          </w:p>
        </w:tc>
        <w:tc>
          <w:tcPr>
            <w:tcW w:w="879" w:type="dxa"/>
          </w:tcPr>
          <w:p w14:paraId="28823AEF" w14:textId="77777777" w:rsidR="00C31046" w:rsidRDefault="00C31046" w:rsidP="000F7584">
            <w:pPr>
              <w:autoSpaceDE w:val="0"/>
              <w:autoSpaceDN w:val="0"/>
              <w:adjustRightInd w:val="0"/>
              <w:spacing w:after="60" w:line="360" w:lineRule="auto"/>
              <w:jc w:val="center"/>
            </w:pPr>
          </w:p>
        </w:tc>
        <w:tc>
          <w:tcPr>
            <w:tcW w:w="1134" w:type="dxa"/>
          </w:tcPr>
          <w:p w14:paraId="271B9E9E" w14:textId="77777777" w:rsidR="00C31046" w:rsidRDefault="00C31046" w:rsidP="000F7584">
            <w:pPr>
              <w:autoSpaceDE w:val="0"/>
              <w:autoSpaceDN w:val="0"/>
              <w:adjustRightInd w:val="0"/>
              <w:spacing w:after="60" w:line="360" w:lineRule="auto"/>
              <w:jc w:val="center"/>
            </w:pPr>
          </w:p>
        </w:tc>
        <w:tc>
          <w:tcPr>
            <w:tcW w:w="1038" w:type="dxa"/>
          </w:tcPr>
          <w:p w14:paraId="69A0EB49" w14:textId="77777777" w:rsidR="00C31046" w:rsidRDefault="00C31046" w:rsidP="000F7584">
            <w:pPr>
              <w:autoSpaceDE w:val="0"/>
              <w:autoSpaceDN w:val="0"/>
              <w:adjustRightInd w:val="0"/>
              <w:spacing w:after="60" w:line="360" w:lineRule="auto"/>
              <w:jc w:val="center"/>
            </w:pPr>
          </w:p>
        </w:tc>
        <w:tc>
          <w:tcPr>
            <w:tcW w:w="1485" w:type="dxa"/>
          </w:tcPr>
          <w:p w14:paraId="5D6F5231" w14:textId="77777777" w:rsidR="00C31046" w:rsidRDefault="00C31046" w:rsidP="000F7584">
            <w:pPr>
              <w:autoSpaceDE w:val="0"/>
              <w:autoSpaceDN w:val="0"/>
              <w:adjustRightInd w:val="0"/>
              <w:spacing w:after="60" w:line="360" w:lineRule="auto"/>
              <w:jc w:val="center"/>
            </w:pPr>
          </w:p>
        </w:tc>
      </w:tr>
    </w:tbl>
    <w:p w14:paraId="2F306085" w14:textId="77777777" w:rsidR="00C31046" w:rsidRDefault="00C31046" w:rsidP="00C31046">
      <w:pPr>
        <w:spacing w:after="60" w:line="240" w:lineRule="auto"/>
        <w:rPr>
          <w:rFonts w:cs="Arial"/>
        </w:rPr>
      </w:pPr>
    </w:p>
    <w:p w14:paraId="6DF3A8E7" w14:textId="77777777" w:rsidR="00C31046" w:rsidRDefault="00C31046" w:rsidP="00C31046">
      <w:pPr>
        <w:spacing w:after="60" w:line="240" w:lineRule="auto"/>
      </w:pPr>
      <w:r>
        <w:t xml:space="preserve">Thank you for completing this questionnaire. If you have any questions or would like more information about this study, please contact me - Chloe Simpson-Southward (crsimpson-southward1@sheffield.ac.uk). </w:t>
      </w:r>
      <w:commentRangeEnd w:id="288"/>
      <w:r w:rsidR="00024CFD">
        <w:rPr>
          <w:rStyle w:val="CommentReference"/>
          <w:rFonts w:eastAsiaTheme="minorHAnsi"/>
          <w:lang w:eastAsia="en-US"/>
        </w:rPr>
        <w:commentReference w:id="288"/>
      </w:r>
    </w:p>
    <w:p w14:paraId="0F2F12F0" w14:textId="18818263" w:rsidR="00E30E12" w:rsidRPr="00EA0DC7" w:rsidRDefault="00C31046" w:rsidP="000F7584">
      <w:pPr>
        <w:pStyle w:val="Heading2"/>
        <w:rPr>
          <w:b w:val="0"/>
        </w:rPr>
        <w:sectPr w:rsidR="00E30E12" w:rsidRPr="00EA0DC7" w:rsidSect="00E30E12">
          <w:type w:val="nextColumn"/>
          <w:pgSz w:w="11906" w:h="16838"/>
          <w:pgMar w:top="1440" w:right="1440" w:bottom="1440" w:left="2268" w:header="709" w:footer="709" w:gutter="0"/>
          <w:cols w:space="708"/>
          <w:docGrid w:linePitch="360"/>
        </w:sectPr>
      </w:pPr>
      <w:r>
        <w:br w:type="page"/>
      </w:r>
    </w:p>
    <w:p w14:paraId="464C2535" w14:textId="23E425AB" w:rsidR="00AD2B93" w:rsidRPr="00EA0DC7" w:rsidRDefault="00077D45" w:rsidP="00B15884">
      <w:pPr>
        <w:pStyle w:val="Heading2"/>
        <w:keepNext/>
        <w:numPr>
          <w:ilvl w:val="0"/>
          <w:numId w:val="0"/>
        </w:numPr>
        <w:spacing w:after="0"/>
      </w:pPr>
      <w:bookmarkStart w:id="289" w:name="_Toc23881316"/>
      <w:bookmarkStart w:id="290" w:name="_Toc24548607"/>
      <w:bookmarkStart w:id="291" w:name="_Toc24548710"/>
      <w:bookmarkStart w:id="292" w:name="_Toc47039901"/>
      <w:r w:rsidRPr="00EA0DC7">
        <w:lastRenderedPageBreak/>
        <w:t>Appendix 5</w:t>
      </w:r>
      <w:r w:rsidR="000F7584">
        <w:t>C</w:t>
      </w:r>
      <w:r w:rsidR="00BF0088" w:rsidRPr="00EA0DC7">
        <w:t>.</w:t>
      </w:r>
      <w:r w:rsidR="00AD2B93" w:rsidRPr="00EA0DC7">
        <w:t xml:space="preserve"> – Case vignettes used in </w:t>
      </w:r>
      <w:r w:rsidRPr="00EA0DC7">
        <w:t>Study 2.</w:t>
      </w:r>
      <w:bookmarkEnd w:id="289"/>
      <w:bookmarkEnd w:id="290"/>
      <w:bookmarkEnd w:id="291"/>
      <w:bookmarkEnd w:id="29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540"/>
      </w:tblGrid>
      <w:tr w:rsidR="00AD2B93" w:rsidRPr="00EA0DC7" w14:paraId="0215C1B2" w14:textId="77777777" w:rsidTr="00B15884">
        <w:tc>
          <w:tcPr>
            <w:tcW w:w="1418" w:type="dxa"/>
            <w:tcBorders>
              <w:top w:val="single" w:sz="4" w:space="0" w:color="auto"/>
              <w:bottom w:val="single" w:sz="4" w:space="0" w:color="auto"/>
            </w:tcBorders>
            <w:vAlign w:val="center"/>
          </w:tcPr>
          <w:p w14:paraId="723C4F59" w14:textId="77777777" w:rsidR="00AD2B93" w:rsidRPr="00EA0DC7" w:rsidRDefault="00AD2B93" w:rsidP="00B15884">
            <w:pPr>
              <w:widowControl w:val="0"/>
              <w:spacing w:before="240" w:line="240" w:lineRule="auto"/>
              <w:jc w:val="center"/>
              <w:rPr>
                <w:rFonts w:cs="Arial"/>
                <w:b/>
                <w:sz w:val="20"/>
                <w:szCs w:val="20"/>
              </w:rPr>
            </w:pPr>
            <w:r w:rsidRPr="00EA0DC7">
              <w:rPr>
                <w:rFonts w:cs="Arial"/>
                <w:b/>
                <w:sz w:val="20"/>
                <w:szCs w:val="20"/>
              </w:rPr>
              <w:t>Clinician type</w:t>
            </w:r>
          </w:p>
        </w:tc>
        <w:tc>
          <w:tcPr>
            <w:tcW w:w="12540" w:type="dxa"/>
            <w:tcBorders>
              <w:top w:val="single" w:sz="4" w:space="0" w:color="auto"/>
              <w:bottom w:val="single" w:sz="4" w:space="0" w:color="auto"/>
            </w:tcBorders>
            <w:vAlign w:val="center"/>
          </w:tcPr>
          <w:p w14:paraId="0EBCF528" w14:textId="77777777" w:rsidR="00AD2B93" w:rsidRPr="00EA0DC7" w:rsidRDefault="00AD2B93" w:rsidP="00B15884">
            <w:pPr>
              <w:widowControl w:val="0"/>
              <w:spacing w:before="240" w:line="240" w:lineRule="auto"/>
              <w:jc w:val="center"/>
              <w:rPr>
                <w:rFonts w:cs="Arial"/>
                <w:b/>
                <w:sz w:val="20"/>
                <w:szCs w:val="20"/>
              </w:rPr>
            </w:pPr>
            <w:r w:rsidRPr="00EA0DC7">
              <w:rPr>
                <w:rFonts w:cs="Arial"/>
                <w:b/>
                <w:sz w:val="20"/>
                <w:szCs w:val="20"/>
              </w:rPr>
              <w:t>Vignette</w:t>
            </w:r>
          </w:p>
        </w:tc>
      </w:tr>
      <w:tr w:rsidR="00AD2B93" w:rsidRPr="00EA0DC7" w14:paraId="49DA2FB4" w14:textId="77777777" w:rsidTr="00B15884">
        <w:tc>
          <w:tcPr>
            <w:tcW w:w="1418" w:type="dxa"/>
            <w:tcBorders>
              <w:top w:val="single" w:sz="4" w:space="0" w:color="auto"/>
            </w:tcBorders>
          </w:tcPr>
          <w:p w14:paraId="17B48C0E" w14:textId="77777777" w:rsidR="00AD2B93" w:rsidRPr="00EA0DC7" w:rsidRDefault="00AD2B93" w:rsidP="00B15884">
            <w:pPr>
              <w:widowControl w:val="0"/>
              <w:spacing w:line="360" w:lineRule="auto"/>
              <w:jc w:val="center"/>
              <w:rPr>
                <w:rFonts w:cs="Arial"/>
                <w:sz w:val="20"/>
                <w:szCs w:val="20"/>
              </w:rPr>
            </w:pPr>
            <w:r w:rsidRPr="00EA0DC7">
              <w:rPr>
                <w:rFonts w:cs="Arial"/>
                <w:sz w:val="20"/>
                <w:szCs w:val="20"/>
              </w:rPr>
              <w:t>Male trait</w:t>
            </w:r>
          </w:p>
        </w:tc>
        <w:tc>
          <w:tcPr>
            <w:tcW w:w="12540" w:type="dxa"/>
            <w:tcBorders>
              <w:top w:val="single" w:sz="4" w:space="0" w:color="auto"/>
              <w:bottom w:val="nil"/>
            </w:tcBorders>
          </w:tcPr>
          <w:p w14:paraId="046DA605" w14:textId="77777777" w:rsidR="00AD2B93" w:rsidRPr="00EA0DC7" w:rsidRDefault="00AD2B93" w:rsidP="00B15884">
            <w:pPr>
              <w:widowControl w:val="0"/>
              <w:spacing w:line="360" w:lineRule="auto"/>
              <w:rPr>
                <w:rFonts w:cs="Arial"/>
                <w:sz w:val="20"/>
                <w:szCs w:val="20"/>
              </w:rPr>
            </w:pPr>
            <w:r w:rsidRPr="00EA0DC7">
              <w:rPr>
                <w:rFonts w:cs="Arial"/>
                <w:sz w:val="20"/>
                <w:szCs w:val="20"/>
              </w:rPr>
              <w:t xml:space="preserve">‘Your supervisee, James, is 40 and has been a qualified therapist for 15 years. He is quite an anxious individual, and seems to worry about his patients a lot of the time. When discussing his cases, a particular issue comes up about a depressed patient called Lauren, who he has been seeing for eight sessions. </w:t>
            </w:r>
          </w:p>
          <w:p w14:paraId="7D86C962" w14:textId="77777777" w:rsidR="00AD2B93" w:rsidRPr="00EA0DC7" w:rsidRDefault="00AD2B93" w:rsidP="00B15884">
            <w:pPr>
              <w:widowControl w:val="0"/>
              <w:spacing w:line="360" w:lineRule="auto"/>
              <w:rPr>
                <w:rFonts w:cs="Arial"/>
                <w:sz w:val="20"/>
                <w:szCs w:val="20"/>
              </w:rPr>
            </w:pPr>
            <w:r w:rsidRPr="00EA0DC7">
              <w:rPr>
                <w:rFonts w:cs="Arial"/>
                <w:sz w:val="20"/>
                <w:szCs w:val="20"/>
              </w:rPr>
              <w:t>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15005C1B" w14:textId="62749162" w:rsidR="00AD2B93" w:rsidRPr="00EA0DC7" w:rsidRDefault="00AD2B93" w:rsidP="00B15884">
            <w:pPr>
              <w:widowControl w:val="0"/>
              <w:spacing w:line="360" w:lineRule="auto"/>
              <w:rPr>
                <w:rFonts w:cs="Arial"/>
                <w:sz w:val="20"/>
                <w:szCs w:val="20"/>
              </w:rPr>
            </w:pPr>
            <w:r w:rsidRPr="00EA0DC7">
              <w:rPr>
                <w:rFonts w:cs="Arial"/>
                <w:sz w:val="20"/>
                <w:szCs w:val="20"/>
              </w:rPr>
              <w:t>James has reservations about pushing Lauren to change behaviourally. He is particularly concerned that Lauren will not cope well with the demands of behavioural activation, and that, if this aspect of therapy is pushed, she might get worse or stop coming to sessions.’</w:t>
            </w:r>
          </w:p>
        </w:tc>
      </w:tr>
      <w:tr w:rsidR="00AD2B93" w:rsidRPr="00EA0DC7" w14:paraId="2C01DB7D" w14:textId="77777777" w:rsidTr="00B15884">
        <w:tc>
          <w:tcPr>
            <w:tcW w:w="1418" w:type="dxa"/>
            <w:tcBorders>
              <w:bottom w:val="single" w:sz="4" w:space="0" w:color="auto"/>
            </w:tcBorders>
          </w:tcPr>
          <w:p w14:paraId="5264F98F" w14:textId="77777777" w:rsidR="00AD2B93" w:rsidRPr="00EA0DC7" w:rsidRDefault="00AD2B93" w:rsidP="00B15884">
            <w:pPr>
              <w:widowControl w:val="0"/>
              <w:spacing w:before="240" w:line="360" w:lineRule="auto"/>
              <w:jc w:val="center"/>
              <w:rPr>
                <w:rFonts w:cs="Arial"/>
                <w:sz w:val="20"/>
                <w:szCs w:val="20"/>
              </w:rPr>
            </w:pPr>
            <w:r w:rsidRPr="00EA0DC7">
              <w:rPr>
                <w:rFonts w:cs="Arial"/>
                <w:sz w:val="20"/>
                <w:szCs w:val="20"/>
              </w:rPr>
              <w:t>Male state</w:t>
            </w:r>
          </w:p>
        </w:tc>
        <w:tc>
          <w:tcPr>
            <w:tcW w:w="12540" w:type="dxa"/>
            <w:tcBorders>
              <w:top w:val="nil"/>
              <w:bottom w:val="single" w:sz="4" w:space="0" w:color="auto"/>
            </w:tcBorders>
          </w:tcPr>
          <w:p w14:paraId="06C6D5BE" w14:textId="77777777" w:rsidR="00AD2B93" w:rsidRPr="00EA0DC7" w:rsidRDefault="00AD2B93" w:rsidP="00B15884">
            <w:pPr>
              <w:widowControl w:val="0"/>
              <w:spacing w:before="240" w:line="360" w:lineRule="auto"/>
              <w:rPr>
                <w:rFonts w:cs="Arial"/>
                <w:sz w:val="20"/>
                <w:szCs w:val="20"/>
              </w:rPr>
            </w:pPr>
            <w:r w:rsidRPr="00EA0DC7">
              <w:rPr>
                <w:rFonts w:cs="Arial"/>
                <w:sz w:val="20"/>
                <w:szCs w:val="20"/>
              </w:rPr>
              <w:t xml:space="preserve">‘Your supervisee, William, is 42 and has been a qualified therapist for 16 years. He is usually quite confident in his abilities as a therapist but he is noticeably anxious in your supervision session today. During your session, it transpires that he is concerned about a depressed patient, Mary, who is halfway through her course of treatment. </w:t>
            </w:r>
          </w:p>
          <w:p w14:paraId="150297FE" w14:textId="77777777" w:rsidR="00AD2B93" w:rsidRPr="00EA0DC7" w:rsidRDefault="00AD2B93" w:rsidP="00B15884">
            <w:pPr>
              <w:widowControl w:val="0"/>
              <w:spacing w:line="360" w:lineRule="auto"/>
              <w:rPr>
                <w:rFonts w:cs="Arial"/>
                <w:sz w:val="20"/>
                <w:szCs w:val="20"/>
              </w:rPr>
            </w:pPr>
            <w:r w:rsidRPr="00EA0DC7">
              <w:rPr>
                <w:rFonts w:cs="Arial"/>
                <w:sz w:val="20"/>
                <w:szCs w:val="20"/>
              </w:rPr>
              <w:t>Mary is 36 and lives with her two children. She got divorced from her husband two years ago, and currently has a partner of about four months. She has been unhappy with life for approximately four years. In recent months, she has shown more and more signs of depression, including a low mood and poor self-esteem, though there are no biological signs. Although she is still doing her job in a bakery, she is becoming increasingly socially isolated. She has given no indication that she is suicidal. She was referred because of her low mood.</w:t>
            </w:r>
          </w:p>
          <w:p w14:paraId="184F0F12" w14:textId="62F1FA30" w:rsidR="00AD2B93" w:rsidRPr="00EA0DC7" w:rsidRDefault="00AD2B93" w:rsidP="00B15884">
            <w:pPr>
              <w:widowControl w:val="0"/>
              <w:spacing w:line="360" w:lineRule="auto"/>
              <w:rPr>
                <w:rFonts w:cs="Arial"/>
                <w:sz w:val="20"/>
                <w:szCs w:val="20"/>
              </w:rPr>
            </w:pPr>
            <w:r w:rsidRPr="00EA0DC7">
              <w:rPr>
                <w:rFonts w:cs="Arial"/>
                <w:sz w:val="20"/>
                <w:szCs w:val="20"/>
              </w:rPr>
              <w:t>William explains that he is struggling to push Mary towards behavioural activation. He is concerned that if he pushes Mary to engage in behavioural aspects of therapy, she will be reluctant to come to sessions and may drop out of therapy altogether. William is deeply worried about Mary’s welfare if she does decide to end her treatment.’</w:t>
            </w:r>
          </w:p>
        </w:tc>
      </w:tr>
    </w:tbl>
    <w:p w14:paraId="48BCE9CF" w14:textId="77777777" w:rsidR="00B15884" w:rsidRPr="00EA0DC7" w:rsidRDefault="00B15884" w:rsidP="00B15884">
      <w:pPr>
        <w:widowControl w:val="0"/>
        <w:spacing w:before="240" w:line="360" w:lineRule="auto"/>
        <w:jc w:val="center"/>
        <w:rPr>
          <w:rFonts w:cs="Arial"/>
          <w:b/>
          <w:sz w:val="20"/>
          <w:szCs w:val="20"/>
        </w:rPr>
        <w:sectPr w:rsidR="00B15884" w:rsidRPr="00EA0DC7" w:rsidSect="00D2705A">
          <w:pgSz w:w="16838" w:h="11906" w:orient="landscape"/>
          <w:pgMar w:top="2268" w:right="1440" w:bottom="1440" w:left="1440" w:header="709" w:footer="709" w:gutter="0"/>
          <w:cols w:space="708"/>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540"/>
      </w:tblGrid>
      <w:tr w:rsidR="00B15884" w:rsidRPr="00EA0DC7" w14:paraId="6F3524D4" w14:textId="77777777" w:rsidTr="00B15884">
        <w:tc>
          <w:tcPr>
            <w:tcW w:w="1418" w:type="dxa"/>
            <w:tcBorders>
              <w:top w:val="single" w:sz="4" w:space="0" w:color="auto"/>
              <w:bottom w:val="single" w:sz="4" w:space="0" w:color="auto"/>
            </w:tcBorders>
            <w:vAlign w:val="center"/>
          </w:tcPr>
          <w:p w14:paraId="52E74BBF" w14:textId="2F4D6F8B" w:rsidR="00B15884" w:rsidRPr="00EA0DC7" w:rsidRDefault="00B15884" w:rsidP="00B15884">
            <w:pPr>
              <w:widowControl w:val="0"/>
              <w:spacing w:before="240" w:line="360" w:lineRule="auto"/>
              <w:jc w:val="center"/>
              <w:rPr>
                <w:rFonts w:cs="Arial"/>
                <w:sz w:val="20"/>
                <w:szCs w:val="20"/>
              </w:rPr>
            </w:pPr>
            <w:r w:rsidRPr="00EA0DC7">
              <w:rPr>
                <w:rFonts w:cs="Arial"/>
                <w:b/>
                <w:sz w:val="20"/>
                <w:szCs w:val="20"/>
              </w:rPr>
              <w:lastRenderedPageBreak/>
              <w:t>Clinician type</w:t>
            </w:r>
          </w:p>
        </w:tc>
        <w:tc>
          <w:tcPr>
            <w:tcW w:w="12540" w:type="dxa"/>
            <w:tcBorders>
              <w:top w:val="single" w:sz="4" w:space="0" w:color="auto"/>
              <w:bottom w:val="single" w:sz="4" w:space="0" w:color="auto"/>
            </w:tcBorders>
            <w:vAlign w:val="center"/>
          </w:tcPr>
          <w:p w14:paraId="0E51B262" w14:textId="09BDED1B" w:rsidR="00B15884" w:rsidRPr="00EA0DC7" w:rsidRDefault="00B15884" w:rsidP="00B15884">
            <w:pPr>
              <w:widowControl w:val="0"/>
              <w:spacing w:before="240" w:line="360" w:lineRule="auto"/>
              <w:jc w:val="center"/>
              <w:rPr>
                <w:rFonts w:cs="Arial"/>
                <w:sz w:val="20"/>
                <w:szCs w:val="20"/>
              </w:rPr>
            </w:pPr>
            <w:r w:rsidRPr="00EA0DC7">
              <w:rPr>
                <w:rFonts w:cs="Arial"/>
                <w:b/>
                <w:sz w:val="20"/>
                <w:szCs w:val="20"/>
              </w:rPr>
              <w:t>Vignette</w:t>
            </w:r>
          </w:p>
        </w:tc>
      </w:tr>
      <w:tr w:rsidR="00B15884" w:rsidRPr="00EA0DC7" w14:paraId="335BA8A0" w14:textId="77777777" w:rsidTr="00B15884">
        <w:tc>
          <w:tcPr>
            <w:tcW w:w="1418" w:type="dxa"/>
            <w:tcBorders>
              <w:top w:val="single" w:sz="4" w:space="0" w:color="auto"/>
              <w:bottom w:val="nil"/>
            </w:tcBorders>
          </w:tcPr>
          <w:p w14:paraId="5E4E1BDB" w14:textId="652A0B52" w:rsidR="00B15884" w:rsidRPr="00EA0DC7" w:rsidRDefault="00B15884" w:rsidP="00B15884">
            <w:pPr>
              <w:widowControl w:val="0"/>
              <w:spacing w:before="240" w:line="360" w:lineRule="auto"/>
              <w:jc w:val="center"/>
              <w:rPr>
                <w:rFonts w:cs="Arial"/>
                <w:sz w:val="20"/>
                <w:szCs w:val="20"/>
              </w:rPr>
            </w:pPr>
            <w:r w:rsidRPr="00EA0DC7">
              <w:rPr>
                <w:rFonts w:cs="Arial"/>
                <w:sz w:val="20"/>
                <w:szCs w:val="20"/>
              </w:rPr>
              <w:t>Male calm</w:t>
            </w:r>
          </w:p>
        </w:tc>
        <w:tc>
          <w:tcPr>
            <w:tcW w:w="12540" w:type="dxa"/>
            <w:tcBorders>
              <w:top w:val="single" w:sz="4" w:space="0" w:color="auto"/>
              <w:bottom w:val="nil"/>
            </w:tcBorders>
          </w:tcPr>
          <w:p w14:paraId="758F8B67" w14:textId="451FC6C2" w:rsidR="00B15884" w:rsidRPr="00EA0DC7" w:rsidRDefault="00B15884" w:rsidP="00B15884">
            <w:pPr>
              <w:widowControl w:val="0"/>
              <w:spacing w:before="240" w:line="360" w:lineRule="auto"/>
              <w:rPr>
                <w:rFonts w:cs="Arial"/>
                <w:sz w:val="20"/>
                <w:szCs w:val="20"/>
              </w:rPr>
            </w:pPr>
            <w:r w:rsidRPr="00EA0DC7">
              <w:rPr>
                <w:rFonts w:cs="Arial"/>
                <w:sz w:val="20"/>
                <w:szCs w:val="20"/>
              </w:rPr>
              <w:t>‘Your supervisee, Richard, is 45 and has been a qualified therapist for 19 years. He is very relaxed when discussing his cases in supervision and is rarely worried about carrying out therapy. During your supervision session he discusses one of his patients, Emma, who has depression and has just had her ninth treatment session.</w:t>
            </w:r>
          </w:p>
          <w:p w14:paraId="1EE3EF5F" w14:textId="77777777" w:rsidR="00B15884" w:rsidRPr="00EA0DC7" w:rsidRDefault="00B15884" w:rsidP="00B15884">
            <w:pPr>
              <w:widowControl w:val="0"/>
              <w:spacing w:line="360" w:lineRule="auto"/>
              <w:rPr>
                <w:rFonts w:cs="Arial"/>
                <w:sz w:val="20"/>
                <w:szCs w:val="20"/>
              </w:rPr>
            </w:pPr>
            <w:r w:rsidRPr="00EA0DC7">
              <w:rPr>
                <w:rFonts w:cs="Arial"/>
                <w:sz w:val="20"/>
                <w:szCs w:val="20"/>
              </w:rPr>
              <w:t>Emma is 35 and lives with her daughter and long-term boyfriend of seven years. In recent years she has started feeling that life is pointless and she is unhappy. Over the past five months she has started showing signs of depression, including poor self-esteem, low mood and self-blame. She is still managing to attend her job as a cashier but has stopped seeing people socially. She currently has no biological signs of depression and has given no indication of suicide.</w:t>
            </w:r>
          </w:p>
          <w:p w14:paraId="505A4D7E" w14:textId="32191AA9" w:rsidR="00B15884" w:rsidRPr="00EA0DC7" w:rsidRDefault="00B15884" w:rsidP="00B15884">
            <w:pPr>
              <w:widowControl w:val="0"/>
              <w:spacing w:line="360" w:lineRule="auto"/>
              <w:rPr>
                <w:rFonts w:cs="Arial"/>
                <w:sz w:val="20"/>
                <w:szCs w:val="20"/>
              </w:rPr>
            </w:pPr>
            <w:r w:rsidRPr="00EA0DC7">
              <w:rPr>
                <w:rFonts w:cs="Arial"/>
                <w:sz w:val="20"/>
                <w:szCs w:val="20"/>
              </w:rPr>
              <w:t>Richard is about to commence behavioural activation with Emma, and says he is quite comfortable in doing so. He is currently feeling satisfied with Emma’s progress and has no immediate concerns.’</w:t>
            </w:r>
          </w:p>
        </w:tc>
      </w:tr>
      <w:tr w:rsidR="00B15884" w:rsidRPr="00EA0DC7" w14:paraId="372022DE" w14:textId="77777777" w:rsidTr="00B15884">
        <w:tc>
          <w:tcPr>
            <w:tcW w:w="1418" w:type="dxa"/>
            <w:tcBorders>
              <w:top w:val="nil"/>
              <w:bottom w:val="single" w:sz="4" w:space="0" w:color="auto"/>
            </w:tcBorders>
          </w:tcPr>
          <w:p w14:paraId="5E60D166" w14:textId="77777777" w:rsidR="00B15884" w:rsidRPr="00EA0DC7" w:rsidRDefault="00B15884" w:rsidP="00B15884">
            <w:pPr>
              <w:widowControl w:val="0"/>
              <w:spacing w:before="240" w:line="360" w:lineRule="auto"/>
              <w:jc w:val="center"/>
              <w:rPr>
                <w:rFonts w:cs="Arial"/>
                <w:sz w:val="20"/>
                <w:szCs w:val="20"/>
              </w:rPr>
            </w:pPr>
            <w:r w:rsidRPr="00EA0DC7">
              <w:rPr>
                <w:rFonts w:cs="Arial"/>
                <w:sz w:val="20"/>
                <w:szCs w:val="20"/>
              </w:rPr>
              <w:t>Female trait</w:t>
            </w:r>
          </w:p>
        </w:tc>
        <w:tc>
          <w:tcPr>
            <w:tcW w:w="12540" w:type="dxa"/>
            <w:tcBorders>
              <w:top w:val="nil"/>
              <w:bottom w:val="single" w:sz="4" w:space="0" w:color="auto"/>
            </w:tcBorders>
          </w:tcPr>
          <w:p w14:paraId="434E16A3" w14:textId="77777777" w:rsidR="00B15884" w:rsidRPr="00EA0DC7" w:rsidRDefault="00B15884" w:rsidP="00B15884">
            <w:pPr>
              <w:widowControl w:val="0"/>
              <w:spacing w:before="240" w:line="360" w:lineRule="auto"/>
              <w:rPr>
                <w:rFonts w:cs="Arial"/>
                <w:sz w:val="20"/>
                <w:szCs w:val="20"/>
              </w:rPr>
            </w:pPr>
            <w:r w:rsidRPr="00EA0DC7">
              <w:rPr>
                <w:rFonts w:cs="Arial"/>
                <w:sz w:val="20"/>
                <w:szCs w:val="20"/>
              </w:rPr>
              <w:t xml:space="preserve">‘Your supervisee, Jane, is 40 and has been a qualified therapist for 15 years. She is quite an anxious individual, and seems to worry about her patients a lot of the time. When discussing her cases, a particular issue comes up about a depressed patient called Lauren, who she has been seeing for eight sessions. </w:t>
            </w:r>
          </w:p>
          <w:p w14:paraId="25C74A3A" w14:textId="77777777" w:rsidR="00B15884" w:rsidRPr="00EA0DC7" w:rsidRDefault="00B15884" w:rsidP="00B15884">
            <w:pPr>
              <w:widowControl w:val="0"/>
              <w:spacing w:line="360" w:lineRule="auto"/>
              <w:rPr>
                <w:rFonts w:cs="Arial"/>
                <w:sz w:val="20"/>
                <w:szCs w:val="20"/>
              </w:rPr>
            </w:pPr>
            <w:r w:rsidRPr="00EA0DC7">
              <w:rPr>
                <w:rFonts w:cs="Arial"/>
                <w:sz w:val="20"/>
                <w:szCs w:val="20"/>
              </w:rPr>
              <w:t>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21B1A553" w14:textId="019F7B3F" w:rsidR="00B15884" w:rsidRPr="00EA0DC7" w:rsidRDefault="00B15884" w:rsidP="00B15884">
            <w:pPr>
              <w:widowControl w:val="0"/>
              <w:spacing w:line="360" w:lineRule="auto"/>
              <w:rPr>
                <w:rFonts w:cs="Arial"/>
                <w:sz w:val="20"/>
                <w:szCs w:val="20"/>
              </w:rPr>
            </w:pPr>
            <w:r w:rsidRPr="00EA0DC7">
              <w:rPr>
                <w:rFonts w:cs="Arial"/>
                <w:sz w:val="20"/>
                <w:szCs w:val="20"/>
              </w:rPr>
              <w:t>Jane has reservations about pushing Lauren to change behaviourally. She is particularly concerned that Lauren will not cope well with the demands of behavioural activation, and that, if this aspect of therapy is pushed, she might get worse or stop coming to sessions.’</w:t>
            </w:r>
          </w:p>
        </w:tc>
      </w:tr>
    </w:tbl>
    <w:p w14:paraId="44EA931D" w14:textId="77777777" w:rsidR="00B15884" w:rsidRPr="00EA0DC7" w:rsidRDefault="00B15884" w:rsidP="00B15884">
      <w:pPr>
        <w:widowControl w:val="0"/>
        <w:spacing w:before="240" w:line="360" w:lineRule="auto"/>
        <w:jc w:val="center"/>
        <w:rPr>
          <w:rFonts w:cs="Arial"/>
          <w:b/>
          <w:sz w:val="20"/>
          <w:szCs w:val="20"/>
        </w:rPr>
        <w:sectPr w:rsidR="00B15884" w:rsidRPr="00EA0DC7" w:rsidSect="00D2705A">
          <w:pgSz w:w="16838" w:h="11906" w:orient="landscape"/>
          <w:pgMar w:top="1440" w:right="1440" w:bottom="2268" w:left="1440" w:header="709" w:footer="709" w:gutter="0"/>
          <w:cols w:space="708"/>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540"/>
      </w:tblGrid>
      <w:tr w:rsidR="00B15884" w:rsidRPr="00EA0DC7" w14:paraId="4CE6CFB2" w14:textId="77777777" w:rsidTr="00B15884">
        <w:tc>
          <w:tcPr>
            <w:tcW w:w="1418" w:type="dxa"/>
            <w:tcBorders>
              <w:top w:val="single" w:sz="4" w:space="0" w:color="auto"/>
              <w:bottom w:val="single" w:sz="4" w:space="0" w:color="auto"/>
            </w:tcBorders>
            <w:vAlign w:val="center"/>
          </w:tcPr>
          <w:p w14:paraId="6780FE40" w14:textId="30C306D9" w:rsidR="00B15884" w:rsidRPr="00EA0DC7" w:rsidRDefault="00B15884" w:rsidP="00B15884">
            <w:pPr>
              <w:widowControl w:val="0"/>
              <w:spacing w:before="240" w:line="360" w:lineRule="auto"/>
              <w:jc w:val="center"/>
              <w:rPr>
                <w:rFonts w:cs="Arial"/>
                <w:sz w:val="20"/>
                <w:szCs w:val="20"/>
              </w:rPr>
            </w:pPr>
            <w:r w:rsidRPr="00EA0DC7">
              <w:rPr>
                <w:rFonts w:cs="Arial"/>
                <w:b/>
                <w:sz w:val="20"/>
                <w:szCs w:val="20"/>
              </w:rPr>
              <w:lastRenderedPageBreak/>
              <w:t>Clinician type</w:t>
            </w:r>
          </w:p>
        </w:tc>
        <w:tc>
          <w:tcPr>
            <w:tcW w:w="12540" w:type="dxa"/>
            <w:tcBorders>
              <w:top w:val="single" w:sz="4" w:space="0" w:color="auto"/>
              <w:bottom w:val="single" w:sz="4" w:space="0" w:color="auto"/>
            </w:tcBorders>
            <w:vAlign w:val="center"/>
          </w:tcPr>
          <w:p w14:paraId="5AA6D283" w14:textId="68DAF007" w:rsidR="00B15884" w:rsidRPr="00EA0DC7" w:rsidRDefault="00B15884" w:rsidP="00B15884">
            <w:pPr>
              <w:widowControl w:val="0"/>
              <w:spacing w:before="240" w:line="360" w:lineRule="auto"/>
              <w:jc w:val="center"/>
              <w:rPr>
                <w:rFonts w:cs="Arial"/>
                <w:sz w:val="20"/>
                <w:szCs w:val="20"/>
              </w:rPr>
            </w:pPr>
            <w:r w:rsidRPr="00EA0DC7">
              <w:rPr>
                <w:rFonts w:cs="Arial"/>
                <w:b/>
                <w:sz w:val="20"/>
                <w:szCs w:val="20"/>
              </w:rPr>
              <w:t>Vignette</w:t>
            </w:r>
          </w:p>
        </w:tc>
      </w:tr>
      <w:tr w:rsidR="00B15884" w:rsidRPr="00EA0DC7" w14:paraId="7BC65942" w14:textId="77777777" w:rsidTr="00B15884">
        <w:tc>
          <w:tcPr>
            <w:tcW w:w="1418" w:type="dxa"/>
            <w:tcBorders>
              <w:top w:val="single" w:sz="4" w:space="0" w:color="auto"/>
            </w:tcBorders>
          </w:tcPr>
          <w:p w14:paraId="66E65D96" w14:textId="77777777" w:rsidR="00B15884" w:rsidRPr="00EA0DC7" w:rsidRDefault="00B15884" w:rsidP="00B15884">
            <w:pPr>
              <w:widowControl w:val="0"/>
              <w:spacing w:before="240" w:line="360" w:lineRule="auto"/>
              <w:jc w:val="center"/>
              <w:rPr>
                <w:rFonts w:cs="Arial"/>
                <w:sz w:val="20"/>
                <w:szCs w:val="20"/>
              </w:rPr>
            </w:pPr>
            <w:r w:rsidRPr="00EA0DC7">
              <w:rPr>
                <w:rFonts w:cs="Arial"/>
                <w:sz w:val="20"/>
                <w:szCs w:val="20"/>
              </w:rPr>
              <w:t>Female state</w:t>
            </w:r>
          </w:p>
        </w:tc>
        <w:tc>
          <w:tcPr>
            <w:tcW w:w="12540" w:type="dxa"/>
            <w:tcBorders>
              <w:top w:val="single" w:sz="4" w:space="0" w:color="auto"/>
            </w:tcBorders>
          </w:tcPr>
          <w:p w14:paraId="2EA13383" w14:textId="77777777" w:rsidR="00B15884" w:rsidRPr="00EA0DC7" w:rsidRDefault="00B15884" w:rsidP="00B15884">
            <w:pPr>
              <w:widowControl w:val="0"/>
              <w:spacing w:before="240" w:line="360" w:lineRule="auto"/>
              <w:rPr>
                <w:rFonts w:cs="Arial"/>
                <w:sz w:val="20"/>
                <w:szCs w:val="20"/>
              </w:rPr>
            </w:pPr>
            <w:r w:rsidRPr="00EA0DC7">
              <w:rPr>
                <w:rFonts w:cs="Arial"/>
                <w:sz w:val="20"/>
                <w:szCs w:val="20"/>
              </w:rPr>
              <w:t>‘Your supervisee, Wendy, is 42 and has been a qualified therapist for 16 years. She is usually quite confident in her abilities as a therapist but she is noticeably anxious in your supervision session today. During your session, it transpires that she is concerned about a depressed patient, Mary, who is halfway through her course of treatment.</w:t>
            </w:r>
          </w:p>
          <w:p w14:paraId="7941F144" w14:textId="77777777" w:rsidR="00B15884" w:rsidRPr="00EA0DC7" w:rsidRDefault="00B15884" w:rsidP="00B15884">
            <w:pPr>
              <w:widowControl w:val="0"/>
              <w:spacing w:line="360" w:lineRule="auto"/>
              <w:rPr>
                <w:rFonts w:cs="Arial"/>
                <w:sz w:val="20"/>
                <w:szCs w:val="20"/>
              </w:rPr>
            </w:pPr>
            <w:r w:rsidRPr="00EA0DC7">
              <w:rPr>
                <w:rFonts w:cs="Arial"/>
                <w:sz w:val="20"/>
                <w:szCs w:val="20"/>
              </w:rPr>
              <w:t>Mary is 36 and lives with her two children. She got divorced from her husband two years ago, and currently has a partner of about four months. She has been unhappy with life for approximately four years. In recent months, she has shown more and more signs of depression, including a low mood and poor self-esteem, though there are no biological signs. Although she is still doing her job in a bakery, she is becoming increasingly socially isolated. She has given no indication that she is suicidal. She was referred because of her low mood.</w:t>
            </w:r>
          </w:p>
          <w:p w14:paraId="1788F25B" w14:textId="2FF0729F" w:rsidR="00B15884" w:rsidRPr="00EA0DC7" w:rsidRDefault="00B15884" w:rsidP="00B15884">
            <w:pPr>
              <w:widowControl w:val="0"/>
              <w:spacing w:line="360" w:lineRule="auto"/>
              <w:rPr>
                <w:rFonts w:cs="Arial"/>
                <w:sz w:val="20"/>
                <w:szCs w:val="20"/>
              </w:rPr>
            </w:pPr>
            <w:r w:rsidRPr="00EA0DC7">
              <w:rPr>
                <w:rFonts w:cs="Arial"/>
                <w:sz w:val="20"/>
                <w:szCs w:val="20"/>
              </w:rPr>
              <w:t>Wendy explains that she is struggling to push Mary towards behavioural activation. She is concerned that if she pushes Mary to engage in behavioural aspects of therapy, she will be reluctant to come to sessions and may drop out of therapy altogether. Wendy is deeply worried for Mary’s welfare if she does decide to end her treatment.’</w:t>
            </w:r>
          </w:p>
        </w:tc>
      </w:tr>
      <w:tr w:rsidR="00B15884" w:rsidRPr="00EA0DC7" w14:paraId="328B6419" w14:textId="77777777" w:rsidTr="00B15884">
        <w:tc>
          <w:tcPr>
            <w:tcW w:w="1418" w:type="dxa"/>
          </w:tcPr>
          <w:p w14:paraId="035B2EC5" w14:textId="77777777" w:rsidR="00B15884" w:rsidRPr="00EA0DC7" w:rsidRDefault="00B15884" w:rsidP="00B15884">
            <w:pPr>
              <w:widowControl w:val="0"/>
              <w:spacing w:before="240" w:line="360" w:lineRule="auto"/>
              <w:jc w:val="center"/>
              <w:rPr>
                <w:rFonts w:cs="Arial"/>
                <w:sz w:val="20"/>
                <w:szCs w:val="20"/>
              </w:rPr>
            </w:pPr>
            <w:r w:rsidRPr="00EA0DC7">
              <w:rPr>
                <w:rFonts w:cs="Arial"/>
                <w:sz w:val="20"/>
                <w:szCs w:val="20"/>
              </w:rPr>
              <w:t>Female calm</w:t>
            </w:r>
          </w:p>
        </w:tc>
        <w:tc>
          <w:tcPr>
            <w:tcW w:w="12540" w:type="dxa"/>
          </w:tcPr>
          <w:p w14:paraId="5C1DDD5C" w14:textId="77777777" w:rsidR="00B15884" w:rsidRPr="00EA0DC7" w:rsidRDefault="00B15884" w:rsidP="00B15884">
            <w:pPr>
              <w:widowControl w:val="0"/>
              <w:spacing w:before="240" w:line="360" w:lineRule="auto"/>
              <w:rPr>
                <w:rFonts w:cs="Arial"/>
                <w:sz w:val="20"/>
                <w:szCs w:val="20"/>
              </w:rPr>
            </w:pPr>
            <w:r w:rsidRPr="00EA0DC7">
              <w:rPr>
                <w:rFonts w:cs="Arial"/>
                <w:sz w:val="20"/>
                <w:szCs w:val="20"/>
              </w:rPr>
              <w:t>‘Your supervisee, Rebecca, is 45 and has been a qualified therapist for 19 years. She is very relaxed when discussing her cases in supervision and is rarely worried about carrying out therapy. During your supervision session she discusses one of her patients, Emma, who has depression and has just had her ninth treatment session.</w:t>
            </w:r>
          </w:p>
          <w:p w14:paraId="00C1E931" w14:textId="77777777" w:rsidR="00B15884" w:rsidRPr="00EA0DC7" w:rsidRDefault="00B15884" w:rsidP="00B15884">
            <w:pPr>
              <w:widowControl w:val="0"/>
              <w:spacing w:line="360" w:lineRule="auto"/>
              <w:rPr>
                <w:rFonts w:cs="Arial"/>
                <w:sz w:val="20"/>
                <w:szCs w:val="20"/>
              </w:rPr>
            </w:pPr>
            <w:r w:rsidRPr="00EA0DC7">
              <w:rPr>
                <w:rFonts w:cs="Arial"/>
                <w:sz w:val="20"/>
                <w:szCs w:val="20"/>
              </w:rPr>
              <w:t>Emma is 35 and lives with her daughter and long-term boyfriend of seven years. In recent years she has started feeling that life is pointless and she is unhappy. Over the past five months she has started showing signs of depression, including poor self-esteem, low mood and self-blame. She is still managing to attend her job as a cashier but has stopped seeing people socially. She currently has no biological signs of depression and has given no indication of suicide.</w:t>
            </w:r>
          </w:p>
          <w:p w14:paraId="053A8EF8" w14:textId="57D65F4D" w:rsidR="00B15884" w:rsidRPr="00EA0DC7" w:rsidRDefault="00B15884" w:rsidP="00B15884">
            <w:pPr>
              <w:widowControl w:val="0"/>
              <w:spacing w:line="360" w:lineRule="auto"/>
              <w:rPr>
                <w:rFonts w:cs="Arial"/>
                <w:sz w:val="20"/>
                <w:szCs w:val="20"/>
              </w:rPr>
            </w:pPr>
            <w:r w:rsidRPr="00EA0DC7">
              <w:rPr>
                <w:rFonts w:cs="Arial"/>
                <w:sz w:val="20"/>
                <w:szCs w:val="20"/>
              </w:rPr>
              <w:t>Rebecca is about to commence behavioural activation with Emma, and says she is quite comfortable in doing so. She is currently feeling satisfied with Emma’s progress and has no immediate concerns.’</w:t>
            </w:r>
          </w:p>
        </w:tc>
      </w:tr>
    </w:tbl>
    <w:p w14:paraId="5E12B000" w14:textId="77777777" w:rsidR="004F4542" w:rsidRPr="00EA0DC7" w:rsidRDefault="004F4542" w:rsidP="00AD2B93">
      <w:pPr>
        <w:widowControl w:val="0"/>
        <w:rPr>
          <w:rFonts w:cs="Arial"/>
          <w:b/>
          <w:bCs/>
        </w:rPr>
        <w:sectPr w:rsidR="004F4542" w:rsidRPr="00EA0DC7" w:rsidSect="00D2705A">
          <w:pgSz w:w="16838" w:h="11906" w:orient="landscape"/>
          <w:pgMar w:top="2268" w:right="1440" w:bottom="1440" w:left="1440" w:header="709" w:footer="709" w:gutter="0"/>
          <w:cols w:space="708"/>
          <w:docGrid w:linePitch="360"/>
        </w:sectPr>
      </w:pPr>
    </w:p>
    <w:p w14:paraId="26298654" w14:textId="18112FFF" w:rsidR="00EF466B" w:rsidRPr="00EA0DC7" w:rsidRDefault="00EF466B" w:rsidP="00EF466B">
      <w:pPr>
        <w:pStyle w:val="Heading2"/>
      </w:pPr>
      <w:bookmarkStart w:id="293" w:name="_Toc23881317"/>
      <w:bookmarkStart w:id="294" w:name="_Toc24548608"/>
      <w:bookmarkStart w:id="295" w:name="_Toc24548711"/>
      <w:bookmarkStart w:id="296" w:name="_Toc47039902"/>
      <w:r w:rsidRPr="00EA0DC7">
        <w:lastRenderedPageBreak/>
        <w:t>Appendix 6A – Ethics approval for Study 3.</w:t>
      </w:r>
      <w:bookmarkEnd w:id="293"/>
      <w:bookmarkEnd w:id="294"/>
      <w:bookmarkEnd w:id="295"/>
      <w:bookmarkEnd w:id="296"/>
    </w:p>
    <w:p w14:paraId="221318D0" w14:textId="77777777" w:rsidR="00EF466B" w:rsidRPr="00EA0DC7" w:rsidRDefault="00EF466B" w:rsidP="00EF466B">
      <w:pPr>
        <w:spacing w:after="0" w:line="240" w:lineRule="auto"/>
        <w:jc w:val="left"/>
        <w:rPr>
          <w:rFonts w:ascii="Times New Roman" w:eastAsia="Times New Roman" w:hAnsi="Times New Roman" w:cs="Times New Roman"/>
          <w:szCs w:val="24"/>
        </w:rPr>
      </w:pPr>
      <w:r w:rsidRPr="00EA0DC7">
        <w:rPr>
          <w:rFonts w:ascii="Times New Roman" w:eastAsia="Times New Roman" w:hAnsi="Times New Roman" w:cs="Times New Roman"/>
          <w:szCs w:val="24"/>
        </w:rPr>
        <w:t xml:space="preserve">From: </w:t>
      </w:r>
      <w:r w:rsidRPr="00EA0DC7">
        <w:rPr>
          <w:rFonts w:ascii="Times New Roman" w:eastAsia="Times New Roman" w:hAnsi="Times New Roman" w:cs="Times New Roman"/>
          <w:b/>
          <w:bCs/>
          <w:szCs w:val="24"/>
        </w:rPr>
        <w:t>Psychology Research Ethics Application Management System</w:t>
      </w:r>
      <w:r w:rsidRPr="00EA0DC7">
        <w:rPr>
          <w:rFonts w:ascii="Times New Roman" w:eastAsia="Times New Roman" w:hAnsi="Times New Roman" w:cs="Times New Roman"/>
          <w:szCs w:val="24"/>
        </w:rPr>
        <w:t xml:space="preserve"> &lt;no_reply@psychologyresearchethicsapplicationmanagementsystem&gt;</w:t>
      </w:r>
      <w:r w:rsidRPr="00EA0DC7">
        <w:rPr>
          <w:rFonts w:ascii="Times New Roman" w:eastAsia="Times New Roman" w:hAnsi="Times New Roman" w:cs="Times New Roman"/>
          <w:szCs w:val="24"/>
        </w:rPr>
        <w:br/>
        <w:t>Date: 12 May 2015 at 22:18</w:t>
      </w:r>
      <w:r w:rsidRPr="00EA0DC7">
        <w:rPr>
          <w:rFonts w:ascii="Times New Roman" w:eastAsia="Times New Roman" w:hAnsi="Times New Roman" w:cs="Times New Roman"/>
          <w:szCs w:val="24"/>
        </w:rPr>
        <w:br/>
        <w:t>Subject: Approval of your research proposal</w:t>
      </w:r>
      <w:r w:rsidRPr="00EA0DC7">
        <w:rPr>
          <w:rFonts w:ascii="Times New Roman" w:eastAsia="Times New Roman" w:hAnsi="Times New Roman" w:cs="Times New Roman"/>
          <w:szCs w:val="24"/>
        </w:rPr>
        <w:br/>
        <w:t xml:space="preserve">To: </w:t>
      </w:r>
      <w:hyperlink r:id="rId43" w:history="1">
        <w:r w:rsidRPr="00EA0DC7">
          <w:rPr>
            <w:rFonts w:ascii="Times New Roman" w:eastAsia="Times New Roman" w:hAnsi="Times New Roman" w:cs="Times New Roman"/>
            <w:szCs w:val="24"/>
            <w:u w:val="single"/>
          </w:rPr>
          <w:t>G.Waller@sheffield.ac.uk</w:t>
        </w:r>
      </w:hyperlink>
      <w:r w:rsidRPr="00EA0DC7">
        <w:rPr>
          <w:rFonts w:ascii="Times New Roman" w:eastAsia="Times New Roman" w:hAnsi="Times New Roman" w:cs="Times New Roman"/>
          <w:szCs w:val="24"/>
        </w:rPr>
        <w:br/>
      </w:r>
      <w:r w:rsidRPr="00EA0DC7">
        <w:rPr>
          <w:rFonts w:ascii="Times New Roman" w:eastAsia="Times New Roman" w:hAnsi="Times New Roman" w:cs="Times New Roman"/>
          <w:szCs w:val="24"/>
        </w:rPr>
        <w:br/>
      </w:r>
      <w:r w:rsidRPr="00EA0DC7">
        <w:rPr>
          <w:rFonts w:ascii="Times New Roman" w:eastAsia="Times New Roman" w:hAnsi="Times New Roman" w:cs="Times New Roman"/>
          <w:szCs w:val="24"/>
        </w:rPr>
        <w:br/>
        <w:t>Your submission to the Department of Psychology Ethics Sub-Committee (DESC) entitled "The role of supervision for depression: Dealing with non-compliance from patients and therapists " has now been reviewed. The committee believed that your methods and procedures conformed to University and BPS Guidelines.</w:t>
      </w:r>
      <w:r w:rsidRPr="00EA0DC7">
        <w:rPr>
          <w:rFonts w:ascii="Times New Roman" w:eastAsia="Times New Roman" w:hAnsi="Times New Roman" w:cs="Times New Roman"/>
          <w:szCs w:val="24"/>
        </w:rPr>
        <w:br/>
      </w:r>
      <w:r w:rsidRPr="00EA0DC7">
        <w:rPr>
          <w:rFonts w:ascii="Times New Roman" w:eastAsia="Times New Roman" w:hAnsi="Times New Roman" w:cs="Times New Roman"/>
          <w:szCs w:val="24"/>
        </w:rPr>
        <w:br/>
        <w:t>I am therefore pleased to inform you that the ethics of your research are approved. You may now commence the empirical work.</w:t>
      </w:r>
      <w:r w:rsidRPr="00EA0DC7">
        <w:rPr>
          <w:rFonts w:ascii="Times New Roman" w:eastAsia="Times New Roman" w:hAnsi="Times New Roman" w:cs="Times New Roman"/>
          <w:szCs w:val="24"/>
        </w:rPr>
        <w:br/>
      </w:r>
      <w:r w:rsidRPr="00EA0DC7">
        <w:rPr>
          <w:rFonts w:ascii="Times New Roman" w:eastAsia="Times New Roman" w:hAnsi="Times New Roman" w:cs="Times New Roman"/>
          <w:szCs w:val="24"/>
        </w:rPr>
        <w:br/>
        <w:t>Yours sincerely,</w:t>
      </w:r>
      <w:r w:rsidRPr="00EA0DC7">
        <w:rPr>
          <w:rFonts w:ascii="Times New Roman" w:eastAsia="Times New Roman" w:hAnsi="Times New Roman" w:cs="Times New Roman"/>
          <w:szCs w:val="24"/>
        </w:rPr>
        <w:br/>
      </w:r>
      <w:r w:rsidRPr="00EA0DC7">
        <w:rPr>
          <w:rFonts w:ascii="Times New Roman" w:eastAsia="Times New Roman" w:hAnsi="Times New Roman" w:cs="Times New Roman"/>
          <w:szCs w:val="24"/>
        </w:rPr>
        <w:br/>
        <w:t>Paul Norman</w:t>
      </w:r>
      <w:r w:rsidRPr="00EA0DC7">
        <w:rPr>
          <w:rFonts w:ascii="Times New Roman" w:eastAsia="Times New Roman" w:hAnsi="Times New Roman" w:cs="Times New Roman"/>
          <w:szCs w:val="24"/>
        </w:rPr>
        <w:br/>
        <w:t>Acting Chair, DESC</w:t>
      </w:r>
    </w:p>
    <w:p w14:paraId="791B3480" w14:textId="25ADF08E" w:rsidR="00B30A94" w:rsidRDefault="00B30A94" w:rsidP="00F821B4">
      <w:pPr>
        <w:spacing w:line="276" w:lineRule="auto"/>
        <w:jc w:val="left"/>
        <w:rPr>
          <w:rFonts w:cs="Arial"/>
          <w:szCs w:val="24"/>
        </w:rPr>
      </w:pPr>
    </w:p>
    <w:p w14:paraId="1CF23687" w14:textId="77777777" w:rsidR="00B30A94" w:rsidRDefault="00B30A94">
      <w:pPr>
        <w:spacing w:line="276" w:lineRule="auto"/>
        <w:jc w:val="left"/>
        <w:rPr>
          <w:rFonts w:cs="Arial"/>
          <w:szCs w:val="24"/>
        </w:rPr>
      </w:pPr>
      <w:r>
        <w:rPr>
          <w:rFonts w:cs="Arial"/>
          <w:szCs w:val="24"/>
        </w:rPr>
        <w:br w:type="page"/>
      </w:r>
    </w:p>
    <w:p w14:paraId="1F12F53F" w14:textId="32E22AAE" w:rsidR="00462E63" w:rsidRDefault="00462E63" w:rsidP="00987943">
      <w:pPr>
        <w:pStyle w:val="Heading2"/>
      </w:pPr>
      <w:bookmarkStart w:id="297" w:name="_Toc47039903"/>
      <w:commentRangeStart w:id="298"/>
      <w:r>
        <w:lastRenderedPageBreak/>
        <w:t>Appendix</w:t>
      </w:r>
      <w:r w:rsidR="000F7584">
        <w:t xml:space="preserve"> 6B – Study 3 questionnaire</w:t>
      </w:r>
      <w:bookmarkEnd w:id="297"/>
    </w:p>
    <w:p w14:paraId="477B19E5" w14:textId="77777777" w:rsidR="00930E7C" w:rsidRDefault="00462E63" w:rsidP="000F7584">
      <w:pPr>
        <w:keepNext/>
        <w:spacing w:line="360" w:lineRule="auto"/>
      </w:pPr>
      <w:r>
        <w:t>Thank you for your interest in our study. We are investigating the role that supervisors play in the delivery of CBT by their supervisees. In particular, we would like to know what advice you provide during sessions with your supervisees and which supervisory techniques you use.</w:t>
      </w:r>
      <w:r>
        <w:br/>
        <w:t xml:space="preserve">    To take part in this research, you </w:t>
      </w:r>
      <w:r>
        <w:rPr>
          <w:u w:val="single"/>
        </w:rPr>
        <w:t>must</w:t>
      </w:r>
      <w:r>
        <w:t> be a supervisor to CBT clinicians treating patients with depression.</w:t>
      </w:r>
    </w:p>
    <w:p w14:paraId="63876C0F" w14:textId="573399D6" w:rsidR="00462E63" w:rsidRDefault="00462E63" w:rsidP="000F7584">
      <w:pPr>
        <w:keepNext/>
        <w:spacing w:line="360" w:lineRule="auto"/>
      </w:pPr>
      <w:r>
        <w:t xml:space="preserve">    All answers are confidential and individual data will only be identifiable during data collection by the researchers involved. No information about individuals will be made available to your managers, employers, supervisors, etc. After data collection is complete, all email addresses will be deleted (unless you indicate that you would like a summary of the research findings). If this questionnaire causes any professional concerns, please speak to a colleague.</w:t>
      </w:r>
      <w:r>
        <w:br/>
        <w:t xml:space="preserve"> </w:t>
      </w:r>
      <w:r>
        <w:br/>
        <w:t xml:space="preserve">   If you have any questions or would like more information about this study, please contact me - Chloe Simpson-Southward (</w:t>
      </w:r>
      <w:hyperlink r:id="rId44">
        <w:r>
          <w:rPr>
            <w:color w:val="007AC0"/>
            <w:u w:val="single"/>
          </w:rPr>
          <w:t>crsimpson-southward1@sheffield.ac.uk</w:t>
        </w:r>
      </w:hyperlink>
      <w:r>
        <w:t>).</w:t>
      </w:r>
      <w:r>
        <w:br/>
        <w:t xml:space="preserve"> </w:t>
      </w:r>
      <w:r>
        <w:br/>
        <w:t xml:space="preserve">   This research has been approved by the University of Sheffield's Department of Psychology Ethics Committee and is supervised by Glenn Waller (</w:t>
      </w:r>
      <w:hyperlink r:id="rId45">
        <w:r>
          <w:rPr>
            <w:color w:val="007AC0"/>
            <w:u w:val="single"/>
          </w:rPr>
          <w:t>g.waller@sheffield.ac.uk</w:t>
        </w:r>
      </w:hyperlink>
      <w:r>
        <w:t>) and Gillian Hardy (</w:t>
      </w:r>
      <w:hyperlink r:id="rId46">
        <w:r>
          <w:rPr>
            <w:color w:val="007AC0"/>
            <w:u w:val="single"/>
          </w:rPr>
          <w:t>g.hardy@sheffield.ac.uk</w:t>
        </w:r>
      </w:hyperlink>
      <w:r>
        <w:t>).</w:t>
      </w:r>
    </w:p>
    <w:p w14:paraId="5D496519" w14:textId="77777777" w:rsidR="00462E63" w:rsidRDefault="00462E63" w:rsidP="000F7584">
      <w:pPr>
        <w:spacing w:line="360" w:lineRule="auto"/>
      </w:pPr>
    </w:p>
    <w:p w14:paraId="63B84E44" w14:textId="747915F7" w:rsidR="00462E63" w:rsidRDefault="00462E63" w:rsidP="000F7584">
      <w:pPr>
        <w:keepNext/>
        <w:spacing w:line="360" w:lineRule="auto"/>
      </w:pPr>
      <w:r>
        <w:t>If you are willing for your answers to be used in this study, please indicate consent below. Please note that all answers will be stored anonymously and your ID will not be disclosed to anybody else.</w:t>
      </w:r>
    </w:p>
    <w:p w14:paraId="309F6CE8" w14:textId="77777777" w:rsidR="00462E63" w:rsidRDefault="00462E63" w:rsidP="000F7584">
      <w:pPr>
        <w:pStyle w:val="ListParagraph"/>
        <w:keepNext/>
        <w:numPr>
          <w:ilvl w:val="0"/>
          <w:numId w:val="52"/>
        </w:numPr>
        <w:spacing w:after="0" w:line="360" w:lineRule="auto"/>
        <w:contextualSpacing w:val="0"/>
        <w:jc w:val="left"/>
      </w:pPr>
      <w:r>
        <w:t xml:space="preserve">I agree to my answers being used for research in this project and I understand that I can withdraw consent at any time </w:t>
      </w:r>
    </w:p>
    <w:p w14:paraId="6F21D0D4" w14:textId="77777777" w:rsidR="00462E63" w:rsidRDefault="00462E63" w:rsidP="000F7584">
      <w:pPr>
        <w:spacing w:line="360" w:lineRule="auto"/>
      </w:pPr>
    </w:p>
    <w:p w14:paraId="7F5538F7" w14:textId="77777777" w:rsidR="00462E63" w:rsidRDefault="00462E63" w:rsidP="000F7584">
      <w:pPr>
        <w:keepNext/>
        <w:spacing w:line="360" w:lineRule="auto"/>
      </w:pPr>
      <w:r>
        <w:lastRenderedPageBreak/>
        <w:t>Please indicate whether you would like a summary of the research findings</w:t>
      </w:r>
    </w:p>
    <w:p w14:paraId="037767ED" w14:textId="77777777" w:rsidR="00462E63" w:rsidRDefault="00462E63" w:rsidP="000F7584">
      <w:pPr>
        <w:pStyle w:val="ListParagraph"/>
        <w:keepNext/>
        <w:numPr>
          <w:ilvl w:val="0"/>
          <w:numId w:val="52"/>
        </w:numPr>
        <w:spacing w:after="0" w:line="360" w:lineRule="auto"/>
        <w:contextualSpacing w:val="0"/>
        <w:jc w:val="left"/>
      </w:pPr>
      <w:r>
        <w:t xml:space="preserve">Yes, I would like a summary </w:t>
      </w:r>
    </w:p>
    <w:p w14:paraId="16DA9CE2" w14:textId="77777777" w:rsidR="00462E63" w:rsidRDefault="00462E63" w:rsidP="000F7584">
      <w:pPr>
        <w:pStyle w:val="ListParagraph"/>
        <w:keepNext/>
        <w:numPr>
          <w:ilvl w:val="0"/>
          <w:numId w:val="52"/>
        </w:numPr>
        <w:spacing w:after="0" w:line="360" w:lineRule="auto"/>
        <w:contextualSpacing w:val="0"/>
        <w:jc w:val="left"/>
      </w:pPr>
      <w:r>
        <w:t xml:space="preserve">No, I would not like a summary </w:t>
      </w:r>
    </w:p>
    <w:p w14:paraId="5BC13CE7" w14:textId="77777777" w:rsidR="00462E63" w:rsidRDefault="00462E63" w:rsidP="000F7584">
      <w:pPr>
        <w:spacing w:line="360" w:lineRule="auto"/>
      </w:pPr>
    </w:p>
    <w:p w14:paraId="1F4A499B" w14:textId="77777777" w:rsidR="00462E63" w:rsidRDefault="00462E63" w:rsidP="000F7584">
      <w:pPr>
        <w:keepNext/>
        <w:spacing w:line="360" w:lineRule="auto"/>
      </w:pPr>
      <w:r>
        <w:t>My email address is (this will only be used to send you a summary of the findings):</w:t>
      </w:r>
    </w:p>
    <w:p w14:paraId="7FF6710F" w14:textId="77777777" w:rsidR="00462E63" w:rsidRDefault="00462E63" w:rsidP="000F7584">
      <w:pPr>
        <w:pStyle w:val="TextEntryLine"/>
        <w:spacing w:line="360" w:lineRule="auto"/>
        <w:ind w:firstLine="400"/>
      </w:pPr>
      <w:r>
        <w:t>________________________________________________________________</w:t>
      </w:r>
    </w:p>
    <w:p w14:paraId="2C5C3DAB" w14:textId="77777777" w:rsidR="00462E63" w:rsidRDefault="00462E63" w:rsidP="000F7584">
      <w:pPr>
        <w:spacing w:line="360" w:lineRule="auto"/>
      </w:pPr>
    </w:p>
    <w:p w14:paraId="69B68E47" w14:textId="77777777" w:rsidR="00462E63" w:rsidRDefault="00462E63" w:rsidP="000F7584">
      <w:pPr>
        <w:keepNext/>
        <w:spacing w:line="360" w:lineRule="auto"/>
      </w:pPr>
      <w:r>
        <w:t>Do you clinically supervise others?</w:t>
      </w:r>
    </w:p>
    <w:p w14:paraId="1B7D2CBC" w14:textId="77777777" w:rsidR="00462E63" w:rsidRDefault="00462E63" w:rsidP="000F7584">
      <w:pPr>
        <w:pStyle w:val="ListParagraph"/>
        <w:keepNext/>
        <w:numPr>
          <w:ilvl w:val="0"/>
          <w:numId w:val="52"/>
        </w:numPr>
        <w:spacing w:after="0" w:line="360" w:lineRule="auto"/>
        <w:contextualSpacing w:val="0"/>
        <w:jc w:val="left"/>
      </w:pPr>
      <w:r>
        <w:t xml:space="preserve">Yes </w:t>
      </w:r>
    </w:p>
    <w:p w14:paraId="2C29F433" w14:textId="77777777" w:rsidR="00462E63" w:rsidRDefault="00462E63" w:rsidP="000F7584">
      <w:pPr>
        <w:pStyle w:val="ListParagraph"/>
        <w:keepNext/>
        <w:numPr>
          <w:ilvl w:val="0"/>
          <w:numId w:val="52"/>
        </w:numPr>
        <w:spacing w:after="0" w:line="360" w:lineRule="auto"/>
        <w:contextualSpacing w:val="0"/>
        <w:jc w:val="left"/>
      </w:pPr>
      <w:r>
        <w:t xml:space="preserve">No </w:t>
      </w:r>
    </w:p>
    <w:p w14:paraId="608A2271" w14:textId="77777777" w:rsidR="00462E63" w:rsidRDefault="00462E63" w:rsidP="000F7584">
      <w:pPr>
        <w:spacing w:line="360" w:lineRule="auto"/>
      </w:pPr>
    </w:p>
    <w:p w14:paraId="2E5821B1" w14:textId="77777777" w:rsidR="00462E63" w:rsidRDefault="00462E63" w:rsidP="000F7584">
      <w:pPr>
        <w:keepNext/>
        <w:spacing w:line="360" w:lineRule="auto"/>
      </w:pPr>
      <w:r>
        <w:t>How many people do you clinically supervise?</w:t>
      </w:r>
    </w:p>
    <w:p w14:paraId="06115893" w14:textId="77777777" w:rsidR="00462E63" w:rsidRDefault="00462E63" w:rsidP="000F7584">
      <w:pPr>
        <w:pStyle w:val="TextEntryLine"/>
        <w:spacing w:line="360" w:lineRule="auto"/>
        <w:ind w:firstLine="400"/>
      </w:pPr>
      <w:r>
        <w:t>________________________________________________________________</w:t>
      </w:r>
    </w:p>
    <w:p w14:paraId="564F06CF" w14:textId="77777777" w:rsidR="00462E63" w:rsidRDefault="00462E63" w:rsidP="000F7584">
      <w:pPr>
        <w:keepNext/>
        <w:spacing w:line="360" w:lineRule="auto"/>
      </w:pPr>
      <w:r>
        <w:t xml:space="preserve">How many </w:t>
      </w:r>
      <w:r>
        <w:rPr>
          <w:b/>
        </w:rPr>
        <w:t xml:space="preserve">hours per month </w:t>
      </w:r>
      <w:r>
        <w:t>do you spend clinically supervising others?</w:t>
      </w:r>
    </w:p>
    <w:p w14:paraId="30C510F0" w14:textId="77777777" w:rsidR="00462E63" w:rsidRDefault="00462E63" w:rsidP="000F7584">
      <w:pPr>
        <w:pStyle w:val="TextEntryLine"/>
        <w:spacing w:line="360" w:lineRule="auto"/>
        <w:ind w:firstLine="400"/>
      </w:pPr>
      <w:r>
        <w:t>________________________________________________________________</w:t>
      </w:r>
    </w:p>
    <w:p w14:paraId="6DEFAE0A" w14:textId="77777777" w:rsidR="00462E63" w:rsidRDefault="00462E63" w:rsidP="000F7584">
      <w:pPr>
        <w:keepNext/>
        <w:spacing w:line="360" w:lineRule="auto"/>
      </w:pPr>
      <w:r>
        <w:t>Do you supervise clinicians treating patients with depression?</w:t>
      </w:r>
    </w:p>
    <w:p w14:paraId="1EF49757" w14:textId="77777777" w:rsidR="00462E63" w:rsidRDefault="00462E63" w:rsidP="000F7584">
      <w:pPr>
        <w:pStyle w:val="ListParagraph"/>
        <w:keepNext/>
        <w:numPr>
          <w:ilvl w:val="0"/>
          <w:numId w:val="52"/>
        </w:numPr>
        <w:spacing w:after="0" w:line="360" w:lineRule="auto"/>
        <w:contextualSpacing w:val="0"/>
        <w:jc w:val="left"/>
      </w:pPr>
      <w:r>
        <w:t xml:space="preserve">Yes </w:t>
      </w:r>
    </w:p>
    <w:p w14:paraId="285EB90D" w14:textId="77777777" w:rsidR="00462E63" w:rsidRDefault="00462E63" w:rsidP="000F7584">
      <w:pPr>
        <w:pStyle w:val="ListParagraph"/>
        <w:keepNext/>
        <w:numPr>
          <w:ilvl w:val="0"/>
          <w:numId w:val="52"/>
        </w:numPr>
        <w:spacing w:after="0" w:line="360" w:lineRule="auto"/>
        <w:contextualSpacing w:val="0"/>
        <w:jc w:val="left"/>
      </w:pPr>
      <w:r>
        <w:t xml:space="preserve">No </w:t>
      </w:r>
    </w:p>
    <w:p w14:paraId="48127641" w14:textId="77777777" w:rsidR="00462E63" w:rsidRDefault="00462E63" w:rsidP="000F7584">
      <w:pPr>
        <w:keepNext/>
        <w:spacing w:line="360" w:lineRule="auto"/>
      </w:pPr>
      <w:r>
        <w:rPr>
          <w:b/>
        </w:rPr>
        <w:t>Please tell us a little about yourself:</w:t>
      </w:r>
    </w:p>
    <w:p w14:paraId="57A72B47" w14:textId="2443749E" w:rsidR="00462E63" w:rsidRDefault="00462E63" w:rsidP="000F7584">
      <w:pPr>
        <w:keepNext/>
        <w:spacing w:line="360" w:lineRule="auto"/>
      </w:pPr>
      <w:r>
        <w:t>Your age: (years)</w:t>
      </w:r>
    </w:p>
    <w:p w14:paraId="43343642" w14:textId="77777777" w:rsidR="00462E63" w:rsidRDefault="00462E63" w:rsidP="000F7584">
      <w:pPr>
        <w:pStyle w:val="TextEntryLine"/>
        <w:spacing w:line="360" w:lineRule="auto"/>
        <w:ind w:firstLine="400"/>
      </w:pPr>
      <w:r>
        <w:t>________________________________________________________________</w:t>
      </w:r>
    </w:p>
    <w:p w14:paraId="4512584B" w14:textId="77777777" w:rsidR="00462E63" w:rsidRDefault="00462E63" w:rsidP="000F7584">
      <w:pPr>
        <w:spacing w:line="360" w:lineRule="auto"/>
      </w:pPr>
    </w:p>
    <w:p w14:paraId="6BD218AC" w14:textId="77777777" w:rsidR="00462E63" w:rsidRDefault="00462E63" w:rsidP="000F7584">
      <w:pPr>
        <w:keepNext/>
        <w:spacing w:line="360" w:lineRule="auto"/>
      </w:pPr>
      <w:r>
        <w:lastRenderedPageBreak/>
        <w:t>Your gender:</w:t>
      </w:r>
    </w:p>
    <w:p w14:paraId="7609801B" w14:textId="77777777" w:rsidR="00462E63" w:rsidRDefault="00462E63" w:rsidP="000F7584">
      <w:pPr>
        <w:pStyle w:val="ListParagraph"/>
        <w:keepNext/>
        <w:numPr>
          <w:ilvl w:val="0"/>
          <w:numId w:val="52"/>
        </w:numPr>
        <w:spacing w:after="0" w:line="360" w:lineRule="auto"/>
        <w:contextualSpacing w:val="0"/>
        <w:jc w:val="left"/>
      </w:pPr>
      <w:r>
        <w:t xml:space="preserve">Male </w:t>
      </w:r>
    </w:p>
    <w:p w14:paraId="6584954D" w14:textId="77777777" w:rsidR="00462E63" w:rsidRDefault="00462E63" w:rsidP="000F7584">
      <w:pPr>
        <w:pStyle w:val="ListParagraph"/>
        <w:keepNext/>
        <w:numPr>
          <w:ilvl w:val="0"/>
          <w:numId w:val="52"/>
        </w:numPr>
        <w:spacing w:after="0" w:line="360" w:lineRule="auto"/>
        <w:contextualSpacing w:val="0"/>
        <w:jc w:val="left"/>
      </w:pPr>
      <w:r>
        <w:t xml:space="preserve">Female </w:t>
      </w:r>
    </w:p>
    <w:p w14:paraId="25253E08" w14:textId="77777777" w:rsidR="00462E63" w:rsidRDefault="00462E63" w:rsidP="000F7584">
      <w:pPr>
        <w:keepNext/>
        <w:spacing w:line="360" w:lineRule="auto"/>
      </w:pPr>
    </w:p>
    <w:p w14:paraId="559FDC8B" w14:textId="17EAC8C7" w:rsidR="00462E63" w:rsidRDefault="00462E63" w:rsidP="000F7584">
      <w:pPr>
        <w:keepNext/>
        <w:spacing w:line="360" w:lineRule="auto"/>
      </w:pPr>
      <w:r>
        <w:t>What country are you working in?</w:t>
      </w:r>
    </w:p>
    <w:p w14:paraId="70DC92B1" w14:textId="77777777" w:rsidR="00462E63" w:rsidRDefault="00462E63" w:rsidP="000F7584">
      <w:pPr>
        <w:pStyle w:val="TextEntryLine"/>
        <w:spacing w:line="360" w:lineRule="auto"/>
        <w:ind w:firstLine="400"/>
      </w:pPr>
      <w:r>
        <w:t>_____________________________________________________________</w:t>
      </w:r>
    </w:p>
    <w:p w14:paraId="3517078D" w14:textId="04B673D3" w:rsidR="00462E63" w:rsidRDefault="00462E63" w:rsidP="000F7584">
      <w:pPr>
        <w:keepNext/>
        <w:spacing w:line="360" w:lineRule="auto"/>
      </w:pPr>
      <w:r>
        <w:t>What country did you do your therapy training in?</w:t>
      </w:r>
    </w:p>
    <w:p w14:paraId="4F897A99" w14:textId="77777777" w:rsidR="00462E63" w:rsidRDefault="00462E63" w:rsidP="000F7584">
      <w:pPr>
        <w:pStyle w:val="TextEntryLine"/>
        <w:spacing w:line="360" w:lineRule="auto"/>
        <w:ind w:firstLine="400"/>
      </w:pPr>
      <w:r>
        <w:t>________________________________________________________________</w:t>
      </w:r>
    </w:p>
    <w:p w14:paraId="68311945" w14:textId="77777777" w:rsidR="00462E63" w:rsidRDefault="00462E63" w:rsidP="000F7584">
      <w:pPr>
        <w:keepNext/>
        <w:spacing w:line="360" w:lineRule="auto"/>
      </w:pPr>
      <w:r>
        <w:t>What is your background profession?</w:t>
      </w:r>
    </w:p>
    <w:p w14:paraId="3EA3562A" w14:textId="77777777" w:rsidR="00462E63" w:rsidRDefault="00462E63" w:rsidP="000F7584">
      <w:pPr>
        <w:pStyle w:val="ListParagraph"/>
        <w:keepNext/>
        <w:numPr>
          <w:ilvl w:val="0"/>
          <w:numId w:val="52"/>
        </w:numPr>
        <w:spacing w:after="0" w:line="360" w:lineRule="auto"/>
        <w:contextualSpacing w:val="0"/>
        <w:jc w:val="left"/>
      </w:pPr>
      <w:r>
        <w:t xml:space="preserve">Nurse </w:t>
      </w:r>
    </w:p>
    <w:p w14:paraId="1B2D6AE4" w14:textId="77777777" w:rsidR="00462E63" w:rsidRDefault="00462E63" w:rsidP="000F7584">
      <w:pPr>
        <w:pStyle w:val="ListParagraph"/>
        <w:keepNext/>
        <w:numPr>
          <w:ilvl w:val="0"/>
          <w:numId w:val="52"/>
        </w:numPr>
        <w:spacing w:after="0" w:line="360" w:lineRule="auto"/>
        <w:contextualSpacing w:val="0"/>
        <w:jc w:val="left"/>
      </w:pPr>
      <w:r>
        <w:t xml:space="preserve">Social Worker </w:t>
      </w:r>
    </w:p>
    <w:p w14:paraId="386A7A4E" w14:textId="77777777" w:rsidR="00462E63" w:rsidRDefault="00462E63" w:rsidP="000F7584">
      <w:pPr>
        <w:pStyle w:val="ListParagraph"/>
        <w:keepNext/>
        <w:numPr>
          <w:ilvl w:val="0"/>
          <w:numId w:val="52"/>
        </w:numPr>
        <w:spacing w:after="0" w:line="360" w:lineRule="auto"/>
        <w:contextualSpacing w:val="0"/>
        <w:jc w:val="left"/>
      </w:pPr>
      <w:r>
        <w:t xml:space="preserve">Occupational Therapist </w:t>
      </w:r>
    </w:p>
    <w:p w14:paraId="67E2D521" w14:textId="77777777" w:rsidR="00462E63" w:rsidRDefault="00462E63" w:rsidP="000F7584">
      <w:pPr>
        <w:pStyle w:val="ListParagraph"/>
        <w:keepNext/>
        <w:numPr>
          <w:ilvl w:val="0"/>
          <w:numId w:val="52"/>
        </w:numPr>
        <w:spacing w:after="0" w:line="360" w:lineRule="auto"/>
        <w:contextualSpacing w:val="0"/>
        <w:jc w:val="left"/>
      </w:pPr>
      <w:r>
        <w:t xml:space="preserve">Clinical Psychologist </w:t>
      </w:r>
    </w:p>
    <w:p w14:paraId="0417482E" w14:textId="77777777" w:rsidR="00462E63" w:rsidRDefault="00462E63" w:rsidP="000F7584">
      <w:pPr>
        <w:pStyle w:val="ListParagraph"/>
        <w:keepNext/>
        <w:numPr>
          <w:ilvl w:val="0"/>
          <w:numId w:val="52"/>
        </w:numPr>
        <w:spacing w:after="0" w:line="360" w:lineRule="auto"/>
        <w:contextualSpacing w:val="0"/>
        <w:jc w:val="left"/>
      </w:pPr>
      <w:r>
        <w:t xml:space="preserve">Counselling Psychologist </w:t>
      </w:r>
    </w:p>
    <w:p w14:paraId="0C38C37D" w14:textId="77777777" w:rsidR="00462E63" w:rsidRDefault="00462E63" w:rsidP="000F7584">
      <w:pPr>
        <w:pStyle w:val="ListParagraph"/>
        <w:keepNext/>
        <w:numPr>
          <w:ilvl w:val="0"/>
          <w:numId w:val="52"/>
        </w:numPr>
        <w:spacing w:after="0" w:line="360" w:lineRule="auto"/>
        <w:contextualSpacing w:val="0"/>
        <w:jc w:val="left"/>
      </w:pPr>
      <w:r>
        <w:t xml:space="preserve">Psychiatrist </w:t>
      </w:r>
    </w:p>
    <w:p w14:paraId="78B03D6A" w14:textId="77777777" w:rsidR="00462E63" w:rsidRDefault="00462E63" w:rsidP="000F7584">
      <w:pPr>
        <w:pStyle w:val="ListParagraph"/>
        <w:keepNext/>
        <w:numPr>
          <w:ilvl w:val="0"/>
          <w:numId w:val="52"/>
        </w:numPr>
        <w:spacing w:after="0" w:line="360" w:lineRule="auto"/>
        <w:contextualSpacing w:val="0"/>
        <w:jc w:val="left"/>
      </w:pPr>
      <w:r>
        <w:t xml:space="preserve">Health Trainer </w:t>
      </w:r>
    </w:p>
    <w:p w14:paraId="1C3115C1" w14:textId="77777777" w:rsidR="00462E63" w:rsidRDefault="00462E63" w:rsidP="000F7584">
      <w:pPr>
        <w:pStyle w:val="ListParagraph"/>
        <w:keepNext/>
        <w:numPr>
          <w:ilvl w:val="0"/>
          <w:numId w:val="52"/>
        </w:numPr>
        <w:spacing w:after="0" w:line="360" w:lineRule="auto"/>
        <w:contextualSpacing w:val="0"/>
        <w:jc w:val="left"/>
      </w:pPr>
      <w:r>
        <w:t xml:space="preserve">IAPT high intensity worker </w:t>
      </w:r>
    </w:p>
    <w:p w14:paraId="221C4589" w14:textId="77777777" w:rsidR="00462E63" w:rsidRDefault="00462E63" w:rsidP="000F7584">
      <w:pPr>
        <w:pStyle w:val="ListParagraph"/>
        <w:keepNext/>
        <w:numPr>
          <w:ilvl w:val="0"/>
          <w:numId w:val="52"/>
        </w:numPr>
        <w:spacing w:after="0" w:line="360" w:lineRule="auto"/>
        <w:contextualSpacing w:val="0"/>
        <w:jc w:val="left"/>
      </w:pPr>
      <w:r>
        <w:t xml:space="preserve">Psychological Wellbeing Practitioner </w:t>
      </w:r>
    </w:p>
    <w:p w14:paraId="31A469FE" w14:textId="77777777" w:rsidR="00462E63" w:rsidRDefault="00462E63" w:rsidP="000F7584">
      <w:pPr>
        <w:pStyle w:val="ListParagraph"/>
        <w:keepNext/>
        <w:numPr>
          <w:ilvl w:val="0"/>
          <w:numId w:val="52"/>
        </w:numPr>
        <w:spacing w:after="0" w:line="360" w:lineRule="auto"/>
        <w:contextualSpacing w:val="0"/>
        <w:jc w:val="left"/>
      </w:pPr>
      <w:r>
        <w:t>Other (please specify) ________________________________________________</w:t>
      </w:r>
    </w:p>
    <w:p w14:paraId="0B830B38" w14:textId="77777777" w:rsidR="00462E63" w:rsidRDefault="00462E63" w:rsidP="000F7584">
      <w:pPr>
        <w:spacing w:line="360" w:lineRule="auto"/>
      </w:pPr>
    </w:p>
    <w:p w14:paraId="3D5223EF" w14:textId="77777777" w:rsidR="00462E63" w:rsidRDefault="00462E63" w:rsidP="000F7584">
      <w:pPr>
        <w:spacing w:line="360" w:lineRule="auto"/>
      </w:pPr>
    </w:p>
    <w:p w14:paraId="13395155" w14:textId="77777777" w:rsidR="00462E63" w:rsidRDefault="00462E63" w:rsidP="000F7584">
      <w:pPr>
        <w:keepNext/>
        <w:spacing w:line="360" w:lineRule="auto"/>
      </w:pPr>
      <w:r>
        <w:lastRenderedPageBreak/>
        <w:t>How long have you been qualified? (in years)</w:t>
      </w:r>
    </w:p>
    <w:p w14:paraId="18F1E4A0" w14:textId="77777777" w:rsidR="00462E63" w:rsidRDefault="00462E63" w:rsidP="000F7584">
      <w:pPr>
        <w:pStyle w:val="TextEntryLine"/>
        <w:spacing w:line="360" w:lineRule="auto"/>
        <w:ind w:firstLine="400"/>
      </w:pPr>
      <w:r>
        <w:t>________________________________________________________________</w:t>
      </w:r>
    </w:p>
    <w:p w14:paraId="32BAA7B8" w14:textId="5ED2D06D" w:rsidR="00462E63" w:rsidRDefault="00462E63" w:rsidP="000F7584">
      <w:pPr>
        <w:keepNext/>
        <w:spacing w:line="360" w:lineRule="auto"/>
      </w:pPr>
      <w:r>
        <w:t>Are you accredited as a therapist by your national CBT organisation (e.g. BABCP in the UK)?</w:t>
      </w:r>
    </w:p>
    <w:p w14:paraId="3DC10A0C" w14:textId="77777777" w:rsidR="00462E63" w:rsidRDefault="00462E63" w:rsidP="000F7584">
      <w:pPr>
        <w:pStyle w:val="ListParagraph"/>
        <w:keepNext/>
        <w:numPr>
          <w:ilvl w:val="0"/>
          <w:numId w:val="52"/>
        </w:numPr>
        <w:spacing w:after="0" w:line="360" w:lineRule="auto"/>
        <w:contextualSpacing w:val="0"/>
        <w:jc w:val="left"/>
      </w:pPr>
      <w:r>
        <w:t xml:space="preserve">Yes </w:t>
      </w:r>
    </w:p>
    <w:p w14:paraId="31AB3DC9" w14:textId="77777777" w:rsidR="00462E63" w:rsidRDefault="00462E63" w:rsidP="000F7584">
      <w:pPr>
        <w:pStyle w:val="ListParagraph"/>
        <w:keepNext/>
        <w:numPr>
          <w:ilvl w:val="0"/>
          <w:numId w:val="52"/>
        </w:numPr>
        <w:spacing w:after="0" w:line="360" w:lineRule="auto"/>
        <w:contextualSpacing w:val="0"/>
        <w:jc w:val="left"/>
      </w:pPr>
      <w:r>
        <w:t xml:space="preserve">No </w:t>
      </w:r>
    </w:p>
    <w:p w14:paraId="116E102E" w14:textId="77777777" w:rsidR="00462E63" w:rsidRDefault="00462E63" w:rsidP="000F7584">
      <w:pPr>
        <w:pStyle w:val="ListParagraph"/>
        <w:keepNext/>
        <w:numPr>
          <w:ilvl w:val="0"/>
          <w:numId w:val="52"/>
        </w:numPr>
        <w:spacing w:after="0" w:line="360" w:lineRule="auto"/>
        <w:contextualSpacing w:val="0"/>
        <w:jc w:val="left"/>
      </w:pPr>
      <w:r>
        <w:t xml:space="preserve">Provisionally </w:t>
      </w:r>
    </w:p>
    <w:p w14:paraId="466F651D" w14:textId="77777777" w:rsidR="00462E63" w:rsidRDefault="00462E63" w:rsidP="000F7584">
      <w:pPr>
        <w:spacing w:line="360" w:lineRule="auto"/>
      </w:pPr>
    </w:p>
    <w:p w14:paraId="3A86F06A" w14:textId="77777777" w:rsidR="00462E63" w:rsidRDefault="00462E63" w:rsidP="000F7584">
      <w:pPr>
        <w:keepNext/>
        <w:spacing w:line="360" w:lineRule="auto"/>
      </w:pPr>
      <w:r>
        <w:t>How long have you been accredited? (in years)</w:t>
      </w:r>
    </w:p>
    <w:p w14:paraId="65C1D50B" w14:textId="77777777" w:rsidR="00462E63" w:rsidRDefault="00462E63" w:rsidP="000F7584">
      <w:pPr>
        <w:pStyle w:val="TextEntryLine"/>
        <w:spacing w:line="360" w:lineRule="auto"/>
        <w:ind w:firstLine="400"/>
      </w:pPr>
      <w:r>
        <w:t>________________________________________________________________</w:t>
      </w:r>
    </w:p>
    <w:p w14:paraId="02712FC3" w14:textId="1A23E79D" w:rsidR="00462E63" w:rsidRDefault="00462E63" w:rsidP="000F7584">
      <w:pPr>
        <w:keepNext/>
        <w:spacing w:line="360" w:lineRule="auto"/>
      </w:pPr>
      <w:r>
        <w:t>Are you accredited as a supervisor by your national CBT organisation?</w:t>
      </w:r>
    </w:p>
    <w:p w14:paraId="4B41F247" w14:textId="77777777" w:rsidR="00462E63" w:rsidRDefault="00462E63" w:rsidP="000F7584">
      <w:pPr>
        <w:pStyle w:val="ListParagraph"/>
        <w:keepNext/>
        <w:numPr>
          <w:ilvl w:val="0"/>
          <w:numId w:val="52"/>
        </w:numPr>
        <w:spacing w:after="0" w:line="360" w:lineRule="auto"/>
        <w:contextualSpacing w:val="0"/>
        <w:jc w:val="left"/>
      </w:pPr>
      <w:r>
        <w:t xml:space="preserve">Yes </w:t>
      </w:r>
    </w:p>
    <w:p w14:paraId="3BF86E9A" w14:textId="77777777" w:rsidR="00462E63" w:rsidRDefault="00462E63" w:rsidP="000F7584">
      <w:pPr>
        <w:pStyle w:val="ListParagraph"/>
        <w:keepNext/>
        <w:numPr>
          <w:ilvl w:val="0"/>
          <w:numId w:val="52"/>
        </w:numPr>
        <w:spacing w:after="0" w:line="360" w:lineRule="auto"/>
        <w:contextualSpacing w:val="0"/>
        <w:jc w:val="left"/>
      </w:pPr>
      <w:r>
        <w:t xml:space="preserve">No </w:t>
      </w:r>
    </w:p>
    <w:p w14:paraId="44B7EE80" w14:textId="77777777" w:rsidR="00462E63" w:rsidRDefault="00462E63" w:rsidP="000F7584">
      <w:pPr>
        <w:pStyle w:val="ListParagraph"/>
        <w:keepNext/>
        <w:numPr>
          <w:ilvl w:val="0"/>
          <w:numId w:val="52"/>
        </w:numPr>
        <w:spacing w:after="0" w:line="360" w:lineRule="auto"/>
        <w:contextualSpacing w:val="0"/>
        <w:jc w:val="left"/>
      </w:pPr>
      <w:r>
        <w:t xml:space="preserve">Provisionally </w:t>
      </w:r>
    </w:p>
    <w:p w14:paraId="06ADF10F" w14:textId="268807E3" w:rsidR="00462E63" w:rsidRDefault="00462E63" w:rsidP="000F7584">
      <w:pPr>
        <w:keepNext/>
        <w:spacing w:line="360" w:lineRule="auto"/>
      </w:pPr>
      <w:r>
        <w:t>How long have you been accredited? (in years)</w:t>
      </w:r>
    </w:p>
    <w:p w14:paraId="5A058385" w14:textId="77777777" w:rsidR="00462E63" w:rsidRDefault="00462E63" w:rsidP="000F7584">
      <w:pPr>
        <w:pStyle w:val="TextEntryLine"/>
        <w:spacing w:line="360" w:lineRule="auto"/>
        <w:ind w:firstLine="400"/>
      </w:pPr>
      <w:r>
        <w:t>________________________________________________________________</w:t>
      </w:r>
    </w:p>
    <w:p w14:paraId="539ED1B5" w14:textId="6F313C82" w:rsidR="00462E63" w:rsidRDefault="00462E63" w:rsidP="000F7584">
      <w:pPr>
        <w:keepNext/>
        <w:spacing w:line="360" w:lineRule="auto"/>
      </w:pPr>
      <w:r>
        <w:rPr>
          <w:b/>
        </w:rPr>
        <w:t>Most of the following set of questions will address your practice when working with depression:</w:t>
      </w:r>
    </w:p>
    <w:p w14:paraId="71A7FAEC" w14:textId="3CCDAEDC" w:rsidR="00462E63" w:rsidRDefault="00462E63" w:rsidP="000F7584">
      <w:pPr>
        <w:keepNext/>
        <w:spacing w:line="360" w:lineRule="auto"/>
      </w:pPr>
      <w:r>
        <w:t>How long have you been using CBT to treat patients with depression? (in years)</w:t>
      </w:r>
    </w:p>
    <w:p w14:paraId="54521DCE" w14:textId="77777777" w:rsidR="00462E63" w:rsidRDefault="00462E63" w:rsidP="000F7584">
      <w:pPr>
        <w:pStyle w:val="TextEntryLine"/>
        <w:spacing w:line="360" w:lineRule="auto"/>
        <w:ind w:firstLine="400"/>
      </w:pPr>
      <w:r>
        <w:t>________________________________________________________________</w:t>
      </w:r>
    </w:p>
    <w:p w14:paraId="6D4E3B3B" w14:textId="77777777" w:rsidR="00462E63" w:rsidRDefault="00462E63" w:rsidP="000F7584">
      <w:pPr>
        <w:spacing w:line="360" w:lineRule="auto"/>
      </w:pPr>
    </w:p>
    <w:p w14:paraId="6D4326A4" w14:textId="77777777" w:rsidR="00462E63" w:rsidRDefault="00462E63" w:rsidP="000F7584">
      <w:pPr>
        <w:keepNext/>
        <w:spacing w:line="360" w:lineRule="auto"/>
      </w:pPr>
      <w:r>
        <w:lastRenderedPageBreak/>
        <w:t xml:space="preserve">On average, how many patients, </w:t>
      </w:r>
      <w:r>
        <w:rPr>
          <w:b/>
        </w:rPr>
        <w:t>regardless of diagnosis</w:t>
      </w:r>
      <w:r>
        <w:t>, do you have on your caseload at any given time? (please give your answer as the number of cases)</w:t>
      </w:r>
    </w:p>
    <w:p w14:paraId="442E441C" w14:textId="77777777" w:rsidR="00462E63" w:rsidRDefault="00462E63" w:rsidP="000F7584">
      <w:pPr>
        <w:pStyle w:val="TextEntryLine"/>
        <w:spacing w:line="360" w:lineRule="auto"/>
        <w:ind w:firstLine="400"/>
      </w:pPr>
      <w:r>
        <w:t>________________________________________________________________</w:t>
      </w:r>
    </w:p>
    <w:p w14:paraId="63BF0E12" w14:textId="2E88412B" w:rsidR="00462E63" w:rsidRDefault="00462E63" w:rsidP="000F7584">
      <w:pPr>
        <w:keepNext/>
        <w:spacing w:line="360" w:lineRule="auto"/>
      </w:pPr>
      <w:r>
        <w:t xml:space="preserve">On average, what percentage of your client caseload have a </w:t>
      </w:r>
      <w:r>
        <w:rPr>
          <w:b/>
        </w:rPr>
        <w:t xml:space="preserve">primary </w:t>
      </w:r>
      <w:r>
        <w:t>diagnosis of depression?</w:t>
      </w:r>
    </w:p>
    <w:p w14:paraId="338BBE1A" w14:textId="77777777" w:rsidR="00462E63" w:rsidRDefault="00462E63" w:rsidP="000F7584">
      <w:pPr>
        <w:pStyle w:val="TextEntryLine"/>
        <w:spacing w:line="360" w:lineRule="auto"/>
        <w:ind w:firstLine="400"/>
      </w:pPr>
      <w:r>
        <w:t>_____________________________________________________________</w:t>
      </w:r>
    </w:p>
    <w:p w14:paraId="15021A85" w14:textId="1FF389C2" w:rsidR="00462E63" w:rsidRDefault="00462E63" w:rsidP="000F7584">
      <w:pPr>
        <w:keepNext/>
        <w:spacing w:line="360" w:lineRule="auto"/>
      </w:pPr>
      <w:r>
        <w:t xml:space="preserve">On average, what percentage of your client caseload have a </w:t>
      </w:r>
      <w:r>
        <w:rPr>
          <w:b/>
        </w:rPr>
        <w:t xml:space="preserve">secondary </w:t>
      </w:r>
      <w:r>
        <w:t>diagnosis of depression (alongside another major referring diagnosis)?</w:t>
      </w:r>
    </w:p>
    <w:p w14:paraId="0CC02D6C" w14:textId="77777777" w:rsidR="00462E63" w:rsidRDefault="00462E63" w:rsidP="000F7584">
      <w:pPr>
        <w:pStyle w:val="TextEntryLine"/>
        <w:spacing w:line="360" w:lineRule="auto"/>
        <w:ind w:firstLine="400"/>
      </w:pPr>
      <w:r>
        <w:t>________________________________________________________________</w:t>
      </w:r>
    </w:p>
    <w:p w14:paraId="439B3830" w14:textId="77777777" w:rsidR="00462E63" w:rsidRDefault="00462E63" w:rsidP="000F7584">
      <w:pPr>
        <w:spacing w:line="360" w:lineRule="auto"/>
      </w:pPr>
    </w:p>
    <w:p w14:paraId="34C76CDE" w14:textId="77777777" w:rsidR="00462E63" w:rsidRDefault="00462E63" w:rsidP="000F7584">
      <w:pPr>
        <w:keepNext/>
        <w:spacing w:line="360" w:lineRule="auto"/>
      </w:pPr>
      <w:r>
        <w:t>Do you use treatment manuals on a regular basis for your work with depression?</w:t>
      </w:r>
    </w:p>
    <w:p w14:paraId="61A85BE9" w14:textId="77777777" w:rsidR="00462E63" w:rsidRDefault="00462E63" w:rsidP="000F7584">
      <w:pPr>
        <w:pStyle w:val="ListParagraph"/>
        <w:keepNext/>
        <w:numPr>
          <w:ilvl w:val="0"/>
          <w:numId w:val="52"/>
        </w:numPr>
        <w:spacing w:after="0" w:line="360" w:lineRule="auto"/>
        <w:contextualSpacing w:val="0"/>
        <w:jc w:val="left"/>
      </w:pPr>
      <w:r>
        <w:t xml:space="preserve">Yes </w:t>
      </w:r>
    </w:p>
    <w:p w14:paraId="12DADCA1" w14:textId="77777777" w:rsidR="00462E63" w:rsidRDefault="00462E63" w:rsidP="000F7584">
      <w:pPr>
        <w:pStyle w:val="ListParagraph"/>
        <w:keepNext/>
        <w:numPr>
          <w:ilvl w:val="0"/>
          <w:numId w:val="52"/>
        </w:numPr>
        <w:spacing w:after="0" w:line="360" w:lineRule="auto"/>
        <w:contextualSpacing w:val="0"/>
        <w:jc w:val="left"/>
      </w:pPr>
      <w:r>
        <w:t xml:space="preserve">No </w:t>
      </w:r>
    </w:p>
    <w:p w14:paraId="714EBDF0" w14:textId="77777777" w:rsidR="00462E63" w:rsidRDefault="00462E63" w:rsidP="000F7584">
      <w:pPr>
        <w:spacing w:line="360" w:lineRule="auto"/>
      </w:pPr>
    </w:p>
    <w:p w14:paraId="74D99BE4" w14:textId="77777777" w:rsidR="00462E63" w:rsidRDefault="00462E63" w:rsidP="000F7584">
      <w:pPr>
        <w:keepNext/>
        <w:spacing w:line="360" w:lineRule="auto"/>
      </w:pPr>
      <w:r>
        <w:t>How many do you use?</w:t>
      </w:r>
    </w:p>
    <w:p w14:paraId="5B3E75D5" w14:textId="77777777" w:rsidR="00462E63" w:rsidRDefault="00462E63" w:rsidP="000F7584">
      <w:pPr>
        <w:pStyle w:val="ListParagraph"/>
        <w:keepNext/>
        <w:numPr>
          <w:ilvl w:val="0"/>
          <w:numId w:val="52"/>
        </w:numPr>
        <w:spacing w:after="0" w:line="360" w:lineRule="auto"/>
        <w:contextualSpacing w:val="0"/>
        <w:jc w:val="left"/>
      </w:pPr>
      <w:r>
        <w:t xml:space="preserve">1-2 </w:t>
      </w:r>
    </w:p>
    <w:p w14:paraId="063B5DE6" w14:textId="77777777" w:rsidR="00462E63" w:rsidRDefault="00462E63" w:rsidP="000F7584">
      <w:pPr>
        <w:pStyle w:val="ListParagraph"/>
        <w:keepNext/>
        <w:numPr>
          <w:ilvl w:val="0"/>
          <w:numId w:val="52"/>
        </w:numPr>
        <w:spacing w:after="0" w:line="360" w:lineRule="auto"/>
        <w:contextualSpacing w:val="0"/>
        <w:jc w:val="left"/>
      </w:pPr>
      <w:r>
        <w:t xml:space="preserve">3-4 </w:t>
      </w:r>
    </w:p>
    <w:p w14:paraId="2E8DFB26" w14:textId="77777777" w:rsidR="00462E63" w:rsidRDefault="00462E63" w:rsidP="000F7584">
      <w:pPr>
        <w:pStyle w:val="ListParagraph"/>
        <w:keepNext/>
        <w:numPr>
          <w:ilvl w:val="0"/>
          <w:numId w:val="52"/>
        </w:numPr>
        <w:spacing w:after="0" w:line="360" w:lineRule="auto"/>
        <w:contextualSpacing w:val="0"/>
        <w:jc w:val="left"/>
      </w:pPr>
      <w:r>
        <w:t xml:space="preserve">5+ </w:t>
      </w:r>
    </w:p>
    <w:p w14:paraId="17E8BC4B" w14:textId="77777777" w:rsidR="00462E63" w:rsidRDefault="00462E63" w:rsidP="000F7584">
      <w:pPr>
        <w:spacing w:line="360" w:lineRule="auto"/>
      </w:pPr>
    </w:p>
    <w:p w14:paraId="568C5AC4" w14:textId="77777777" w:rsidR="00462E63" w:rsidRDefault="00462E63" w:rsidP="000F7584">
      <w:pPr>
        <w:keepNext/>
        <w:spacing w:line="360" w:lineRule="auto"/>
      </w:pPr>
      <w:r>
        <w:t>Please specify the one that you use most commonly (lead author and title):</w:t>
      </w:r>
    </w:p>
    <w:p w14:paraId="61830304" w14:textId="77777777" w:rsidR="00462E63" w:rsidRDefault="00462E63" w:rsidP="000F7584">
      <w:pPr>
        <w:pStyle w:val="TextEntryLine"/>
        <w:spacing w:line="360" w:lineRule="auto"/>
        <w:ind w:firstLine="400"/>
      </w:pPr>
      <w:r>
        <w:t>________________________________________________________________</w:t>
      </w:r>
    </w:p>
    <w:p w14:paraId="64A0DFA7" w14:textId="77777777" w:rsidR="00CE04C8" w:rsidRDefault="00CE04C8" w:rsidP="000F7584">
      <w:pPr>
        <w:keepNext/>
        <w:spacing w:line="360" w:lineRule="auto"/>
        <w:rPr>
          <w:b/>
        </w:rPr>
      </w:pPr>
    </w:p>
    <w:p w14:paraId="7A17AD48" w14:textId="39574939" w:rsidR="00462E63" w:rsidRDefault="00462E63" w:rsidP="000F7584">
      <w:pPr>
        <w:keepNext/>
        <w:spacing w:line="360" w:lineRule="auto"/>
      </w:pPr>
      <w:r>
        <w:rPr>
          <w:b/>
        </w:rPr>
        <w:t>We would like you to imagine that a supervisee is bringing to you a case of a patient with depression. We are interested in the guidance that you would give this supervisee in a supervision session.</w:t>
      </w:r>
      <w:r>
        <w:rPr>
          <w:b/>
        </w:rPr>
        <w:br/>
        <w:t xml:space="preserve"> </w:t>
      </w:r>
      <w:r>
        <w:rPr>
          <w:b/>
        </w:rPr>
        <w:br/>
        <w:t xml:space="preserve"> Over the next few pages, you will be presented with three clinical cases. For each case, please answer the questions that follow regarding the issues that you would focus on in supervision.</w:t>
      </w:r>
    </w:p>
    <w:p w14:paraId="795F9485" w14:textId="77777777" w:rsidR="00462E63" w:rsidRDefault="00462E63" w:rsidP="000F7584">
      <w:pPr>
        <w:spacing w:line="360" w:lineRule="auto"/>
      </w:pPr>
    </w:p>
    <w:p w14:paraId="357EBB97" w14:textId="77777777" w:rsidR="00930E7C" w:rsidRDefault="00462E63" w:rsidP="000F7584">
      <w:pPr>
        <w:keepNext/>
        <w:spacing w:line="360" w:lineRule="auto"/>
      </w:pPr>
      <w:r>
        <w:t xml:space="preserve">Your supervisee, William, is 42. He has been a qualified therapist for 15 years. He is usually quite confident in his abilities as a therapist but he is noticeably anxious in your supervision session today. During your session, it transpires that he is concerned about a depressed patient, Mary, who is halfway through her course of treatment. </w:t>
      </w:r>
    </w:p>
    <w:p w14:paraId="1CFF984A" w14:textId="04FD8251" w:rsidR="00930E7C" w:rsidRDefault="00462E63" w:rsidP="000F7584">
      <w:pPr>
        <w:keepNext/>
        <w:spacing w:line="360" w:lineRule="auto"/>
      </w:pPr>
      <w:r>
        <w:t xml:space="preserve">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  </w:t>
      </w:r>
    </w:p>
    <w:p w14:paraId="62D1ABC6" w14:textId="26954EA8" w:rsidR="00462E63" w:rsidRDefault="00462E63" w:rsidP="000F7584">
      <w:pPr>
        <w:keepNext/>
        <w:spacing w:line="360" w:lineRule="auto"/>
      </w:pPr>
      <w:r>
        <w:t>You had previously suggested to William that he should focus on behavioural activation with Mary, but this approach is not working. The problem appears to be that Mary is not engaging in the behavioural exercises that have been suggested. William is concerned that if he pushes Mary to engage in these behavioural aspects of therapy, she will be reluctant to come to sessions and may drop out of therapy altogether. William is deeply worried about Mary’s welfare if she does decide to end her treatment.</w:t>
      </w:r>
    </w:p>
    <w:p w14:paraId="20B7B5B4" w14:textId="77777777" w:rsidR="00462E63" w:rsidRDefault="00462E63" w:rsidP="000F7584">
      <w:pPr>
        <w:spacing w:line="360" w:lineRule="auto"/>
      </w:pPr>
    </w:p>
    <w:p w14:paraId="42C28E03" w14:textId="77777777" w:rsidR="00462E63" w:rsidRDefault="00462E63" w:rsidP="000F7584">
      <w:pPr>
        <w:keepNext/>
        <w:spacing w:line="360" w:lineRule="auto"/>
      </w:pPr>
      <w:r>
        <w:rPr>
          <w:b/>
        </w:rPr>
        <w:lastRenderedPageBreak/>
        <w:t>When advising William of how to proceed in therapy with Mary, to what extent would you focus them on each of the following aspects of therapy?</w:t>
      </w:r>
      <w:r>
        <w:t xml:space="preserve">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797"/>
        <w:gridCol w:w="373"/>
        <w:gridCol w:w="400"/>
        <w:gridCol w:w="400"/>
        <w:gridCol w:w="400"/>
        <w:gridCol w:w="400"/>
        <w:gridCol w:w="400"/>
        <w:gridCol w:w="400"/>
        <w:gridCol w:w="400"/>
        <w:gridCol w:w="400"/>
        <w:gridCol w:w="400"/>
        <w:gridCol w:w="428"/>
      </w:tblGrid>
      <w:tr w:rsidR="00462E63" w14:paraId="287FC473" w14:textId="77777777" w:rsidTr="00DE0366">
        <w:tc>
          <w:tcPr>
            <w:tcW w:w="4788" w:type="dxa"/>
          </w:tcPr>
          <w:p w14:paraId="3CCED7D7" w14:textId="77777777" w:rsidR="00462E63" w:rsidRDefault="00462E63" w:rsidP="000F7584">
            <w:pPr>
              <w:spacing w:line="360" w:lineRule="auto"/>
            </w:pPr>
          </w:p>
        </w:tc>
        <w:tc>
          <w:tcPr>
            <w:tcW w:w="435" w:type="dxa"/>
          </w:tcPr>
          <w:p w14:paraId="663B2945" w14:textId="77777777" w:rsidR="00462E63" w:rsidRDefault="00462E63" w:rsidP="000F7584">
            <w:pPr>
              <w:spacing w:line="360" w:lineRule="auto"/>
            </w:pPr>
            <w:r>
              <w:t>0</w:t>
            </w:r>
          </w:p>
        </w:tc>
        <w:tc>
          <w:tcPr>
            <w:tcW w:w="435" w:type="dxa"/>
          </w:tcPr>
          <w:p w14:paraId="06AB37ED" w14:textId="77777777" w:rsidR="00462E63" w:rsidRDefault="00462E63" w:rsidP="000F7584">
            <w:pPr>
              <w:spacing w:line="360" w:lineRule="auto"/>
            </w:pPr>
            <w:r>
              <w:t>10</w:t>
            </w:r>
          </w:p>
        </w:tc>
        <w:tc>
          <w:tcPr>
            <w:tcW w:w="435" w:type="dxa"/>
          </w:tcPr>
          <w:p w14:paraId="718D3C3D" w14:textId="77777777" w:rsidR="00462E63" w:rsidRDefault="00462E63" w:rsidP="000F7584">
            <w:pPr>
              <w:spacing w:line="360" w:lineRule="auto"/>
            </w:pPr>
            <w:r>
              <w:t>20</w:t>
            </w:r>
          </w:p>
        </w:tc>
        <w:tc>
          <w:tcPr>
            <w:tcW w:w="435" w:type="dxa"/>
          </w:tcPr>
          <w:p w14:paraId="524CD264" w14:textId="77777777" w:rsidR="00462E63" w:rsidRDefault="00462E63" w:rsidP="000F7584">
            <w:pPr>
              <w:spacing w:line="360" w:lineRule="auto"/>
            </w:pPr>
            <w:r>
              <w:t>30</w:t>
            </w:r>
          </w:p>
        </w:tc>
        <w:tc>
          <w:tcPr>
            <w:tcW w:w="435" w:type="dxa"/>
          </w:tcPr>
          <w:p w14:paraId="68302543" w14:textId="77777777" w:rsidR="00462E63" w:rsidRDefault="00462E63" w:rsidP="000F7584">
            <w:pPr>
              <w:spacing w:line="360" w:lineRule="auto"/>
            </w:pPr>
            <w:r>
              <w:t>40</w:t>
            </w:r>
          </w:p>
        </w:tc>
        <w:tc>
          <w:tcPr>
            <w:tcW w:w="435" w:type="dxa"/>
          </w:tcPr>
          <w:p w14:paraId="1A125A80" w14:textId="77777777" w:rsidR="00462E63" w:rsidRDefault="00462E63" w:rsidP="000F7584">
            <w:pPr>
              <w:spacing w:line="360" w:lineRule="auto"/>
            </w:pPr>
            <w:r>
              <w:t>50</w:t>
            </w:r>
          </w:p>
        </w:tc>
        <w:tc>
          <w:tcPr>
            <w:tcW w:w="435" w:type="dxa"/>
          </w:tcPr>
          <w:p w14:paraId="4D26AE33" w14:textId="77777777" w:rsidR="00462E63" w:rsidRDefault="00462E63" w:rsidP="000F7584">
            <w:pPr>
              <w:spacing w:line="360" w:lineRule="auto"/>
            </w:pPr>
            <w:r>
              <w:t>60</w:t>
            </w:r>
          </w:p>
        </w:tc>
        <w:tc>
          <w:tcPr>
            <w:tcW w:w="435" w:type="dxa"/>
          </w:tcPr>
          <w:p w14:paraId="5FF5C23A" w14:textId="77777777" w:rsidR="00462E63" w:rsidRDefault="00462E63" w:rsidP="000F7584">
            <w:pPr>
              <w:spacing w:line="360" w:lineRule="auto"/>
            </w:pPr>
            <w:r>
              <w:t>70</w:t>
            </w:r>
          </w:p>
        </w:tc>
        <w:tc>
          <w:tcPr>
            <w:tcW w:w="435" w:type="dxa"/>
          </w:tcPr>
          <w:p w14:paraId="722913E4" w14:textId="77777777" w:rsidR="00462E63" w:rsidRDefault="00462E63" w:rsidP="000F7584">
            <w:pPr>
              <w:spacing w:line="360" w:lineRule="auto"/>
            </w:pPr>
            <w:r>
              <w:t>80</w:t>
            </w:r>
          </w:p>
        </w:tc>
        <w:tc>
          <w:tcPr>
            <w:tcW w:w="435" w:type="dxa"/>
          </w:tcPr>
          <w:p w14:paraId="2CED1674" w14:textId="77777777" w:rsidR="00462E63" w:rsidRDefault="00462E63" w:rsidP="000F7584">
            <w:pPr>
              <w:spacing w:line="360" w:lineRule="auto"/>
            </w:pPr>
            <w:r>
              <w:t>90</w:t>
            </w:r>
          </w:p>
        </w:tc>
        <w:tc>
          <w:tcPr>
            <w:tcW w:w="435" w:type="dxa"/>
          </w:tcPr>
          <w:p w14:paraId="1E83271A" w14:textId="77777777" w:rsidR="00462E63" w:rsidRDefault="00462E63" w:rsidP="000F7584">
            <w:pPr>
              <w:spacing w:line="360" w:lineRule="auto"/>
            </w:pPr>
            <w:r>
              <w:t>100</w:t>
            </w:r>
          </w:p>
        </w:tc>
      </w:tr>
    </w:tbl>
    <w:tbl>
      <w:tblPr>
        <w:tblStyle w:val="QStandardSliderTable"/>
        <w:tblpPr w:leftFromText="180" w:rightFromText="180" w:vertAnchor="text" w:tblpY="1"/>
        <w:tblOverlap w:val="never"/>
        <w:tblW w:w="0" w:type="auto"/>
        <w:tblLook w:val="07E0" w:firstRow="1" w:lastRow="1" w:firstColumn="1" w:lastColumn="1" w:noHBand="1" w:noVBand="1"/>
      </w:tblPr>
      <w:tblGrid>
        <w:gridCol w:w="4068"/>
        <w:gridCol w:w="4130"/>
      </w:tblGrid>
      <w:tr w:rsidR="00462E63" w14:paraId="5A5D19F4"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2CB8268" w14:textId="77777777" w:rsidR="00462E63" w:rsidRDefault="00462E63" w:rsidP="00CE04C8">
            <w:pPr>
              <w:keepNext/>
              <w:spacing w:line="360" w:lineRule="auto"/>
            </w:pPr>
            <w:r>
              <w:t>Focus on risk (to the patient or others)</w:t>
            </w:r>
          </w:p>
        </w:tc>
        <w:tc>
          <w:tcPr>
            <w:tcW w:w="4130" w:type="dxa"/>
          </w:tcPr>
          <w:p w14:paraId="1456A0A2"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26B6D9F" wp14:editId="2E593598">
                  <wp:extent cx="1905000" cy="304800"/>
                  <wp:effectExtent l="0" t="0" r="0" b="0"/>
                  <wp:docPr id="55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94ECE3A"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0B97AD6" w14:textId="77777777" w:rsidR="00462E63" w:rsidRDefault="00462E63" w:rsidP="00CE04C8">
            <w:pPr>
              <w:keepNext/>
              <w:spacing w:line="360" w:lineRule="auto"/>
            </w:pPr>
            <w:r>
              <w:t>Focus on the patient's capacity to use treatment and benefit from it</w:t>
            </w:r>
          </w:p>
        </w:tc>
        <w:tc>
          <w:tcPr>
            <w:tcW w:w="4130" w:type="dxa"/>
          </w:tcPr>
          <w:p w14:paraId="26AA2B6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F69D0FA" wp14:editId="0982C89C">
                  <wp:extent cx="1905000" cy="304800"/>
                  <wp:effectExtent l="0" t="0" r="0" b="0"/>
                  <wp:docPr id="55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5A8B19AD"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0F4A646F" w14:textId="77777777" w:rsidR="00462E63" w:rsidRDefault="00462E63" w:rsidP="00CE04C8">
            <w:pPr>
              <w:keepNext/>
              <w:spacing w:line="360" w:lineRule="auto"/>
            </w:pPr>
            <w:r>
              <w:t>Focus on the patient's week</w:t>
            </w:r>
          </w:p>
        </w:tc>
        <w:tc>
          <w:tcPr>
            <w:tcW w:w="4130" w:type="dxa"/>
          </w:tcPr>
          <w:p w14:paraId="33FBB63D"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956CE94" wp14:editId="123FEFAA">
                  <wp:extent cx="1905000" cy="304800"/>
                  <wp:effectExtent l="0" t="0" r="0" b="0"/>
                  <wp:docPr id="55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6871150"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2564E1AF" w14:textId="77777777" w:rsidR="00462E63" w:rsidRDefault="00462E63" w:rsidP="00CE04C8">
            <w:pPr>
              <w:keepNext/>
              <w:spacing w:line="360" w:lineRule="auto"/>
            </w:pPr>
            <w:r>
              <w:t>Encouragement/motivation of the clinician to remain on task</w:t>
            </w:r>
          </w:p>
        </w:tc>
        <w:tc>
          <w:tcPr>
            <w:tcW w:w="4130" w:type="dxa"/>
          </w:tcPr>
          <w:p w14:paraId="2A32B644"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9DA15D0" wp14:editId="7E83AA38">
                  <wp:extent cx="1905000" cy="304800"/>
                  <wp:effectExtent l="0" t="0" r="0" b="0"/>
                  <wp:docPr id="55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EA57F75"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36B01643" w14:textId="77777777" w:rsidR="00462E63" w:rsidRDefault="00462E63" w:rsidP="00CE04C8">
            <w:pPr>
              <w:keepNext/>
              <w:spacing w:line="360" w:lineRule="auto"/>
            </w:pPr>
            <w:r>
              <w:t>Motivation work with the patient</w:t>
            </w:r>
          </w:p>
        </w:tc>
        <w:tc>
          <w:tcPr>
            <w:tcW w:w="4130" w:type="dxa"/>
          </w:tcPr>
          <w:p w14:paraId="1C52C6E8"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C26287F" wp14:editId="7EEC573D">
                  <wp:extent cx="1905000" cy="304800"/>
                  <wp:effectExtent l="0" t="0" r="0" b="0"/>
                  <wp:docPr id="5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590D3DF0"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E1788CB" w14:textId="77777777" w:rsidR="00462E63" w:rsidRDefault="00462E63" w:rsidP="00CE04C8">
            <w:pPr>
              <w:keepNext/>
              <w:spacing w:line="360" w:lineRule="auto"/>
            </w:pPr>
            <w:r>
              <w:t>Focus on the therapeutic bond (attachment between patient and clinician)</w:t>
            </w:r>
          </w:p>
        </w:tc>
        <w:tc>
          <w:tcPr>
            <w:tcW w:w="4130" w:type="dxa"/>
          </w:tcPr>
          <w:p w14:paraId="07E78CB2"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BDBCDD3" wp14:editId="4A73EB7F">
                  <wp:extent cx="1905000" cy="304800"/>
                  <wp:effectExtent l="0" t="0" r="0" b="0"/>
                  <wp:docPr id="55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B3F0D3E"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C0DFFA5" w14:textId="77777777" w:rsidR="00462E63" w:rsidRDefault="00462E63" w:rsidP="00CE04C8">
            <w:pPr>
              <w:keepNext/>
              <w:spacing w:line="360" w:lineRule="auto"/>
            </w:pPr>
            <w:r>
              <w:t>Agreement on the goals of therapy</w:t>
            </w:r>
          </w:p>
        </w:tc>
        <w:tc>
          <w:tcPr>
            <w:tcW w:w="4130" w:type="dxa"/>
          </w:tcPr>
          <w:p w14:paraId="70154683"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1E4ACA" wp14:editId="1128178E">
                  <wp:extent cx="1905000" cy="304800"/>
                  <wp:effectExtent l="0" t="0" r="0" b="0"/>
                  <wp:docPr id="5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936C570"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3CEBF4E4" w14:textId="77777777" w:rsidR="00462E63" w:rsidRDefault="00462E63" w:rsidP="00CE04C8">
            <w:pPr>
              <w:keepNext/>
              <w:spacing w:line="360" w:lineRule="auto"/>
            </w:pPr>
            <w:r>
              <w:t>Agreement on the tasks of therapy</w:t>
            </w:r>
          </w:p>
        </w:tc>
        <w:tc>
          <w:tcPr>
            <w:tcW w:w="4130" w:type="dxa"/>
          </w:tcPr>
          <w:p w14:paraId="431EA1EC"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A1C52D7" wp14:editId="3BA2DB0C">
                  <wp:extent cx="1905000" cy="304800"/>
                  <wp:effectExtent l="0" t="0" r="0" b="0"/>
                  <wp:docPr id="55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08D1818"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540FFFB" w14:textId="77777777" w:rsidR="00462E63" w:rsidRDefault="00462E63" w:rsidP="00CE04C8">
            <w:pPr>
              <w:keepNext/>
              <w:spacing w:line="360" w:lineRule="auto"/>
            </w:pPr>
            <w:r>
              <w:t>Reviewing depression levels</w:t>
            </w:r>
          </w:p>
        </w:tc>
        <w:tc>
          <w:tcPr>
            <w:tcW w:w="4130" w:type="dxa"/>
          </w:tcPr>
          <w:p w14:paraId="79A8ECB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1BA2623" wp14:editId="0D55F132">
                  <wp:extent cx="1905000" cy="304800"/>
                  <wp:effectExtent l="0" t="0" r="0" b="0"/>
                  <wp:docPr id="56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14C4673F"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FE229D0" w14:textId="77777777" w:rsidR="00462E63" w:rsidRDefault="00462E63" w:rsidP="00CE04C8">
            <w:pPr>
              <w:keepNext/>
              <w:spacing w:line="360" w:lineRule="auto"/>
            </w:pPr>
            <w:r>
              <w:t>Education into the CBT model</w:t>
            </w:r>
          </w:p>
        </w:tc>
        <w:tc>
          <w:tcPr>
            <w:tcW w:w="4130" w:type="dxa"/>
          </w:tcPr>
          <w:p w14:paraId="426AC2EA"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512D4F8" wp14:editId="2E8104B6">
                  <wp:extent cx="1905000" cy="304800"/>
                  <wp:effectExtent l="0" t="0" r="0" b="0"/>
                  <wp:docPr id="56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131C253"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DB9A65D" w14:textId="77777777" w:rsidR="00462E63" w:rsidRDefault="00462E63" w:rsidP="00CE04C8">
            <w:pPr>
              <w:keepNext/>
              <w:spacing w:line="360" w:lineRule="auto"/>
            </w:pPr>
            <w:r>
              <w:t>Detection and recording of negative automatic thoughts</w:t>
            </w:r>
          </w:p>
        </w:tc>
        <w:tc>
          <w:tcPr>
            <w:tcW w:w="4130" w:type="dxa"/>
          </w:tcPr>
          <w:p w14:paraId="66302CC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69E930F" wp14:editId="2C7C713B">
                  <wp:extent cx="1905000" cy="304800"/>
                  <wp:effectExtent l="0" t="0" r="0" b="0"/>
                  <wp:docPr id="56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8463660"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CF8DEAA" w14:textId="77777777" w:rsidR="00462E63" w:rsidRDefault="00462E63" w:rsidP="00CE04C8">
            <w:pPr>
              <w:keepNext/>
              <w:spacing w:line="360" w:lineRule="auto"/>
            </w:pPr>
            <w:r>
              <w:t>Clarify dysfunctional assumptions</w:t>
            </w:r>
          </w:p>
        </w:tc>
        <w:tc>
          <w:tcPr>
            <w:tcW w:w="4130" w:type="dxa"/>
          </w:tcPr>
          <w:p w14:paraId="02830AE9"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D10A28D" wp14:editId="4238C4F4">
                  <wp:extent cx="1905000" cy="304800"/>
                  <wp:effectExtent l="0" t="0" r="0" b="0"/>
                  <wp:docPr id="56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5E65204"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38A107C0" w14:textId="77777777" w:rsidR="00462E63" w:rsidRDefault="00462E63" w:rsidP="00CE04C8">
            <w:pPr>
              <w:keepNext/>
              <w:spacing w:line="360" w:lineRule="auto"/>
            </w:pPr>
            <w:r>
              <w:t>Develop alternative hypotheses about cognitive distortions</w:t>
            </w:r>
          </w:p>
        </w:tc>
        <w:tc>
          <w:tcPr>
            <w:tcW w:w="4130" w:type="dxa"/>
          </w:tcPr>
          <w:p w14:paraId="14B31982"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E8944B" wp14:editId="738DB7F1">
                  <wp:extent cx="1905000" cy="304800"/>
                  <wp:effectExtent l="0" t="0" r="0" b="0"/>
                  <wp:docPr id="56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BDD04D7"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FE5295C" w14:textId="77777777" w:rsidR="00462E63" w:rsidRDefault="00462E63" w:rsidP="00CE04C8">
            <w:pPr>
              <w:keepNext/>
              <w:spacing w:line="360" w:lineRule="auto"/>
            </w:pPr>
            <w:r>
              <w:t>Return to behavioural activation</w:t>
            </w:r>
          </w:p>
        </w:tc>
        <w:tc>
          <w:tcPr>
            <w:tcW w:w="4130" w:type="dxa"/>
          </w:tcPr>
          <w:p w14:paraId="75709A5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ED68952" wp14:editId="275ED081">
                  <wp:extent cx="1905000" cy="304800"/>
                  <wp:effectExtent l="0" t="0" r="0" b="0"/>
                  <wp:docPr id="56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59A8C16"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90FB034" w14:textId="77777777" w:rsidR="00462E63" w:rsidRDefault="00462E63" w:rsidP="00CE04C8">
            <w:pPr>
              <w:keepNext/>
              <w:spacing w:line="360" w:lineRule="auto"/>
            </w:pPr>
            <w:r>
              <w:lastRenderedPageBreak/>
              <w:t>Mindfulness</w:t>
            </w:r>
          </w:p>
        </w:tc>
        <w:tc>
          <w:tcPr>
            <w:tcW w:w="4130" w:type="dxa"/>
          </w:tcPr>
          <w:p w14:paraId="19E79DB9"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B71A3CD" wp14:editId="51A5DF7D">
                  <wp:extent cx="1905000" cy="304800"/>
                  <wp:effectExtent l="0" t="0" r="0" b="0"/>
                  <wp:docPr id="56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B80ECA6"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4FD0593" w14:textId="77777777" w:rsidR="00462E63" w:rsidRDefault="00462E63" w:rsidP="00CE04C8">
            <w:pPr>
              <w:keepNext/>
              <w:spacing w:line="360" w:lineRule="auto"/>
            </w:pPr>
            <w:r>
              <w:t>Eye Movement Desensitisation and Reprocessing (EMDR)</w:t>
            </w:r>
          </w:p>
        </w:tc>
        <w:tc>
          <w:tcPr>
            <w:tcW w:w="4130" w:type="dxa"/>
          </w:tcPr>
          <w:p w14:paraId="29CBD39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37BAD87" wp14:editId="1ABCFC32">
                  <wp:extent cx="1905000" cy="304800"/>
                  <wp:effectExtent l="0" t="0" r="0" b="0"/>
                  <wp:docPr id="56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0AE2497"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C0356E5" w14:textId="77777777" w:rsidR="00462E63" w:rsidRDefault="00462E63" w:rsidP="00CE04C8">
            <w:pPr>
              <w:keepNext/>
              <w:spacing w:line="360" w:lineRule="auto"/>
            </w:pPr>
            <w:r>
              <w:t>Review homework tasks</w:t>
            </w:r>
          </w:p>
        </w:tc>
        <w:tc>
          <w:tcPr>
            <w:tcW w:w="4130" w:type="dxa"/>
          </w:tcPr>
          <w:p w14:paraId="5729910B"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F23D012" wp14:editId="7BF22E6F">
                  <wp:extent cx="1905000" cy="304800"/>
                  <wp:effectExtent l="0" t="0" r="0" b="0"/>
                  <wp:docPr id="56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E32D57A"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3BEADA3" w14:textId="77777777" w:rsidR="00462E63" w:rsidRDefault="00462E63" w:rsidP="00CE04C8">
            <w:pPr>
              <w:keepNext/>
              <w:spacing w:line="360" w:lineRule="auto"/>
            </w:pPr>
            <w:r>
              <w:t>Testing alternative hypotheses via behavioural experiments</w:t>
            </w:r>
          </w:p>
        </w:tc>
        <w:tc>
          <w:tcPr>
            <w:tcW w:w="4130" w:type="dxa"/>
          </w:tcPr>
          <w:p w14:paraId="25183EED"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4EC47BF" wp14:editId="478921C2">
                  <wp:extent cx="1905000" cy="304800"/>
                  <wp:effectExtent l="0" t="0" r="0" b="0"/>
                  <wp:docPr id="56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186B828"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F3478D1" w14:textId="77777777" w:rsidR="00462E63" w:rsidRDefault="00462E63" w:rsidP="00CE04C8">
            <w:pPr>
              <w:keepNext/>
              <w:spacing w:line="360" w:lineRule="auto"/>
            </w:pPr>
            <w:r>
              <w:t>Cognitive reheasal</w:t>
            </w:r>
          </w:p>
        </w:tc>
        <w:tc>
          <w:tcPr>
            <w:tcW w:w="4130" w:type="dxa"/>
          </w:tcPr>
          <w:p w14:paraId="4B0BDF6A"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2E0F23B" wp14:editId="3AB9AAB5">
                  <wp:extent cx="1905000" cy="304800"/>
                  <wp:effectExtent l="0" t="0" r="0" b="0"/>
                  <wp:docPr id="57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9096CDF"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853976B" w14:textId="77777777" w:rsidR="00462E63" w:rsidRDefault="00462E63" w:rsidP="00CE04C8">
            <w:pPr>
              <w:keepNext/>
              <w:spacing w:line="360" w:lineRule="auto"/>
            </w:pPr>
            <w:r>
              <w:t>Assertiveness training</w:t>
            </w:r>
          </w:p>
        </w:tc>
        <w:tc>
          <w:tcPr>
            <w:tcW w:w="4130" w:type="dxa"/>
          </w:tcPr>
          <w:p w14:paraId="49E4C94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FD6C388" wp14:editId="6D183A2E">
                  <wp:extent cx="1905000" cy="304800"/>
                  <wp:effectExtent l="0" t="0" r="0" b="0"/>
                  <wp:docPr id="57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1AE8F91D"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29A291F0" w14:textId="77777777" w:rsidR="00462E63" w:rsidRDefault="00462E63" w:rsidP="00CE04C8">
            <w:pPr>
              <w:keepNext/>
              <w:spacing w:line="360" w:lineRule="auto"/>
            </w:pPr>
            <w:r>
              <w:t>Use of reattribution</w:t>
            </w:r>
          </w:p>
        </w:tc>
        <w:tc>
          <w:tcPr>
            <w:tcW w:w="4130" w:type="dxa"/>
          </w:tcPr>
          <w:p w14:paraId="5CC55F6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7CE7A0" wp14:editId="33CEDB23">
                  <wp:extent cx="1905000" cy="304800"/>
                  <wp:effectExtent l="0" t="0" r="0" b="0"/>
                  <wp:docPr id="57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8ACED92"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6A97E16" w14:textId="77777777" w:rsidR="00462E63" w:rsidRDefault="00462E63" w:rsidP="00CE04C8">
            <w:pPr>
              <w:keepNext/>
              <w:spacing w:line="360" w:lineRule="auto"/>
            </w:pPr>
            <w:r>
              <w:t>Other (please state)</w:t>
            </w:r>
          </w:p>
        </w:tc>
        <w:tc>
          <w:tcPr>
            <w:tcW w:w="4130" w:type="dxa"/>
          </w:tcPr>
          <w:p w14:paraId="5F5706C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1B9AAC7" wp14:editId="6AD95EB2">
                  <wp:extent cx="1905000" cy="304800"/>
                  <wp:effectExtent l="0" t="0" r="0" b="0"/>
                  <wp:docPr id="57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6A1509CE" w14:textId="77777777" w:rsidR="00462E63" w:rsidRDefault="00462E63" w:rsidP="00C230E9">
      <w:pPr>
        <w:keepNext/>
        <w:spacing w:line="360" w:lineRule="auto"/>
      </w:pPr>
    </w:p>
    <w:p w14:paraId="02BABE46" w14:textId="77777777" w:rsidR="00CE04C8" w:rsidRDefault="00CE04C8" w:rsidP="00C230E9">
      <w:pPr>
        <w:keepNext/>
        <w:spacing w:line="360" w:lineRule="auto"/>
      </w:pPr>
    </w:p>
    <w:p w14:paraId="795964C8" w14:textId="77777777" w:rsidR="00CE04C8" w:rsidRDefault="00CE04C8" w:rsidP="00C230E9">
      <w:pPr>
        <w:keepNext/>
        <w:spacing w:line="360" w:lineRule="auto"/>
      </w:pPr>
    </w:p>
    <w:p w14:paraId="15CE813D" w14:textId="77777777" w:rsidR="00CE04C8" w:rsidRDefault="00CE04C8" w:rsidP="00C230E9">
      <w:pPr>
        <w:keepNext/>
        <w:spacing w:line="360" w:lineRule="auto"/>
      </w:pPr>
    </w:p>
    <w:p w14:paraId="3817AF7A" w14:textId="77777777" w:rsidR="00CE04C8" w:rsidRDefault="00CE04C8" w:rsidP="00C230E9">
      <w:pPr>
        <w:keepNext/>
        <w:spacing w:line="360" w:lineRule="auto"/>
      </w:pPr>
    </w:p>
    <w:p w14:paraId="65BD1430" w14:textId="77777777" w:rsidR="00CE04C8" w:rsidRDefault="00CE04C8" w:rsidP="00C230E9">
      <w:pPr>
        <w:keepNext/>
        <w:spacing w:line="360" w:lineRule="auto"/>
      </w:pPr>
    </w:p>
    <w:p w14:paraId="1816FCC4" w14:textId="77777777" w:rsidR="00CE04C8" w:rsidRDefault="00CE04C8" w:rsidP="00C230E9">
      <w:pPr>
        <w:keepNext/>
        <w:spacing w:line="360" w:lineRule="auto"/>
      </w:pPr>
    </w:p>
    <w:p w14:paraId="36352563" w14:textId="77777777" w:rsidR="00CE04C8" w:rsidRDefault="00CE04C8" w:rsidP="00C230E9">
      <w:pPr>
        <w:keepNext/>
        <w:spacing w:line="360" w:lineRule="auto"/>
      </w:pPr>
    </w:p>
    <w:p w14:paraId="5884E099" w14:textId="77777777" w:rsidR="00CE04C8" w:rsidRDefault="00CE04C8" w:rsidP="00C230E9">
      <w:pPr>
        <w:keepNext/>
        <w:spacing w:line="360" w:lineRule="auto"/>
      </w:pPr>
    </w:p>
    <w:p w14:paraId="7269BE61" w14:textId="77777777" w:rsidR="00CE04C8" w:rsidRDefault="00CE04C8" w:rsidP="00C230E9">
      <w:pPr>
        <w:keepNext/>
        <w:spacing w:line="360" w:lineRule="auto"/>
      </w:pPr>
    </w:p>
    <w:p w14:paraId="7DB49D6B" w14:textId="77777777" w:rsidR="00CE04C8" w:rsidRDefault="00CE04C8" w:rsidP="00C230E9">
      <w:pPr>
        <w:keepNext/>
        <w:spacing w:line="360" w:lineRule="auto"/>
      </w:pPr>
    </w:p>
    <w:p w14:paraId="121CE242" w14:textId="77777777" w:rsidR="00930E7C" w:rsidRDefault="00462E63" w:rsidP="00C230E9">
      <w:pPr>
        <w:keepNext/>
        <w:spacing w:line="360" w:lineRule="auto"/>
      </w:pPr>
      <w:r>
        <w:t xml:space="preserve">Your supervisee, Richard, is 39. He has been a qualified therapist for six months. In your supervision session today he discusses a patient, Joanne, who has depression. Richard has been seeing her for six sessions out of a planned 12.  </w:t>
      </w:r>
    </w:p>
    <w:p w14:paraId="37FE91E7" w14:textId="259C7864" w:rsidR="00930E7C" w:rsidRDefault="00462E63" w:rsidP="00C230E9">
      <w:pPr>
        <w:keepNext/>
        <w:spacing w:line="360" w:lineRule="auto"/>
      </w:pPr>
      <w:r>
        <w:t xml:space="preserve">Joanne is 38 and lives with her husband of two years and their son. She has been unhappy with life for approximately four years. In recent months, she has shown more and more signs of depression, including a low mood and poor self-esteem, though there are no biological signs. Although she is still attending her job in a bakery, she is becoming increasingly socially isolated. She has given no indication that she is suicidal. She was referred because of her low mood.  </w:t>
      </w:r>
    </w:p>
    <w:p w14:paraId="0D22C0A0" w14:textId="623F0C3E" w:rsidR="00462E63" w:rsidRDefault="00462E63" w:rsidP="00C230E9">
      <w:pPr>
        <w:keepNext/>
        <w:spacing w:line="360" w:lineRule="auto"/>
      </w:pPr>
      <w:r>
        <w:t xml:space="preserve">You had previously suggested to Richard that he should focus on behavioural activation with Joanne. Unfortunately, Joanne is failing to engage in this aspect </w:t>
      </w:r>
      <w:r>
        <w:lastRenderedPageBreak/>
        <w:t xml:space="preserve">of therapy. She says that she doesn’t feel comfortable or motivated to do such exercises and cannot see how they will help her in the long-term.  </w:t>
      </w:r>
      <w:r>
        <w:rPr>
          <w:b/>
        </w:rPr>
        <w:t> </w:t>
      </w:r>
    </w:p>
    <w:p w14:paraId="71A8DF5C" w14:textId="77777777" w:rsidR="00930E7C" w:rsidRDefault="00930E7C" w:rsidP="00C230E9">
      <w:pPr>
        <w:keepNext/>
        <w:widowControl w:val="0"/>
        <w:spacing w:line="360" w:lineRule="auto"/>
        <w:rPr>
          <w:b/>
        </w:rPr>
      </w:pPr>
    </w:p>
    <w:p w14:paraId="21C8B7A3" w14:textId="3AE4AC0A" w:rsidR="00462E63" w:rsidRDefault="00462E63" w:rsidP="00C230E9">
      <w:pPr>
        <w:keepNext/>
        <w:widowControl w:val="0"/>
        <w:spacing w:line="360" w:lineRule="auto"/>
      </w:pPr>
      <w:r>
        <w:rPr>
          <w:b/>
        </w:rPr>
        <w:t>When advising Richard of how to proceed in therapy with Joanne, to what extent would you focus them on each of the following aspects of therapy?</w:t>
      </w:r>
      <w:r>
        <w:t xml:space="preserve">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797"/>
        <w:gridCol w:w="373"/>
        <w:gridCol w:w="400"/>
        <w:gridCol w:w="400"/>
        <w:gridCol w:w="400"/>
        <w:gridCol w:w="400"/>
        <w:gridCol w:w="400"/>
        <w:gridCol w:w="400"/>
        <w:gridCol w:w="400"/>
        <w:gridCol w:w="400"/>
        <w:gridCol w:w="400"/>
        <w:gridCol w:w="428"/>
      </w:tblGrid>
      <w:tr w:rsidR="00462E63" w14:paraId="1E7205AC" w14:textId="77777777" w:rsidTr="00DE0366">
        <w:tc>
          <w:tcPr>
            <w:tcW w:w="4788" w:type="dxa"/>
          </w:tcPr>
          <w:p w14:paraId="2C39A2E3" w14:textId="77777777" w:rsidR="00462E63" w:rsidRDefault="00462E63" w:rsidP="00C230E9">
            <w:pPr>
              <w:spacing w:line="360" w:lineRule="auto"/>
            </w:pPr>
          </w:p>
        </w:tc>
        <w:tc>
          <w:tcPr>
            <w:tcW w:w="435" w:type="dxa"/>
          </w:tcPr>
          <w:p w14:paraId="3A2A9A8F" w14:textId="77777777" w:rsidR="00462E63" w:rsidRDefault="00462E63" w:rsidP="00C230E9">
            <w:pPr>
              <w:spacing w:line="360" w:lineRule="auto"/>
            </w:pPr>
            <w:r>
              <w:t>0</w:t>
            </w:r>
          </w:p>
        </w:tc>
        <w:tc>
          <w:tcPr>
            <w:tcW w:w="435" w:type="dxa"/>
          </w:tcPr>
          <w:p w14:paraId="0F782D5A" w14:textId="77777777" w:rsidR="00462E63" w:rsidRDefault="00462E63" w:rsidP="00C230E9">
            <w:pPr>
              <w:spacing w:line="360" w:lineRule="auto"/>
            </w:pPr>
            <w:r>
              <w:t>10</w:t>
            </w:r>
          </w:p>
        </w:tc>
        <w:tc>
          <w:tcPr>
            <w:tcW w:w="435" w:type="dxa"/>
          </w:tcPr>
          <w:p w14:paraId="1070A187" w14:textId="77777777" w:rsidR="00462E63" w:rsidRDefault="00462E63" w:rsidP="00C230E9">
            <w:pPr>
              <w:spacing w:line="360" w:lineRule="auto"/>
            </w:pPr>
            <w:r>
              <w:t>20</w:t>
            </w:r>
          </w:p>
        </w:tc>
        <w:tc>
          <w:tcPr>
            <w:tcW w:w="435" w:type="dxa"/>
          </w:tcPr>
          <w:p w14:paraId="4BF164A0" w14:textId="77777777" w:rsidR="00462E63" w:rsidRDefault="00462E63" w:rsidP="00C230E9">
            <w:pPr>
              <w:spacing w:line="360" w:lineRule="auto"/>
            </w:pPr>
            <w:r>
              <w:t>30</w:t>
            </w:r>
          </w:p>
        </w:tc>
        <w:tc>
          <w:tcPr>
            <w:tcW w:w="435" w:type="dxa"/>
          </w:tcPr>
          <w:p w14:paraId="06AE2AE4" w14:textId="77777777" w:rsidR="00462E63" w:rsidRDefault="00462E63" w:rsidP="00C230E9">
            <w:pPr>
              <w:spacing w:line="360" w:lineRule="auto"/>
            </w:pPr>
            <w:r>
              <w:t>40</w:t>
            </w:r>
          </w:p>
        </w:tc>
        <w:tc>
          <w:tcPr>
            <w:tcW w:w="435" w:type="dxa"/>
          </w:tcPr>
          <w:p w14:paraId="62B01B5B" w14:textId="77777777" w:rsidR="00462E63" w:rsidRDefault="00462E63" w:rsidP="00C230E9">
            <w:pPr>
              <w:spacing w:line="360" w:lineRule="auto"/>
            </w:pPr>
            <w:r>
              <w:t>50</w:t>
            </w:r>
          </w:p>
        </w:tc>
        <w:tc>
          <w:tcPr>
            <w:tcW w:w="435" w:type="dxa"/>
          </w:tcPr>
          <w:p w14:paraId="19166A8C" w14:textId="77777777" w:rsidR="00462E63" w:rsidRDefault="00462E63" w:rsidP="00C230E9">
            <w:pPr>
              <w:spacing w:line="360" w:lineRule="auto"/>
            </w:pPr>
            <w:r>
              <w:t>60</w:t>
            </w:r>
          </w:p>
        </w:tc>
        <w:tc>
          <w:tcPr>
            <w:tcW w:w="435" w:type="dxa"/>
          </w:tcPr>
          <w:p w14:paraId="0C023356" w14:textId="77777777" w:rsidR="00462E63" w:rsidRDefault="00462E63" w:rsidP="00C230E9">
            <w:pPr>
              <w:spacing w:line="360" w:lineRule="auto"/>
            </w:pPr>
            <w:r>
              <w:t>70</w:t>
            </w:r>
          </w:p>
        </w:tc>
        <w:tc>
          <w:tcPr>
            <w:tcW w:w="435" w:type="dxa"/>
          </w:tcPr>
          <w:p w14:paraId="4B781FBE" w14:textId="77777777" w:rsidR="00462E63" w:rsidRDefault="00462E63" w:rsidP="00C230E9">
            <w:pPr>
              <w:spacing w:line="360" w:lineRule="auto"/>
            </w:pPr>
            <w:r>
              <w:t>80</w:t>
            </w:r>
          </w:p>
        </w:tc>
        <w:tc>
          <w:tcPr>
            <w:tcW w:w="435" w:type="dxa"/>
          </w:tcPr>
          <w:p w14:paraId="5A668A06" w14:textId="77777777" w:rsidR="00462E63" w:rsidRDefault="00462E63" w:rsidP="00C230E9">
            <w:pPr>
              <w:spacing w:line="360" w:lineRule="auto"/>
            </w:pPr>
            <w:r>
              <w:t>90</w:t>
            </w:r>
          </w:p>
        </w:tc>
        <w:tc>
          <w:tcPr>
            <w:tcW w:w="435" w:type="dxa"/>
          </w:tcPr>
          <w:p w14:paraId="2AC9E564" w14:textId="77777777" w:rsidR="00462E63" w:rsidRDefault="00462E63" w:rsidP="00C230E9">
            <w:pPr>
              <w:spacing w:line="360" w:lineRule="auto"/>
            </w:pPr>
            <w:r>
              <w:t>100</w:t>
            </w:r>
          </w:p>
        </w:tc>
      </w:tr>
    </w:tbl>
    <w:tbl>
      <w:tblPr>
        <w:tblStyle w:val="QStandardSliderTable"/>
        <w:tblpPr w:leftFromText="180" w:rightFromText="180" w:vertAnchor="text" w:tblpY="1"/>
        <w:tblOverlap w:val="never"/>
        <w:tblW w:w="0" w:type="auto"/>
        <w:tblLook w:val="07E0" w:firstRow="1" w:lastRow="1" w:firstColumn="1" w:lastColumn="1" w:noHBand="1" w:noVBand="1"/>
      </w:tblPr>
      <w:tblGrid>
        <w:gridCol w:w="4068"/>
        <w:gridCol w:w="4130"/>
      </w:tblGrid>
      <w:tr w:rsidR="00462E63" w14:paraId="5A9DA26C"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F3BA6D2" w14:textId="77777777" w:rsidR="00462E63" w:rsidRDefault="00462E63" w:rsidP="00CE04C8">
            <w:pPr>
              <w:keepNext/>
              <w:spacing w:line="360" w:lineRule="auto"/>
            </w:pPr>
            <w:r>
              <w:t>Focus on risk (to the patient or others)</w:t>
            </w:r>
          </w:p>
        </w:tc>
        <w:tc>
          <w:tcPr>
            <w:tcW w:w="4130" w:type="dxa"/>
          </w:tcPr>
          <w:p w14:paraId="2E7BB363"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012BAAA" wp14:editId="598FEA17">
                  <wp:extent cx="1905000" cy="304800"/>
                  <wp:effectExtent l="0" t="0" r="0" b="0"/>
                  <wp:docPr id="13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4C7868C"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C6CF1AF" w14:textId="77777777" w:rsidR="00462E63" w:rsidRDefault="00462E63" w:rsidP="00CE04C8">
            <w:pPr>
              <w:keepNext/>
              <w:spacing w:line="360" w:lineRule="auto"/>
            </w:pPr>
            <w:r>
              <w:t>Focus on the patient's capacity to use treatment and benefit from it</w:t>
            </w:r>
          </w:p>
        </w:tc>
        <w:tc>
          <w:tcPr>
            <w:tcW w:w="4130" w:type="dxa"/>
          </w:tcPr>
          <w:p w14:paraId="2A80A85B"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1146880" wp14:editId="06F99872">
                  <wp:extent cx="1905000" cy="304800"/>
                  <wp:effectExtent l="0" t="0" r="0" b="0"/>
                  <wp:docPr id="14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807688F"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5817A62" w14:textId="77777777" w:rsidR="00462E63" w:rsidRDefault="00462E63" w:rsidP="00CE04C8">
            <w:pPr>
              <w:keepNext/>
              <w:spacing w:line="360" w:lineRule="auto"/>
            </w:pPr>
            <w:r>
              <w:t>Focus on the patient's week</w:t>
            </w:r>
          </w:p>
        </w:tc>
        <w:tc>
          <w:tcPr>
            <w:tcW w:w="4130" w:type="dxa"/>
          </w:tcPr>
          <w:p w14:paraId="2340CD0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05A0BC2" wp14:editId="0981D541">
                  <wp:extent cx="1905000" cy="304800"/>
                  <wp:effectExtent l="0" t="0" r="0" b="0"/>
                  <wp:docPr id="14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690661B"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F42DA97" w14:textId="77777777" w:rsidR="00462E63" w:rsidRDefault="00462E63" w:rsidP="00CE04C8">
            <w:pPr>
              <w:keepNext/>
              <w:spacing w:line="360" w:lineRule="auto"/>
            </w:pPr>
            <w:r>
              <w:t>Encouragement/motivation of the clinician to remain on task</w:t>
            </w:r>
          </w:p>
        </w:tc>
        <w:tc>
          <w:tcPr>
            <w:tcW w:w="4130" w:type="dxa"/>
          </w:tcPr>
          <w:p w14:paraId="62C8A5E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4DECA2F" wp14:editId="01FF4BAD">
                  <wp:extent cx="1905000" cy="304800"/>
                  <wp:effectExtent l="0" t="0" r="0" b="0"/>
                  <wp:docPr id="14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7B85B70"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2CA9EA95" w14:textId="77777777" w:rsidR="00462E63" w:rsidRDefault="00462E63" w:rsidP="00CE04C8">
            <w:pPr>
              <w:keepNext/>
              <w:spacing w:line="360" w:lineRule="auto"/>
            </w:pPr>
            <w:r>
              <w:t>Motivation work with the patient</w:t>
            </w:r>
          </w:p>
        </w:tc>
        <w:tc>
          <w:tcPr>
            <w:tcW w:w="4130" w:type="dxa"/>
          </w:tcPr>
          <w:p w14:paraId="0D9928A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A06D881" wp14:editId="33ACB099">
                  <wp:extent cx="1905000" cy="304800"/>
                  <wp:effectExtent l="0" t="0" r="0" b="0"/>
                  <wp:docPr id="14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E1ECE02"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0698C550" w14:textId="77777777" w:rsidR="00462E63" w:rsidRDefault="00462E63" w:rsidP="00CE04C8">
            <w:pPr>
              <w:keepNext/>
              <w:spacing w:line="360" w:lineRule="auto"/>
            </w:pPr>
            <w:r>
              <w:t>Focus on the therapeutic bond (attachment between patient and clinician)</w:t>
            </w:r>
          </w:p>
        </w:tc>
        <w:tc>
          <w:tcPr>
            <w:tcW w:w="4130" w:type="dxa"/>
          </w:tcPr>
          <w:p w14:paraId="2DD63793"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2FF9F00" wp14:editId="23836612">
                  <wp:extent cx="1905000" cy="304800"/>
                  <wp:effectExtent l="0" t="0" r="0" b="0"/>
                  <wp:docPr id="14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54E7249"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ED1E0C4" w14:textId="77777777" w:rsidR="00462E63" w:rsidRDefault="00462E63" w:rsidP="00CE04C8">
            <w:pPr>
              <w:keepNext/>
              <w:spacing w:line="360" w:lineRule="auto"/>
            </w:pPr>
            <w:r>
              <w:t>Agreement on the goals of therapy</w:t>
            </w:r>
          </w:p>
        </w:tc>
        <w:tc>
          <w:tcPr>
            <w:tcW w:w="4130" w:type="dxa"/>
          </w:tcPr>
          <w:p w14:paraId="64A8A853"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2EF7452" wp14:editId="374E259D">
                  <wp:extent cx="1905000" cy="304800"/>
                  <wp:effectExtent l="0" t="0" r="0" b="0"/>
                  <wp:docPr id="14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1A984CF5"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D833735" w14:textId="77777777" w:rsidR="00462E63" w:rsidRDefault="00462E63" w:rsidP="00CE04C8">
            <w:pPr>
              <w:keepNext/>
              <w:spacing w:line="360" w:lineRule="auto"/>
            </w:pPr>
            <w:r>
              <w:t>Agreement on the tasks of therapy</w:t>
            </w:r>
          </w:p>
        </w:tc>
        <w:tc>
          <w:tcPr>
            <w:tcW w:w="4130" w:type="dxa"/>
          </w:tcPr>
          <w:p w14:paraId="4DE9BA2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C05B7E0" wp14:editId="126BF3EE">
                  <wp:extent cx="1905000" cy="304800"/>
                  <wp:effectExtent l="0" t="0" r="0" b="0"/>
                  <wp:docPr id="14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BFCEC9F"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FCD091A" w14:textId="77777777" w:rsidR="00462E63" w:rsidRDefault="00462E63" w:rsidP="00CE04C8">
            <w:pPr>
              <w:keepNext/>
              <w:spacing w:line="360" w:lineRule="auto"/>
            </w:pPr>
            <w:r>
              <w:t>Reviewing depression levels</w:t>
            </w:r>
          </w:p>
        </w:tc>
        <w:tc>
          <w:tcPr>
            <w:tcW w:w="4130" w:type="dxa"/>
          </w:tcPr>
          <w:p w14:paraId="57E309D4"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279A5FC" wp14:editId="1FE19B0D">
                  <wp:extent cx="1905000" cy="304800"/>
                  <wp:effectExtent l="0" t="0" r="0" b="0"/>
                  <wp:docPr id="14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7826EC1"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10E6B19" w14:textId="77777777" w:rsidR="00462E63" w:rsidRDefault="00462E63" w:rsidP="00CE04C8">
            <w:pPr>
              <w:keepNext/>
              <w:spacing w:line="360" w:lineRule="auto"/>
            </w:pPr>
            <w:r>
              <w:t>Education into the CBT model</w:t>
            </w:r>
          </w:p>
        </w:tc>
        <w:tc>
          <w:tcPr>
            <w:tcW w:w="4130" w:type="dxa"/>
          </w:tcPr>
          <w:p w14:paraId="512F8808"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D0607C8" wp14:editId="5B655720">
                  <wp:extent cx="1905000" cy="304800"/>
                  <wp:effectExtent l="0" t="0" r="0" b="0"/>
                  <wp:docPr id="14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C82AB1C"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1DF9F67" w14:textId="77777777" w:rsidR="00462E63" w:rsidRDefault="00462E63" w:rsidP="00CE04C8">
            <w:pPr>
              <w:keepNext/>
              <w:spacing w:line="360" w:lineRule="auto"/>
            </w:pPr>
            <w:r>
              <w:t>Detection and recording of negative automatic thoughts</w:t>
            </w:r>
          </w:p>
        </w:tc>
        <w:tc>
          <w:tcPr>
            <w:tcW w:w="4130" w:type="dxa"/>
          </w:tcPr>
          <w:p w14:paraId="0AF32297"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9CC4DCD" wp14:editId="0DD18FE3">
                  <wp:extent cx="1905000" cy="304800"/>
                  <wp:effectExtent l="0" t="0" r="0" b="0"/>
                  <wp:docPr id="14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B2A928A"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2BEB2A1D" w14:textId="77777777" w:rsidR="00462E63" w:rsidRDefault="00462E63" w:rsidP="00CE04C8">
            <w:pPr>
              <w:keepNext/>
              <w:spacing w:line="360" w:lineRule="auto"/>
            </w:pPr>
            <w:r>
              <w:t>Clarify dysfunctional assumptions</w:t>
            </w:r>
          </w:p>
        </w:tc>
        <w:tc>
          <w:tcPr>
            <w:tcW w:w="4130" w:type="dxa"/>
          </w:tcPr>
          <w:p w14:paraId="77BB654F"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B89A5D9" wp14:editId="2AAC3A05">
                  <wp:extent cx="1905000" cy="304800"/>
                  <wp:effectExtent l="0" t="0" r="0" b="0"/>
                  <wp:docPr id="15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23121AB"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B44A84D" w14:textId="77777777" w:rsidR="00462E63" w:rsidRDefault="00462E63" w:rsidP="00CE04C8">
            <w:pPr>
              <w:keepNext/>
              <w:spacing w:line="360" w:lineRule="auto"/>
            </w:pPr>
            <w:r>
              <w:lastRenderedPageBreak/>
              <w:t>Develop alternative hypotheses about cognitive distortions</w:t>
            </w:r>
          </w:p>
        </w:tc>
        <w:tc>
          <w:tcPr>
            <w:tcW w:w="4130" w:type="dxa"/>
          </w:tcPr>
          <w:p w14:paraId="73F968A9"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C3A9088" wp14:editId="5DC78C84">
                  <wp:extent cx="1905000" cy="304800"/>
                  <wp:effectExtent l="0" t="0" r="0" b="0"/>
                  <wp:docPr id="15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4F2AE29"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1E563C7" w14:textId="77777777" w:rsidR="00462E63" w:rsidRDefault="00462E63" w:rsidP="00CE04C8">
            <w:pPr>
              <w:keepNext/>
              <w:spacing w:line="360" w:lineRule="auto"/>
            </w:pPr>
            <w:r>
              <w:t>Return to behavioural activation</w:t>
            </w:r>
          </w:p>
        </w:tc>
        <w:tc>
          <w:tcPr>
            <w:tcW w:w="4130" w:type="dxa"/>
          </w:tcPr>
          <w:p w14:paraId="0831AE2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B669F5C" wp14:editId="3AFC6C7B">
                  <wp:extent cx="1905000" cy="304800"/>
                  <wp:effectExtent l="0" t="0" r="0" b="0"/>
                  <wp:docPr id="15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3B736D8"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1D104A3E" w14:textId="77777777" w:rsidR="00462E63" w:rsidRDefault="00462E63" w:rsidP="00CE04C8">
            <w:pPr>
              <w:keepNext/>
              <w:spacing w:line="360" w:lineRule="auto"/>
            </w:pPr>
            <w:r>
              <w:t>Mindfulness</w:t>
            </w:r>
          </w:p>
        </w:tc>
        <w:tc>
          <w:tcPr>
            <w:tcW w:w="4130" w:type="dxa"/>
          </w:tcPr>
          <w:p w14:paraId="14FCDD0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0DA7F48" wp14:editId="5951A367">
                  <wp:extent cx="1905000" cy="304800"/>
                  <wp:effectExtent l="0" t="0" r="0" b="0"/>
                  <wp:docPr id="15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7C587EF"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6BFE13F" w14:textId="77777777" w:rsidR="00462E63" w:rsidRDefault="00462E63" w:rsidP="00CE04C8">
            <w:pPr>
              <w:keepNext/>
              <w:spacing w:line="360" w:lineRule="auto"/>
            </w:pPr>
            <w:r>
              <w:t>Eye Movement Desensitisation and Reprocessing (EMDR)</w:t>
            </w:r>
          </w:p>
        </w:tc>
        <w:tc>
          <w:tcPr>
            <w:tcW w:w="4130" w:type="dxa"/>
          </w:tcPr>
          <w:p w14:paraId="6A31137D"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BF693BE" wp14:editId="2D8E9F7D">
                  <wp:extent cx="1905000" cy="304800"/>
                  <wp:effectExtent l="0" t="0" r="0" b="0"/>
                  <wp:docPr id="15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161484C"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FFCE0BF" w14:textId="77777777" w:rsidR="00462E63" w:rsidRDefault="00462E63" w:rsidP="00CE04C8">
            <w:pPr>
              <w:keepNext/>
              <w:spacing w:line="360" w:lineRule="auto"/>
            </w:pPr>
            <w:r>
              <w:t>Review homework tasks</w:t>
            </w:r>
          </w:p>
        </w:tc>
        <w:tc>
          <w:tcPr>
            <w:tcW w:w="4130" w:type="dxa"/>
          </w:tcPr>
          <w:p w14:paraId="5346E237"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389527B" wp14:editId="562E0AE1">
                  <wp:extent cx="1905000" cy="304800"/>
                  <wp:effectExtent l="0" t="0" r="0" b="0"/>
                  <wp:docPr id="15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183419B"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6C1F7029" w14:textId="77777777" w:rsidR="00462E63" w:rsidRDefault="00462E63" w:rsidP="00CE04C8">
            <w:pPr>
              <w:keepNext/>
              <w:spacing w:line="360" w:lineRule="auto"/>
            </w:pPr>
            <w:r>
              <w:t>Testing alternative hypotheses via behavioural experiments</w:t>
            </w:r>
          </w:p>
        </w:tc>
        <w:tc>
          <w:tcPr>
            <w:tcW w:w="4130" w:type="dxa"/>
          </w:tcPr>
          <w:p w14:paraId="0D1ECBF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643D8B" wp14:editId="0399D53E">
                  <wp:extent cx="1905000" cy="304800"/>
                  <wp:effectExtent l="0" t="0" r="0" b="0"/>
                  <wp:docPr id="1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083044C"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378BBB6" w14:textId="77777777" w:rsidR="00462E63" w:rsidRDefault="00462E63" w:rsidP="00CE04C8">
            <w:pPr>
              <w:keepNext/>
              <w:spacing w:line="360" w:lineRule="auto"/>
            </w:pPr>
            <w:r>
              <w:t>Cognitive reheasal</w:t>
            </w:r>
          </w:p>
        </w:tc>
        <w:tc>
          <w:tcPr>
            <w:tcW w:w="4130" w:type="dxa"/>
          </w:tcPr>
          <w:p w14:paraId="59C61E3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965389" wp14:editId="050F8876">
                  <wp:extent cx="1905000" cy="304800"/>
                  <wp:effectExtent l="0" t="0" r="0" b="0"/>
                  <wp:docPr id="15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456B6FE"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5D488DEE" w14:textId="77777777" w:rsidR="00462E63" w:rsidRDefault="00462E63" w:rsidP="00CE04C8">
            <w:pPr>
              <w:keepNext/>
              <w:spacing w:line="360" w:lineRule="auto"/>
            </w:pPr>
            <w:r>
              <w:t>Assertiveness training</w:t>
            </w:r>
          </w:p>
        </w:tc>
        <w:tc>
          <w:tcPr>
            <w:tcW w:w="4130" w:type="dxa"/>
          </w:tcPr>
          <w:p w14:paraId="4379D7C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F2DA9A" wp14:editId="62B92793">
                  <wp:extent cx="1905000" cy="304800"/>
                  <wp:effectExtent l="0" t="0" r="0" b="0"/>
                  <wp:docPr id="1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5DCACEE4"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7DB70ABB" w14:textId="77777777" w:rsidR="00462E63" w:rsidRDefault="00462E63" w:rsidP="00CE04C8">
            <w:pPr>
              <w:keepNext/>
              <w:spacing w:line="360" w:lineRule="auto"/>
            </w:pPr>
            <w:r>
              <w:t>Use of reattribution</w:t>
            </w:r>
          </w:p>
        </w:tc>
        <w:tc>
          <w:tcPr>
            <w:tcW w:w="4130" w:type="dxa"/>
          </w:tcPr>
          <w:p w14:paraId="7223ADA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30263D" wp14:editId="7637EB51">
                  <wp:extent cx="1905000" cy="304800"/>
                  <wp:effectExtent l="0" t="0" r="0" b="0"/>
                  <wp:docPr id="15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207A3AB" w14:textId="77777777" w:rsidTr="00CE04C8">
        <w:tc>
          <w:tcPr>
            <w:cnfStyle w:val="001000000000" w:firstRow="0" w:lastRow="0" w:firstColumn="1" w:lastColumn="0" w:oddVBand="0" w:evenVBand="0" w:oddHBand="0" w:evenHBand="0" w:firstRowFirstColumn="0" w:firstRowLastColumn="0" w:lastRowFirstColumn="0" w:lastRowLastColumn="0"/>
            <w:tcW w:w="4068" w:type="dxa"/>
          </w:tcPr>
          <w:p w14:paraId="486FE335" w14:textId="77777777" w:rsidR="00462E63" w:rsidRDefault="00462E63" w:rsidP="00CE04C8">
            <w:pPr>
              <w:keepNext/>
              <w:spacing w:line="360" w:lineRule="auto"/>
            </w:pPr>
            <w:r>
              <w:t>Other (please state)</w:t>
            </w:r>
          </w:p>
        </w:tc>
        <w:tc>
          <w:tcPr>
            <w:tcW w:w="4130" w:type="dxa"/>
          </w:tcPr>
          <w:p w14:paraId="076C550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A4B77B0" wp14:editId="1C3B7F1E">
                  <wp:extent cx="1905000" cy="304800"/>
                  <wp:effectExtent l="0" t="0" r="0" b="0"/>
                  <wp:docPr id="16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7321F630" w14:textId="77777777" w:rsidR="00462E63" w:rsidRDefault="00462E63" w:rsidP="00C230E9">
      <w:pPr>
        <w:keepNext/>
        <w:spacing w:line="360" w:lineRule="auto"/>
      </w:pPr>
    </w:p>
    <w:p w14:paraId="544FAA81" w14:textId="77777777" w:rsidR="00CE04C8" w:rsidRDefault="00CE04C8" w:rsidP="00C230E9">
      <w:pPr>
        <w:keepNext/>
        <w:spacing w:line="360" w:lineRule="auto"/>
      </w:pPr>
    </w:p>
    <w:p w14:paraId="355274DB" w14:textId="77777777" w:rsidR="00CE04C8" w:rsidRDefault="00CE04C8" w:rsidP="00C230E9">
      <w:pPr>
        <w:keepNext/>
        <w:spacing w:line="360" w:lineRule="auto"/>
      </w:pPr>
    </w:p>
    <w:p w14:paraId="60CFA1B0" w14:textId="77777777" w:rsidR="00CE04C8" w:rsidRDefault="00CE04C8" w:rsidP="00C230E9">
      <w:pPr>
        <w:keepNext/>
        <w:spacing w:line="360" w:lineRule="auto"/>
      </w:pPr>
    </w:p>
    <w:p w14:paraId="268056E4" w14:textId="77777777" w:rsidR="00CE04C8" w:rsidRDefault="00CE04C8" w:rsidP="00C230E9">
      <w:pPr>
        <w:keepNext/>
        <w:spacing w:line="360" w:lineRule="auto"/>
      </w:pPr>
    </w:p>
    <w:p w14:paraId="5BB23B84" w14:textId="77777777" w:rsidR="00CE04C8" w:rsidRDefault="00CE04C8" w:rsidP="00C230E9">
      <w:pPr>
        <w:keepNext/>
        <w:spacing w:line="360" w:lineRule="auto"/>
      </w:pPr>
    </w:p>
    <w:p w14:paraId="24946020" w14:textId="77777777" w:rsidR="00CE04C8" w:rsidRDefault="00CE04C8" w:rsidP="00C230E9">
      <w:pPr>
        <w:keepNext/>
        <w:spacing w:line="360" w:lineRule="auto"/>
      </w:pPr>
    </w:p>
    <w:p w14:paraId="0B7B667C" w14:textId="77777777" w:rsidR="00CE04C8" w:rsidRDefault="00CE04C8" w:rsidP="00C230E9">
      <w:pPr>
        <w:keepNext/>
        <w:spacing w:line="360" w:lineRule="auto"/>
      </w:pPr>
    </w:p>
    <w:p w14:paraId="04322BD1" w14:textId="77777777" w:rsidR="00CE04C8" w:rsidRDefault="00CE04C8" w:rsidP="00C230E9">
      <w:pPr>
        <w:keepNext/>
        <w:spacing w:line="360" w:lineRule="auto"/>
      </w:pPr>
    </w:p>
    <w:p w14:paraId="3238E576" w14:textId="77777777" w:rsidR="00CE04C8" w:rsidRDefault="00CE04C8" w:rsidP="00C230E9">
      <w:pPr>
        <w:keepNext/>
        <w:spacing w:line="360" w:lineRule="auto"/>
      </w:pPr>
    </w:p>
    <w:p w14:paraId="18D284E2" w14:textId="77777777" w:rsidR="00930E7C" w:rsidRDefault="00930E7C" w:rsidP="00C230E9">
      <w:pPr>
        <w:keepNext/>
        <w:spacing w:line="360" w:lineRule="auto"/>
      </w:pPr>
    </w:p>
    <w:p w14:paraId="25EEBE33" w14:textId="77777777" w:rsidR="00930E7C" w:rsidRDefault="00930E7C" w:rsidP="00C230E9">
      <w:pPr>
        <w:keepNext/>
        <w:spacing w:line="360" w:lineRule="auto"/>
      </w:pPr>
    </w:p>
    <w:p w14:paraId="010CDD92" w14:textId="77777777" w:rsidR="00930E7C" w:rsidRDefault="00930E7C" w:rsidP="00C230E9">
      <w:pPr>
        <w:keepNext/>
        <w:spacing w:line="360" w:lineRule="auto"/>
      </w:pPr>
    </w:p>
    <w:p w14:paraId="0F800809" w14:textId="77777777" w:rsidR="00930E7C" w:rsidRDefault="00930E7C" w:rsidP="00C230E9">
      <w:pPr>
        <w:keepNext/>
        <w:spacing w:line="360" w:lineRule="auto"/>
      </w:pPr>
    </w:p>
    <w:p w14:paraId="644EA1DE" w14:textId="77777777" w:rsidR="00930E7C" w:rsidRDefault="00462E63" w:rsidP="00C230E9">
      <w:pPr>
        <w:keepNext/>
        <w:spacing w:line="360" w:lineRule="auto"/>
      </w:pPr>
      <w:r>
        <w:t xml:space="preserve">Your supervisee, James, is 40. He has been a qualified therapist for 15 years. He seems anxious in your supervision session today. This is surprising as he’s usually a relaxed clinician who’s confident in his abilities. It transpires that he is concerned about a patient called Lauren who has depression. James has been seeing her for six sessions out of a planned 12. </w:t>
      </w:r>
    </w:p>
    <w:p w14:paraId="48ED9D90" w14:textId="5E8B8BB6" w:rsidR="00930E7C" w:rsidRDefault="00462E63" w:rsidP="00C230E9">
      <w:pPr>
        <w:keepNext/>
        <w:spacing w:line="360" w:lineRule="auto"/>
      </w:pPr>
      <w:r>
        <w:t xml:space="preserve">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w:t>
      </w:r>
      <w:r>
        <w:lastRenderedPageBreak/>
        <w:t xml:space="preserve">marriage. She has showed no signs of self-harm or indication that she is a suicide risk.  </w:t>
      </w:r>
    </w:p>
    <w:p w14:paraId="5A1ED00E" w14:textId="6E58D23F" w:rsidR="00462E63" w:rsidRDefault="00462E63" w:rsidP="00C230E9">
      <w:pPr>
        <w:keepNext/>
        <w:spacing w:line="360" w:lineRule="auto"/>
      </w:pPr>
      <w:r>
        <w:t xml:space="preserve">In previous supervision sessions you had advised James that he should be pushing Lauren to engage in behavioural activation. Although he had agreed with you that behavioural activation was the appropriate course of action, he has failed to deliver on this. He had reservations about pushing Lauren to change behaviourally and so had focused on developing a strong therapeutic alliance with her, rather than on the therapeutic techniques that you had discussed. He is particularly concerned that the demands of behavioural activation may cause Lauren to stop coming to sessions and drop out of therapy. </w:t>
      </w:r>
    </w:p>
    <w:p w14:paraId="6B20895E" w14:textId="77777777" w:rsidR="00462E63" w:rsidRDefault="00462E63" w:rsidP="00C230E9">
      <w:pPr>
        <w:spacing w:line="360" w:lineRule="auto"/>
      </w:pPr>
    </w:p>
    <w:p w14:paraId="5A42C4A5" w14:textId="77777777" w:rsidR="00462E63" w:rsidRDefault="00462E63" w:rsidP="00C230E9">
      <w:pPr>
        <w:keepNext/>
        <w:spacing w:line="360" w:lineRule="auto"/>
      </w:pPr>
      <w:r>
        <w:rPr>
          <w:b/>
        </w:rPr>
        <w:t>When advising James of how to proceed in therapy with Lauren, to what extent would you focus them on each of the following aspects of therapy?</w:t>
      </w:r>
      <w:r>
        <w:t xml:space="preserve">     (Where 0 is 'I would not focus on this' and 100 is 'I would focus entirely on this')</w:t>
      </w:r>
    </w:p>
    <w:tbl>
      <w:tblPr>
        <w:tblStyle w:val="QSliderLabelsTable"/>
        <w:tblW w:w="9576" w:type="auto"/>
        <w:tblInd w:w="0" w:type="dxa"/>
        <w:tblLook w:val="07E0" w:firstRow="1" w:lastRow="1" w:firstColumn="1" w:lastColumn="1" w:noHBand="1" w:noVBand="1"/>
      </w:tblPr>
      <w:tblGrid>
        <w:gridCol w:w="3797"/>
        <w:gridCol w:w="373"/>
        <w:gridCol w:w="400"/>
        <w:gridCol w:w="400"/>
        <w:gridCol w:w="400"/>
        <w:gridCol w:w="400"/>
        <w:gridCol w:w="400"/>
        <w:gridCol w:w="400"/>
        <w:gridCol w:w="400"/>
        <w:gridCol w:w="400"/>
        <w:gridCol w:w="400"/>
        <w:gridCol w:w="428"/>
      </w:tblGrid>
      <w:tr w:rsidR="00462E63" w14:paraId="7E480D62" w14:textId="77777777" w:rsidTr="00DE0366">
        <w:tc>
          <w:tcPr>
            <w:tcW w:w="4788" w:type="dxa"/>
          </w:tcPr>
          <w:p w14:paraId="4E7EE48D" w14:textId="77777777" w:rsidR="00462E63" w:rsidRDefault="00462E63" w:rsidP="00C230E9">
            <w:pPr>
              <w:spacing w:line="360" w:lineRule="auto"/>
            </w:pPr>
          </w:p>
        </w:tc>
        <w:tc>
          <w:tcPr>
            <w:tcW w:w="435" w:type="dxa"/>
          </w:tcPr>
          <w:p w14:paraId="7512E3AA" w14:textId="77777777" w:rsidR="00462E63" w:rsidRDefault="00462E63" w:rsidP="00C230E9">
            <w:pPr>
              <w:spacing w:line="360" w:lineRule="auto"/>
            </w:pPr>
            <w:r>
              <w:t>0</w:t>
            </w:r>
          </w:p>
        </w:tc>
        <w:tc>
          <w:tcPr>
            <w:tcW w:w="435" w:type="dxa"/>
          </w:tcPr>
          <w:p w14:paraId="70B4E6EB" w14:textId="77777777" w:rsidR="00462E63" w:rsidRDefault="00462E63" w:rsidP="00C230E9">
            <w:pPr>
              <w:spacing w:line="360" w:lineRule="auto"/>
            </w:pPr>
            <w:r>
              <w:t>10</w:t>
            </w:r>
          </w:p>
        </w:tc>
        <w:tc>
          <w:tcPr>
            <w:tcW w:w="435" w:type="dxa"/>
          </w:tcPr>
          <w:p w14:paraId="670BB071" w14:textId="77777777" w:rsidR="00462E63" w:rsidRDefault="00462E63" w:rsidP="00C230E9">
            <w:pPr>
              <w:spacing w:line="360" w:lineRule="auto"/>
            </w:pPr>
            <w:r>
              <w:t>20</w:t>
            </w:r>
          </w:p>
        </w:tc>
        <w:tc>
          <w:tcPr>
            <w:tcW w:w="435" w:type="dxa"/>
          </w:tcPr>
          <w:p w14:paraId="467CCE9E" w14:textId="77777777" w:rsidR="00462E63" w:rsidRDefault="00462E63" w:rsidP="00C230E9">
            <w:pPr>
              <w:spacing w:line="360" w:lineRule="auto"/>
            </w:pPr>
            <w:r>
              <w:t>30</w:t>
            </w:r>
          </w:p>
        </w:tc>
        <w:tc>
          <w:tcPr>
            <w:tcW w:w="435" w:type="dxa"/>
          </w:tcPr>
          <w:p w14:paraId="3D0F6EFF" w14:textId="77777777" w:rsidR="00462E63" w:rsidRDefault="00462E63" w:rsidP="00C230E9">
            <w:pPr>
              <w:spacing w:line="360" w:lineRule="auto"/>
            </w:pPr>
            <w:r>
              <w:t>40</w:t>
            </w:r>
          </w:p>
        </w:tc>
        <w:tc>
          <w:tcPr>
            <w:tcW w:w="435" w:type="dxa"/>
          </w:tcPr>
          <w:p w14:paraId="1422002F" w14:textId="77777777" w:rsidR="00462E63" w:rsidRDefault="00462E63" w:rsidP="00C230E9">
            <w:pPr>
              <w:spacing w:line="360" w:lineRule="auto"/>
            </w:pPr>
            <w:r>
              <w:t>50</w:t>
            </w:r>
          </w:p>
        </w:tc>
        <w:tc>
          <w:tcPr>
            <w:tcW w:w="435" w:type="dxa"/>
          </w:tcPr>
          <w:p w14:paraId="776DD2DA" w14:textId="77777777" w:rsidR="00462E63" w:rsidRDefault="00462E63" w:rsidP="00C230E9">
            <w:pPr>
              <w:spacing w:line="360" w:lineRule="auto"/>
            </w:pPr>
            <w:r>
              <w:t>60</w:t>
            </w:r>
          </w:p>
        </w:tc>
        <w:tc>
          <w:tcPr>
            <w:tcW w:w="435" w:type="dxa"/>
          </w:tcPr>
          <w:p w14:paraId="4B3EF5D9" w14:textId="77777777" w:rsidR="00462E63" w:rsidRDefault="00462E63" w:rsidP="00C230E9">
            <w:pPr>
              <w:spacing w:line="360" w:lineRule="auto"/>
            </w:pPr>
            <w:r>
              <w:t>70</w:t>
            </w:r>
          </w:p>
        </w:tc>
        <w:tc>
          <w:tcPr>
            <w:tcW w:w="435" w:type="dxa"/>
          </w:tcPr>
          <w:p w14:paraId="496A5B06" w14:textId="77777777" w:rsidR="00462E63" w:rsidRDefault="00462E63" w:rsidP="00C230E9">
            <w:pPr>
              <w:spacing w:line="360" w:lineRule="auto"/>
            </w:pPr>
            <w:r>
              <w:t>80</w:t>
            </w:r>
          </w:p>
        </w:tc>
        <w:tc>
          <w:tcPr>
            <w:tcW w:w="435" w:type="dxa"/>
          </w:tcPr>
          <w:p w14:paraId="1032E32D" w14:textId="77777777" w:rsidR="00462E63" w:rsidRDefault="00462E63" w:rsidP="00C230E9">
            <w:pPr>
              <w:spacing w:line="360" w:lineRule="auto"/>
            </w:pPr>
            <w:r>
              <w:t>90</w:t>
            </w:r>
          </w:p>
        </w:tc>
        <w:tc>
          <w:tcPr>
            <w:tcW w:w="435" w:type="dxa"/>
          </w:tcPr>
          <w:p w14:paraId="0B4201B4" w14:textId="77777777" w:rsidR="00462E63" w:rsidRDefault="00462E63" w:rsidP="00C230E9">
            <w:pPr>
              <w:spacing w:line="360" w:lineRule="auto"/>
            </w:pPr>
            <w:r>
              <w:t>100</w:t>
            </w:r>
          </w:p>
        </w:tc>
      </w:tr>
    </w:tbl>
    <w:p w14:paraId="2D36753E" w14:textId="77777777" w:rsidR="00462E63" w:rsidRDefault="00462E63" w:rsidP="00C230E9">
      <w:pPr>
        <w:spacing w:line="360" w:lineRule="auto"/>
      </w:pPr>
    </w:p>
    <w:tbl>
      <w:tblPr>
        <w:tblStyle w:val="QStandardSliderTable"/>
        <w:tblpPr w:leftFromText="180" w:rightFromText="180" w:vertAnchor="text" w:tblpY="1"/>
        <w:tblOverlap w:val="never"/>
        <w:tblW w:w="9576" w:type="auto"/>
        <w:tblLook w:val="07E0" w:firstRow="1" w:lastRow="1" w:firstColumn="1" w:lastColumn="1" w:noHBand="1" w:noVBand="1"/>
      </w:tblPr>
      <w:tblGrid>
        <w:gridCol w:w="4068"/>
        <w:gridCol w:w="4130"/>
      </w:tblGrid>
      <w:tr w:rsidR="00462E63" w14:paraId="55AAA32C"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D3CA31E" w14:textId="77777777" w:rsidR="00462E63" w:rsidRDefault="00462E63" w:rsidP="00CE04C8">
            <w:pPr>
              <w:keepNext/>
              <w:spacing w:line="360" w:lineRule="auto"/>
            </w:pPr>
            <w:r>
              <w:t>Focus on risk (to the patient or others)</w:t>
            </w:r>
          </w:p>
        </w:tc>
        <w:tc>
          <w:tcPr>
            <w:tcW w:w="4788" w:type="dxa"/>
          </w:tcPr>
          <w:p w14:paraId="3A4A765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188761E" wp14:editId="5B283D08">
                  <wp:extent cx="1905000" cy="304800"/>
                  <wp:effectExtent l="0" t="0" r="0" b="0"/>
                  <wp:docPr id="27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E2B80E8"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0E42B856" w14:textId="77777777" w:rsidR="00462E63" w:rsidRDefault="00462E63" w:rsidP="00CE04C8">
            <w:pPr>
              <w:keepNext/>
              <w:spacing w:line="360" w:lineRule="auto"/>
            </w:pPr>
            <w:r>
              <w:t>Focus on the patient's capacity to use treatment and benefit from it</w:t>
            </w:r>
          </w:p>
        </w:tc>
        <w:tc>
          <w:tcPr>
            <w:tcW w:w="4788" w:type="dxa"/>
          </w:tcPr>
          <w:p w14:paraId="30A67D8E"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1BA3778" wp14:editId="4FEECF15">
                  <wp:extent cx="1905000" cy="304800"/>
                  <wp:effectExtent l="0" t="0" r="0" b="0"/>
                  <wp:docPr id="27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22A2DD9"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5FD39B1" w14:textId="77777777" w:rsidR="00462E63" w:rsidRDefault="00462E63" w:rsidP="00CE04C8">
            <w:pPr>
              <w:keepNext/>
              <w:spacing w:line="360" w:lineRule="auto"/>
            </w:pPr>
            <w:r>
              <w:t>Focus on the patient's week</w:t>
            </w:r>
          </w:p>
        </w:tc>
        <w:tc>
          <w:tcPr>
            <w:tcW w:w="4788" w:type="dxa"/>
          </w:tcPr>
          <w:p w14:paraId="3E9B2D6B"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78B4654" wp14:editId="5515B4FE">
                  <wp:extent cx="1905000" cy="304800"/>
                  <wp:effectExtent l="0" t="0" r="0" b="0"/>
                  <wp:docPr id="57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1C82A0A5"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072DBEB8" w14:textId="77777777" w:rsidR="00462E63" w:rsidRDefault="00462E63" w:rsidP="00CE04C8">
            <w:pPr>
              <w:keepNext/>
              <w:spacing w:line="360" w:lineRule="auto"/>
            </w:pPr>
            <w:r>
              <w:t>Encouragement/motivation of the clinician to remain on task</w:t>
            </w:r>
          </w:p>
        </w:tc>
        <w:tc>
          <w:tcPr>
            <w:tcW w:w="4788" w:type="dxa"/>
          </w:tcPr>
          <w:p w14:paraId="00FA470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CCD621E" wp14:editId="2E39FDAE">
                  <wp:extent cx="1905000" cy="304800"/>
                  <wp:effectExtent l="0" t="0" r="0" b="0"/>
                  <wp:docPr id="57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FBF1CA2"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A59A505" w14:textId="77777777" w:rsidR="00462E63" w:rsidRDefault="00462E63" w:rsidP="00CE04C8">
            <w:pPr>
              <w:keepNext/>
              <w:spacing w:line="360" w:lineRule="auto"/>
            </w:pPr>
            <w:r>
              <w:t>Motivation work with the patient</w:t>
            </w:r>
          </w:p>
        </w:tc>
        <w:tc>
          <w:tcPr>
            <w:tcW w:w="4788" w:type="dxa"/>
          </w:tcPr>
          <w:p w14:paraId="3C1C964F"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1C5BB74" wp14:editId="19B5104F">
                  <wp:extent cx="1905000" cy="304800"/>
                  <wp:effectExtent l="0" t="0" r="0" b="0"/>
                  <wp:docPr id="57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0C413D5"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1BA34B6" w14:textId="77777777" w:rsidR="00462E63" w:rsidRDefault="00462E63" w:rsidP="00CE04C8">
            <w:pPr>
              <w:keepNext/>
              <w:spacing w:line="360" w:lineRule="auto"/>
            </w:pPr>
            <w:r>
              <w:lastRenderedPageBreak/>
              <w:t>Focus on the therapeutic bond (attachment between patient and clinician)</w:t>
            </w:r>
          </w:p>
        </w:tc>
        <w:tc>
          <w:tcPr>
            <w:tcW w:w="4788" w:type="dxa"/>
          </w:tcPr>
          <w:p w14:paraId="6F851D5B"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23F5EE6" wp14:editId="642870E0">
                  <wp:extent cx="1905000" cy="304800"/>
                  <wp:effectExtent l="0" t="0" r="0" b="0"/>
                  <wp:docPr id="57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56E7B8B2"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D39C23F" w14:textId="77777777" w:rsidR="00462E63" w:rsidRDefault="00462E63" w:rsidP="00CE04C8">
            <w:pPr>
              <w:keepNext/>
              <w:spacing w:line="360" w:lineRule="auto"/>
            </w:pPr>
            <w:r>
              <w:t>Agreement on the goals of therapy</w:t>
            </w:r>
          </w:p>
        </w:tc>
        <w:tc>
          <w:tcPr>
            <w:tcW w:w="4788" w:type="dxa"/>
          </w:tcPr>
          <w:p w14:paraId="0BDDCBFF"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E7F1A9C" wp14:editId="6D2CDFAF">
                  <wp:extent cx="1905000" cy="304800"/>
                  <wp:effectExtent l="0" t="0" r="0" b="0"/>
                  <wp:docPr id="57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1BA5B57"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2A5744F" w14:textId="77777777" w:rsidR="00462E63" w:rsidRDefault="00462E63" w:rsidP="00CE04C8">
            <w:pPr>
              <w:keepNext/>
              <w:spacing w:line="360" w:lineRule="auto"/>
            </w:pPr>
            <w:r>
              <w:t>Agreement on the tasks of therapy</w:t>
            </w:r>
          </w:p>
        </w:tc>
        <w:tc>
          <w:tcPr>
            <w:tcW w:w="4788" w:type="dxa"/>
          </w:tcPr>
          <w:p w14:paraId="706BC6E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D8E3714" wp14:editId="03E3F9DF">
                  <wp:extent cx="1905000" cy="304800"/>
                  <wp:effectExtent l="0" t="0" r="0" b="0"/>
                  <wp:docPr id="57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5ACA1C13"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54F0721" w14:textId="77777777" w:rsidR="00462E63" w:rsidRDefault="00462E63" w:rsidP="00CE04C8">
            <w:pPr>
              <w:keepNext/>
              <w:spacing w:line="360" w:lineRule="auto"/>
            </w:pPr>
            <w:r>
              <w:t>Reviewing depression levels</w:t>
            </w:r>
          </w:p>
        </w:tc>
        <w:tc>
          <w:tcPr>
            <w:tcW w:w="4788" w:type="dxa"/>
          </w:tcPr>
          <w:p w14:paraId="13D12D78"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F5A060" wp14:editId="79165DD6">
                  <wp:extent cx="1905000" cy="304800"/>
                  <wp:effectExtent l="0" t="0" r="0" b="0"/>
                  <wp:docPr id="58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61DB1A17"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6A3E9AF" w14:textId="77777777" w:rsidR="00462E63" w:rsidRDefault="00462E63" w:rsidP="00CE04C8">
            <w:pPr>
              <w:keepNext/>
              <w:spacing w:line="360" w:lineRule="auto"/>
            </w:pPr>
            <w:r>
              <w:t>Education into the CBT model</w:t>
            </w:r>
          </w:p>
        </w:tc>
        <w:tc>
          <w:tcPr>
            <w:tcW w:w="4788" w:type="dxa"/>
          </w:tcPr>
          <w:p w14:paraId="29489DD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A1AC836" wp14:editId="207FA7FF">
                  <wp:extent cx="1905000" cy="304800"/>
                  <wp:effectExtent l="0" t="0" r="0" b="0"/>
                  <wp:docPr id="28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181ADB3F"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2D84C2EB" w14:textId="77777777" w:rsidR="00462E63" w:rsidRDefault="00462E63" w:rsidP="00CE04C8">
            <w:pPr>
              <w:keepNext/>
              <w:spacing w:line="360" w:lineRule="auto"/>
            </w:pPr>
            <w:r>
              <w:t>Detection and recording of negative automatic thoughts</w:t>
            </w:r>
          </w:p>
        </w:tc>
        <w:tc>
          <w:tcPr>
            <w:tcW w:w="4788" w:type="dxa"/>
          </w:tcPr>
          <w:p w14:paraId="59366DB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5C9616" wp14:editId="66F6A986">
                  <wp:extent cx="1905000" cy="304800"/>
                  <wp:effectExtent l="0" t="0" r="0" b="0"/>
                  <wp:docPr id="28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6133866"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959BF5A" w14:textId="77777777" w:rsidR="00462E63" w:rsidRDefault="00462E63" w:rsidP="00CE04C8">
            <w:pPr>
              <w:keepNext/>
              <w:spacing w:line="360" w:lineRule="auto"/>
            </w:pPr>
            <w:r>
              <w:t>Clarify dysfunctional assumptions</w:t>
            </w:r>
          </w:p>
        </w:tc>
        <w:tc>
          <w:tcPr>
            <w:tcW w:w="4788" w:type="dxa"/>
          </w:tcPr>
          <w:p w14:paraId="630EB3C3"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FD26A39" wp14:editId="6641DFCD">
                  <wp:extent cx="1905000" cy="304800"/>
                  <wp:effectExtent l="0" t="0" r="0" b="0"/>
                  <wp:docPr id="28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B3F1F22"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A6784DB" w14:textId="77777777" w:rsidR="00462E63" w:rsidRDefault="00462E63" w:rsidP="00CE04C8">
            <w:pPr>
              <w:keepNext/>
              <w:spacing w:line="360" w:lineRule="auto"/>
            </w:pPr>
            <w:r>
              <w:t>Develop alternative hypotheses about cognitive distortions</w:t>
            </w:r>
          </w:p>
        </w:tc>
        <w:tc>
          <w:tcPr>
            <w:tcW w:w="4788" w:type="dxa"/>
          </w:tcPr>
          <w:p w14:paraId="2060C3AA"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833A62D" wp14:editId="407AB2A3">
                  <wp:extent cx="1905000" cy="304800"/>
                  <wp:effectExtent l="0" t="0" r="0" b="0"/>
                  <wp:docPr id="28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272FA991"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7F9A350A" w14:textId="77777777" w:rsidR="00462E63" w:rsidRDefault="00462E63" w:rsidP="00CE04C8">
            <w:pPr>
              <w:keepNext/>
              <w:spacing w:line="360" w:lineRule="auto"/>
            </w:pPr>
            <w:r>
              <w:t>Return to behavioural activation</w:t>
            </w:r>
          </w:p>
        </w:tc>
        <w:tc>
          <w:tcPr>
            <w:tcW w:w="4788" w:type="dxa"/>
          </w:tcPr>
          <w:p w14:paraId="59F1AABB"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E23EA16" wp14:editId="02D823CA">
                  <wp:extent cx="1905000" cy="304800"/>
                  <wp:effectExtent l="0" t="0" r="0" b="0"/>
                  <wp:docPr id="28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5B0A98E"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A88ED26" w14:textId="77777777" w:rsidR="00462E63" w:rsidRDefault="00462E63" w:rsidP="00CE04C8">
            <w:pPr>
              <w:keepNext/>
              <w:spacing w:line="360" w:lineRule="auto"/>
            </w:pPr>
            <w:r>
              <w:t>Mindfulness</w:t>
            </w:r>
          </w:p>
        </w:tc>
        <w:tc>
          <w:tcPr>
            <w:tcW w:w="4788" w:type="dxa"/>
          </w:tcPr>
          <w:p w14:paraId="21FEC3F7"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8E1AF09" wp14:editId="4504BE05">
                  <wp:extent cx="1905000" cy="304800"/>
                  <wp:effectExtent l="0" t="0" r="0" b="0"/>
                  <wp:docPr id="28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736C4A6"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256589B9" w14:textId="77777777" w:rsidR="00462E63" w:rsidRDefault="00462E63" w:rsidP="00CE04C8">
            <w:pPr>
              <w:keepNext/>
              <w:spacing w:line="360" w:lineRule="auto"/>
            </w:pPr>
            <w:r>
              <w:t>Eye Movement Desensitisation and Reprocessing (EMDR)</w:t>
            </w:r>
          </w:p>
        </w:tc>
        <w:tc>
          <w:tcPr>
            <w:tcW w:w="4788" w:type="dxa"/>
          </w:tcPr>
          <w:p w14:paraId="43614F94"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1FA96D0" wp14:editId="657890F6">
                  <wp:extent cx="1905000" cy="304800"/>
                  <wp:effectExtent l="0" t="0" r="0" b="0"/>
                  <wp:docPr id="28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07BAF3CD"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5B22CCA6" w14:textId="77777777" w:rsidR="00462E63" w:rsidRDefault="00462E63" w:rsidP="00CE04C8">
            <w:pPr>
              <w:keepNext/>
              <w:spacing w:line="360" w:lineRule="auto"/>
            </w:pPr>
            <w:r>
              <w:t>Review homework tasks</w:t>
            </w:r>
          </w:p>
        </w:tc>
        <w:tc>
          <w:tcPr>
            <w:tcW w:w="4788" w:type="dxa"/>
          </w:tcPr>
          <w:p w14:paraId="6111ECEC"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D5E20AE" wp14:editId="7F18A1F4">
                  <wp:extent cx="1905000" cy="304800"/>
                  <wp:effectExtent l="0" t="0" r="0" b="0"/>
                  <wp:docPr id="28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B2CC615"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2A27BFB0" w14:textId="77777777" w:rsidR="00462E63" w:rsidRDefault="00462E63" w:rsidP="00CE04C8">
            <w:pPr>
              <w:keepNext/>
              <w:spacing w:line="360" w:lineRule="auto"/>
            </w:pPr>
            <w:r>
              <w:t>Testing alternative hypotheses via behavioural experiments</w:t>
            </w:r>
          </w:p>
        </w:tc>
        <w:tc>
          <w:tcPr>
            <w:tcW w:w="4788" w:type="dxa"/>
          </w:tcPr>
          <w:p w14:paraId="51F18FF7"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F09F94F" wp14:editId="6CAE4CA6">
                  <wp:extent cx="1905000" cy="304800"/>
                  <wp:effectExtent l="0" t="0" r="0" b="0"/>
                  <wp:docPr id="28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3998210"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3FB7D4D1" w14:textId="77777777" w:rsidR="00462E63" w:rsidRDefault="00462E63" w:rsidP="00CE04C8">
            <w:pPr>
              <w:keepNext/>
              <w:spacing w:line="360" w:lineRule="auto"/>
            </w:pPr>
            <w:r>
              <w:t>Cognitive reheasal</w:t>
            </w:r>
          </w:p>
        </w:tc>
        <w:tc>
          <w:tcPr>
            <w:tcW w:w="4788" w:type="dxa"/>
          </w:tcPr>
          <w:p w14:paraId="0A6C30D1"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5BF6D5E" wp14:editId="4BD3B319">
                  <wp:extent cx="1905000" cy="304800"/>
                  <wp:effectExtent l="0" t="0" r="0" b="0"/>
                  <wp:docPr id="28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412DD0C0"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631F8C3B" w14:textId="77777777" w:rsidR="00462E63" w:rsidRDefault="00462E63" w:rsidP="00CE04C8">
            <w:pPr>
              <w:keepNext/>
              <w:spacing w:line="360" w:lineRule="auto"/>
            </w:pPr>
            <w:r>
              <w:t>Assertiveness training</w:t>
            </w:r>
          </w:p>
        </w:tc>
        <w:tc>
          <w:tcPr>
            <w:tcW w:w="4788" w:type="dxa"/>
          </w:tcPr>
          <w:p w14:paraId="4C53AD57"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38A9AFB" wp14:editId="47683AF1">
                  <wp:extent cx="1905000" cy="304800"/>
                  <wp:effectExtent l="0" t="0" r="0" b="0"/>
                  <wp:docPr id="29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7F09E0C6"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15AE300B" w14:textId="77777777" w:rsidR="00462E63" w:rsidRDefault="00462E63" w:rsidP="00CE04C8">
            <w:pPr>
              <w:keepNext/>
              <w:spacing w:line="360" w:lineRule="auto"/>
            </w:pPr>
            <w:r>
              <w:t>Use of reattribution</w:t>
            </w:r>
          </w:p>
        </w:tc>
        <w:tc>
          <w:tcPr>
            <w:tcW w:w="4788" w:type="dxa"/>
          </w:tcPr>
          <w:p w14:paraId="5675C4C0"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4AA0C64" wp14:editId="0AAA0DD5">
                  <wp:extent cx="1905000" cy="304800"/>
                  <wp:effectExtent l="0" t="0" r="0" b="0"/>
                  <wp:docPr id="29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r w:rsidR="00462E63" w14:paraId="3C9E38FA" w14:textId="77777777" w:rsidTr="00CE04C8">
        <w:tc>
          <w:tcPr>
            <w:cnfStyle w:val="001000000000" w:firstRow="0" w:lastRow="0" w:firstColumn="1" w:lastColumn="0" w:oddVBand="0" w:evenVBand="0" w:oddHBand="0" w:evenHBand="0" w:firstRowFirstColumn="0" w:firstRowLastColumn="0" w:lastRowFirstColumn="0" w:lastRowLastColumn="0"/>
            <w:tcW w:w="4788" w:type="dxa"/>
          </w:tcPr>
          <w:p w14:paraId="390102C4" w14:textId="77777777" w:rsidR="00462E63" w:rsidRDefault="00462E63" w:rsidP="00CE04C8">
            <w:pPr>
              <w:keepNext/>
              <w:spacing w:line="360" w:lineRule="auto"/>
            </w:pPr>
            <w:r>
              <w:t>Other (please state)</w:t>
            </w:r>
          </w:p>
        </w:tc>
        <w:tc>
          <w:tcPr>
            <w:tcW w:w="4788" w:type="dxa"/>
          </w:tcPr>
          <w:p w14:paraId="76D3F656" w14:textId="77777777" w:rsidR="00462E63" w:rsidRDefault="00462E63" w:rsidP="00CE04C8">
            <w:pPr>
              <w:keepNext/>
              <w:spacing w:line="360"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8E14C04" wp14:editId="362E12AA">
                  <wp:extent cx="1905000" cy="304800"/>
                  <wp:effectExtent l="0" t="0" r="0" b="0"/>
                  <wp:docPr id="29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14:paraId="697D7372" w14:textId="77777777" w:rsidR="00CE04C8" w:rsidRDefault="00CE04C8" w:rsidP="00462E63">
      <w:pPr>
        <w:keepNext/>
        <w:widowControl w:val="0"/>
        <w:spacing w:line="360" w:lineRule="auto"/>
        <w:rPr>
          <w:b/>
        </w:rPr>
      </w:pPr>
    </w:p>
    <w:p w14:paraId="05F4665C" w14:textId="77777777" w:rsidR="00CE04C8" w:rsidRDefault="00CE04C8" w:rsidP="00462E63">
      <w:pPr>
        <w:keepNext/>
        <w:widowControl w:val="0"/>
        <w:spacing w:line="360" w:lineRule="auto"/>
        <w:rPr>
          <w:b/>
        </w:rPr>
      </w:pPr>
    </w:p>
    <w:p w14:paraId="574C0358" w14:textId="77777777" w:rsidR="00CE04C8" w:rsidRDefault="00CE04C8" w:rsidP="00462E63">
      <w:pPr>
        <w:keepNext/>
        <w:widowControl w:val="0"/>
        <w:spacing w:line="360" w:lineRule="auto"/>
        <w:rPr>
          <w:b/>
        </w:rPr>
      </w:pPr>
    </w:p>
    <w:p w14:paraId="097653AA" w14:textId="77777777" w:rsidR="00CE04C8" w:rsidRDefault="00CE04C8" w:rsidP="00462E63">
      <w:pPr>
        <w:keepNext/>
        <w:widowControl w:val="0"/>
        <w:spacing w:line="360" w:lineRule="auto"/>
        <w:rPr>
          <w:b/>
        </w:rPr>
      </w:pPr>
    </w:p>
    <w:p w14:paraId="70F7AE78" w14:textId="77777777" w:rsidR="00CE04C8" w:rsidRDefault="00CE04C8" w:rsidP="00462E63">
      <w:pPr>
        <w:keepNext/>
        <w:widowControl w:val="0"/>
        <w:spacing w:line="360" w:lineRule="auto"/>
        <w:rPr>
          <w:b/>
        </w:rPr>
      </w:pPr>
    </w:p>
    <w:p w14:paraId="5111E07E" w14:textId="77777777" w:rsidR="00CE04C8" w:rsidRDefault="00CE04C8" w:rsidP="00462E63">
      <w:pPr>
        <w:keepNext/>
        <w:widowControl w:val="0"/>
        <w:spacing w:line="360" w:lineRule="auto"/>
        <w:rPr>
          <w:b/>
        </w:rPr>
      </w:pPr>
    </w:p>
    <w:p w14:paraId="241274DA" w14:textId="77777777" w:rsidR="00CE04C8" w:rsidRDefault="00CE04C8" w:rsidP="00462E63">
      <w:pPr>
        <w:keepNext/>
        <w:widowControl w:val="0"/>
        <w:spacing w:line="360" w:lineRule="auto"/>
        <w:rPr>
          <w:b/>
        </w:rPr>
      </w:pPr>
    </w:p>
    <w:p w14:paraId="0C340898" w14:textId="77777777" w:rsidR="00CE04C8" w:rsidRDefault="00CE04C8" w:rsidP="00462E63">
      <w:pPr>
        <w:keepNext/>
        <w:widowControl w:val="0"/>
        <w:spacing w:line="360" w:lineRule="auto"/>
        <w:rPr>
          <w:b/>
        </w:rPr>
      </w:pPr>
    </w:p>
    <w:p w14:paraId="40FB9366" w14:textId="77777777" w:rsidR="00CE04C8" w:rsidRDefault="00CE04C8" w:rsidP="00462E63">
      <w:pPr>
        <w:keepNext/>
        <w:widowControl w:val="0"/>
        <w:spacing w:line="360" w:lineRule="auto"/>
        <w:rPr>
          <w:b/>
        </w:rPr>
      </w:pPr>
    </w:p>
    <w:p w14:paraId="4F8C717A" w14:textId="77777777" w:rsidR="00CE04C8" w:rsidRDefault="00CE04C8" w:rsidP="00462E63">
      <w:pPr>
        <w:keepNext/>
        <w:widowControl w:val="0"/>
        <w:spacing w:line="360" w:lineRule="auto"/>
        <w:rPr>
          <w:b/>
        </w:rPr>
      </w:pPr>
    </w:p>
    <w:p w14:paraId="0640B821" w14:textId="77777777" w:rsidR="00CE04C8" w:rsidRDefault="00CE04C8" w:rsidP="00462E63">
      <w:pPr>
        <w:keepNext/>
        <w:widowControl w:val="0"/>
        <w:spacing w:line="360" w:lineRule="auto"/>
        <w:rPr>
          <w:b/>
        </w:rPr>
      </w:pPr>
    </w:p>
    <w:p w14:paraId="3A19EA17" w14:textId="77777777" w:rsidR="00CE04C8" w:rsidRDefault="00CE04C8" w:rsidP="00462E63">
      <w:pPr>
        <w:keepNext/>
        <w:widowControl w:val="0"/>
        <w:spacing w:line="360" w:lineRule="auto"/>
        <w:rPr>
          <w:b/>
        </w:rPr>
      </w:pPr>
    </w:p>
    <w:p w14:paraId="65E6978F" w14:textId="77777777" w:rsidR="00CE04C8" w:rsidRDefault="00CE04C8" w:rsidP="00462E63">
      <w:pPr>
        <w:keepNext/>
        <w:widowControl w:val="0"/>
        <w:spacing w:line="360" w:lineRule="auto"/>
        <w:rPr>
          <w:b/>
        </w:rPr>
      </w:pPr>
    </w:p>
    <w:p w14:paraId="403DEED4" w14:textId="77777777" w:rsidR="00CE04C8" w:rsidRDefault="00CE04C8" w:rsidP="00462E63">
      <w:pPr>
        <w:keepNext/>
        <w:widowControl w:val="0"/>
        <w:spacing w:line="360" w:lineRule="auto"/>
        <w:rPr>
          <w:b/>
        </w:rPr>
      </w:pPr>
    </w:p>
    <w:p w14:paraId="7CE248A1" w14:textId="77777777" w:rsidR="00CE04C8" w:rsidRDefault="00CE04C8" w:rsidP="00462E63">
      <w:pPr>
        <w:keepNext/>
        <w:widowControl w:val="0"/>
        <w:spacing w:line="360" w:lineRule="auto"/>
        <w:rPr>
          <w:b/>
        </w:rPr>
      </w:pPr>
    </w:p>
    <w:p w14:paraId="2173D4F7" w14:textId="77777777" w:rsidR="00CE04C8" w:rsidRDefault="00CE04C8" w:rsidP="00462E63">
      <w:pPr>
        <w:keepNext/>
        <w:widowControl w:val="0"/>
        <w:spacing w:line="360" w:lineRule="auto"/>
        <w:rPr>
          <w:b/>
        </w:rPr>
      </w:pPr>
    </w:p>
    <w:p w14:paraId="0C15F896" w14:textId="77777777" w:rsidR="00CE04C8" w:rsidRDefault="00CE04C8" w:rsidP="00462E63">
      <w:pPr>
        <w:keepNext/>
        <w:widowControl w:val="0"/>
        <w:spacing w:line="360" w:lineRule="auto"/>
        <w:rPr>
          <w:b/>
        </w:rPr>
      </w:pPr>
    </w:p>
    <w:p w14:paraId="7BF8B49F" w14:textId="77777777" w:rsidR="00CE04C8" w:rsidRDefault="00CE04C8" w:rsidP="00462E63">
      <w:pPr>
        <w:keepNext/>
        <w:widowControl w:val="0"/>
        <w:spacing w:line="360" w:lineRule="auto"/>
        <w:rPr>
          <w:b/>
        </w:rPr>
      </w:pPr>
    </w:p>
    <w:p w14:paraId="32E41B4E" w14:textId="77777777" w:rsidR="00CE04C8" w:rsidRDefault="00CE04C8" w:rsidP="00462E63">
      <w:pPr>
        <w:keepNext/>
        <w:widowControl w:val="0"/>
        <w:spacing w:line="360" w:lineRule="auto"/>
        <w:rPr>
          <w:b/>
        </w:rPr>
      </w:pPr>
    </w:p>
    <w:p w14:paraId="5C2573F9" w14:textId="77777777" w:rsidR="00CE04C8" w:rsidRDefault="00CE04C8" w:rsidP="00462E63">
      <w:pPr>
        <w:keepNext/>
        <w:widowControl w:val="0"/>
        <w:spacing w:line="360" w:lineRule="auto"/>
        <w:rPr>
          <w:b/>
        </w:rPr>
      </w:pPr>
    </w:p>
    <w:p w14:paraId="1A3D0643" w14:textId="77777777" w:rsidR="00CE04C8" w:rsidRDefault="00CE04C8" w:rsidP="00462E63">
      <w:pPr>
        <w:keepNext/>
        <w:widowControl w:val="0"/>
        <w:spacing w:line="360" w:lineRule="auto"/>
        <w:rPr>
          <w:b/>
        </w:rPr>
      </w:pPr>
    </w:p>
    <w:p w14:paraId="78AF8EFF" w14:textId="77777777" w:rsidR="00CE04C8" w:rsidRDefault="00CE04C8" w:rsidP="00462E63">
      <w:pPr>
        <w:keepNext/>
        <w:widowControl w:val="0"/>
        <w:spacing w:line="360" w:lineRule="auto"/>
        <w:rPr>
          <w:b/>
        </w:rPr>
      </w:pPr>
    </w:p>
    <w:p w14:paraId="2D2B7C85" w14:textId="77777777" w:rsidR="00150DE8" w:rsidRDefault="00150DE8">
      <w:pPr>
        <w:spacing w:line="276" w:lineRule="auto"/>
        <w:jc w:val="left"/>
        <w:rPr>
          <w:b/>
        </w:rPr>
      </w:pPr>
      <w:r>
        <w:rPr>
          <w:b/>
        </w:rPr>
        <w:br w:type="page"/>
      </w:r>
    </w:p>
    <w:p w14:paraId="1A322070" w14:textId="66D24EF2" w:rsidR="00462E63" w:rsidRPr="00C230E9" w:rsidRDefault="00462E63" w:rsidP="00462E63">
      <w:pPr>
        <w:keepNext/>
        <w:widowControl w:val="0"/>
        <w:spacing w:line="360" w:lineRule="auto"/>
      </w:pPr>
      <w:r>
        <w:rPr>
          <w:b/>
        </w:rPr>
        <w:lastRenderedPageBreak/>
        <w:t>We are interested in whether the techniques that you focus on in supervision are related to you as a person. Please indicate the extent to which the following items apply to you.</w:t>
      </w:r>
      <w:r>
        <w:t xml:space="preserve"> </w:t>
      </w:r>
    </w:p>
    <w:tbl>
      <w:tblPr>
        <w:tblStyle w:val="QQuestionTable"/>
        <w:tblpPr w:leftFromText="180" w:rightFromText="180" w:vertAnchor="text" w:horzAnchor="page" w:tblpX="1621" w:tblpY="1807"/>
        <w:tblW w:w="0" w:type="auto"/>
        <w:tblLook w:val="07E0" w:firstRow="1" w:lastRow="1" w:firstColumn="1" w:lastColumn="1" w:noHBand="1" w:noVBand="1"/>
      </w:tblPr>
      <w:tblGrid>
        <w:gridCol w:w="1663"/>
        <w:gridCol w:w="1640"/>
        <w:gridCol w:w="1559"/>
        <w:gridCol w:w="1668"/>
        <w:gridCol w:w="1668"/>
      </w:tblGrid>
      <w:tr w:rsidR="00462E63" w14:paraId="102B73B6" w14:textId="77777777" w:rsidTr="00462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10132B87" w14:textId="77777777" w:rsidR="00462E63" w:rsidRDefault="00462E63" w:rsidP="00462E63">
            <w:pPr>
              <w:keepNext/>
              <w:spacing w:line="240" w:lineRule="auto"/>
            </w:pPr>
          </w:p>
        </w:tc>
        <w:tc>
          <w:tcPr>
            <w:tcW w:w="1640" w:type="dxa"/>
          </w:tcPr>
          <w:p w14:paraId="4A798E6B" w14:textId="77777777" w:rsidR="00462E63" w:rsidRDefault="00462E63" w:rsidP="00462E63">
            <w:pPr>
              <w:spacing w:line="240" w:lineRule="auto"/>
              <w:cnfStyle w:val="100000000000" w:firstRow="1" w:lastRow="0" w:firstColumn="0" w:lastColumn="0" w:oddVBand="0" w:evenVBand="0" w:oddHBand="0" w:evenHBand="0" w:firstRowFirstColumn="0" w:firstRowLastColumn="0" w:lastRowFirstColumn="0" w:lastRowLastColumn="0"/>
            </w:pPr>
            <w:r>
              <w:t>Strongly Agree</w:t>
            </w:r>
          </w:p>
        </w:tc>
        <w:tc>
          <w:tcPr>
            <w:tcW w:w="1559" w:type="dxa"/>
          </w:tcPr>
          <w:p w14:paraId="34597770" w14:textId="77777777" w:rsidR="00462E63" w:rsidRDefault="00462E63" w:rsidP="00462E63">
            <w:pPr>
              <w:spacing w:line="240" w:lineRule="auto"/>
              <w:cnfStyle w:val="100000000000" w:firstRow="1" w:lastRow="0" w:firstColumn="0" w:lastColumn="0" w:oddVBand="0" w:evenVBand="0" w:oddHBand="0" w:evenHBand="0" w:firstRowFirstColumn="0" w:firstRowLastColumn="0" w:lastRowFirstColumn="0" w:lastRowLastColumn="0"/>
            </w:pPr>
            <w:r>
              <w:t>Agree</w:t>
            </w:r>
          </w:p>
        </w:tc>
        <w:tc>
          <w:tcPr>
            <w:tcW w:w="1668" w:type="dxa"/>
          </w:tcPr>
          <w:p w14:paraId="6747D1FC" w14:textId="77777777" w:rsidR="00462E63" w:rsidRDefault="00462E63" w:rsidP="00462E63">
            <w:pPr>
              <w:spacing w:line="240" w:lineRule="auto"/>
              <w:cnfStyle w:val="100000000000" w:firstRow="1" w:lastRow="0" w:firstColumn="0" w:lastColumn="0" w:oddVBand="0" w:evenVBand="0" w:oddHBand="0" w:evenHBand="0" w:firstRowFirstColumn="0" w:firstRowLastColumn="0" w:lastRowFirstColumn="0" w:lastRowLastColumn="0"/>
            </w:pPr>
            <w:r>
              <w:t>Disagree</w:t>
            </w:r>
          </w:p>
        </w:tc>
        <w:tc>
          <w:tcPr>
            <w:tcW w:w="1668" w:type="dxa"/>
          </w:tcPr>
          <w:p w14:paraId="494FA9A1" w14:textId="77777777" w:rsidR="00462E63" w:rsidRDefault="00462E63" w:rsidP="00462E63">
            <w:pPr>
              <w:spacing w:line="240" w:lineRule="auto"/>
              <w:cnfStyle w:val="100000000000" w:firstRow="1" w:lastRow="0" w:firstColumn="0" w:lastColumn="0" w:oddVBand="0" w:evenVBand="0" w:oddHBand="0" w:evenHBand="0" w:firstRowFirstColumn="0" w:firstRowLastColumn="0" w:lastRowFirstColumn="0" w:lastRowLastColumn="0"/>
            </w:pPr>
            <w:r>
              <w:t>Strongly Disagree</w:t>
            </w:r>
          </w:p>
        </w:tc>
      </w:tr>
      <w:tr w:rsidR="00462E63" w14:paraId="2BC67B8E"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6E02C802" w14:textId="77777777" w:rsidR="00462E63" w:rsidRDefault="00462E63" w:rsidP="009D2144">
            <w:pPr>
              <w:keepNext/>
              <w:spacing w:line="240" w:lineRule="auto"/>
              <w:jc w:val="left"/>
            </w:pPr>
            <w:r>
              <w:t xml:space="preserve">I feel that I am a person of worth, at least on an equal plane with others. </w:t>
            </w:r>
          </w:p>
        </w:tc>
        <w:tc>
          <w:tcPr>
            <w:tcW w:w="1640" w:type="dxa"/>
          </w:tcPr>
          <w:p w14:paraId="7BBFEC16"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0CD0EF79"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467FA297"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298D4616"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1106A635"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787ECDF3" w14:textId="77777777" w:rsidR="00462E63" w:rsidRDefault="00462E63" w:rsidP="009D2144">
            <w:pPr>
              <w:keepNext/>
              <w:spacing w:line="240" w:lineRule="auto"/>
              <w:jc w:val="left"/>
            </w:pPr>
            <w:r>
              <w:t xml:space="preserve">I feel that I have a number of good qualities. </w:t>
            </w:r>
          </w:p>
        </w:tc>
        <w:tc>
          <w:tcPr>
            <w:tcW w:w="1640" w:type="dxa"/>
          </w:tcPr>
          <w:p w14:paraId="33AFDB8A"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7C860523"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3C7FFEE9"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1562F967"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6B564B1C"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47230529" w14:textId="77777777" w:rsidR="00462E63" w:rsidRDefault="00462E63" w:rsidP="009D2144">
            <w:pPr>
              <w:keepNext/>
              <w:spacing w:line="240" w:lineRule="auto"/>
              <w:jc w:val="left"/>
            </w:pPr>
            <w:r>
              <w:t xml:space="preserve">All in all, I am inclined to feel that I am a failure. </w:t>
            </w:r>
          </w:p>
        </w:tc>
        <w:tc>
          <w:tcPr>
            <w:tcW w:w="1640" w:type="dxa"/>
          </w:tcPr>
          <w:p w14:paraId="2589E1CB"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35A7F1CD"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06F42323"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5EF4AB23"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3BF094CC"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688C5280" w14:textId="77777777" w:rsidR="00462E63" w:rsidRDefault="00462E63" w:rsidP="009D2144">
            <w:pPr>
              <w:keepNext/>
              <w:spacing w:line="240" w:lineRule="auto"/>
              <w:jc w:val="left"/>
            </w:pPr>
            <w:r>
              <w:t xml:space="preserve">I am able to do things as well as most other people. </w:t>
            </w:r>
          </w:p>
        </w:tc>
        <w:tc>
          <w:tcPr>
            <w:tcW w:w="1640" w:type="dxa"/>
          </w:tcPr>
          <w:p w14:paraId="6A45F6E7"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191DE62B"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2B13C8D4"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310C3240"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0BEB48D1"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17891DE5" w14:textId="77777777" w:rsidR="00462E63" w:rsidRDefault="00462E63" w:rsidP="009D2144">
            <w:pPr>
              <w:keepNext/>
              <w:spacing w:line="240" w:lineRule="auto"/>
              <w:jc w:val="left"/>
            </w:pPr>
            <w:r>
              <w:t xml:space="preserve">I feel I do not have much to be proud of. </w:t>
            </w:r>
          </w:p>
        </w:tc>
        <w:tc>
          <w:tcPr>
            <w:tcW w:w="1640" w:type="dxa"/>
          </w:tcPr>
          <w:p w14:paraId="024C8E1F"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4DF4EA04"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47C2827B"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0C14902A"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420B2C67"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5C553E2F" w14:textId="77777777" w:rsidR="00462E63" w:rsidRDefault="00462E63" w:rsidP="009D2144">
            <w:pPr>
              <w:keepNext/>
              <w:spacing w:line="240" w:lineRule="auto"/>
              <w:jc w:val="left"/>
            </w:pPr>
            <w:r>
              <w:t xml:space="preserve">I take a positive attitude toward myself. </w:t>
            </w:r>
          </w:p>
        </w:tc>
        <w:tc>
          <w:tcPr>
            <w:tcW w:w="1640" w:type="dxa"/>
          </w:tcPr>
          <w:p w14:paraId="4D3F7D1F"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17AFE542"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51FAC408"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1C3F4372"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34D57F0C"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41B349E7" w14:textId="77777777" w:rsidR="00462E63" w:rsidRDefault="00462E63" w:rsidP="009D2144">
            <w:pPr>
              <w:keepNext/>
              <w:spacing w:line="240" w:lineRule="auto"/>
              <w:jc w:val="left"/>
            </w:pPr>
            <w:r>
              <w:t xml:space="preserve">On the whole, I am satisfied with myself. </w:t>
            </w:r>
          </w:p>
        </w:tc>
        <w:tc>
          <w:tcPr>
            <w:tcW w:w="1640" w:type="dxa"/>
          </w:tcPr>
          <w:p w14:paraId="1626FEA2"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71034CEA"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26AA9276"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78C1909B"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258BB785"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7D77C932" w14:textId="77777777" w:rsidR="00462E63" w:rsidRDefault="00462E63" w:rsidP="009D2144">
            <w:pPr>
              <w:keepNext/>
              <w:spacing w:line="240" w:lineRule="auto"/>
              <w:jc w:val="left"/>
            </w:pPr>
            <w:r>
              <w:lastRenderedPageBreak/>
              <w:t xml:space="preserve">I wish I could have more respect for myself. </w:t>
            </w:r>
          </w:p>
        </w:tc>
        <w:tc>
          <w:tcPr>
            <w:tcW w:w="1640" w:type="dxa"/>
          </w:tcPr>
          <w:p w14:paraId="776E7B32"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64792D11"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17C2C16A"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2582C9FD"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1243B991"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7C0C1D2A" w14:textId="77777777" w:rsidR="00462E63" w:rsidRDefault="00462E63" w:rsidP="009D2144">
            <w:pPr>
              <w:keepNext/>
              <w:spacing w:line="240" w:lineRule="auto"/>
              <w:jc w:val="left"/>
            </w:pPr>
            <w:r>
              <w:t xml:space="preserve">I certainly feel useless at times. </w:t>
            </w:r>
          </w:p>
        </w:tc>
        <w:tc>
          <w:tcPr>
            <w:tcW w:w="1640" w:type="dxa"/>
          </w:tcPr>
          <w:p w14:paraId="77C7C8C5"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466E18CA"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08B9D487"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5C1AFC09"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61D39A46" w14:textId="77777777" w:rsidTr="00462E63">
        <w:tc>
          <w:tcPr>
            <w:cnfStyle w:val="001000000000" w:firstRow="0" w:lastRow="0" w:firstColumn="1" w:lastColumn="0" w:oddVBand="0" w:evenVBand="0" w:oddHBand="0" w:evenHBand="0" w:firstRowFirstColumn="0" w:firstRowLastColumn="0" w:lastRowFirstColumn="0" w:lastRowLastColumn="0"/>
            <w:tcW w:w="1663" w:type="dxa"/>
          </w:tcPr>
          <w:p w14:paraId="4B32B06A" w14:textId="77777777" w:rsidR="00462E63" w:rsidRDefault="00462E63" w:rsidP="009D2144">
            <w:pPr>
              <w:keepNext/>
              <w:spacing w:line="240" w:lineRule="auto"/>
              <w:jc w:val="left"/>
            </w:pPr>
            <w:r>
              <w:t xml:space="preserve">At times I think I am no good at all. </w:t>
            </w:r>
          </w:p>
        </w:tc>
        <w:tc>
          <w:tcPr>
            <w:tcW w:w="1640" w:type="dxa"/>
          </w:tcPr>
          <w:p w14:paraId="72A6A9F2"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7ED2A824"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72895766"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668" w:type="dxa"/>
          </w:tcPr>
          <w:p w14:paraId="19EADAAB" w14:textId="77777777" w:rsidR="00462E63" w:rsidRDefault="00462E63" w:rsidP="00462E63">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bl>
    <w:p w14:paraId="65E2E5E5" w14:textId="77777777" w:rsidR="00CE04C8" w:rsidRDefault="00CE04C8" w:rsidP="00C230E9">
      <w:pPr>
        <w:keepNext/>
        <w:spacing w:line="360" w:lineRule="auto"/>
        <w:rPr>
          <w:b/>
        </w:rPr>
      </w:pPr>
    </w:p>
    <w:p w14:paraId="0413B968" w14:textId="77777777" w:rsidR="00CE04C8" w:rsidRDefault="00CE04C8" w:rsidP="00C230E9">
      <w:pPr>
        <w:keepNext/>
        <w:spacing w:line="360" w:lineRule="auto"/>
        <w:rPr>
          <w:b/>
        </w:rPr>
      </w:pPr>
    </w:p>
    <w:p w14:paraId="1D1FE638" w14:textId="77777777" w:rsidR="00CE04C8" w:rsidRDefault="00CE04C8" w:rsidP="00C230E9">
      <w:pPr>
        <w:keepNext/>
        <w:spacing w:line="360" w:lineRule="auto"/>
        <w:rPr>
          <w:b/>
        </w:rPr>
      </w:pPr>
    </w:p>
    <w:p w14:paraId="1BE0EF6A" w14:textId="77777777" w:rsidR="00150DE8" w:rsidRDefault="00150DE8" w:rsidP="00C230E9">
      <w:pPr>
        <w:keepNext/>
        <w:spacing w:line="360" w:lineRule="auto"/>
        <w:rPr>
          <w:b/>
        </w:rPr>
      </w:pPr>
    </w:p>
    <w:p w14:paraId="1AA29F9D" w14:textId="77777777" w:rsidR="00150DE8" w:rsidRDefault="00150DE8">
      <w:pPr>
        <w:spacing w:line="276" w:lineRule="auto"/>
        <w:jc w:val="left"/>
        <w:rPr>
          <w:b/>
        </w:rPr>
      </w:pPr>
      <w:r>
        <w:rPr>
          <w:b/>
        </w:rPr>
        <w:br w:type="page"/>
      </w:r>
    </w:p>
    <w:p w14:paraId="4D4C42BC" w14:textId="2A5F072A" w:rsidR="00462E63" w:rsidRDefault="00462E63" w:rsidP="00C230E9">
      <w:pPr>
        <w:keepNext/>
        <w:spacing w:line="360" w:lineRule="auto"/>
      </w:pPr>
      <w:r>
        <w:rPr>
          <w:b/>
        </w:rPr>
        <w:lastRenderedPageBreak/>
        <w:t>Finally, please indicate how much these statements apply to you.</w:t>
      </w:r>
    </w:p>
    <w:tbl>
      <w:tblPr>
        <w:tblStyle w:val="QQuestionTable"/>
        <w:tblpPr w:leftFromText="180" w:rightFromText="180" w:vertAnchor="text" w:tblpY="1"/>
        <w:tblOverlap w:val="never"/>
        <w:tblW w:w="9576" w:type="auto"/>
        <w:tblLook w:val="07E0" w:firstRow="1" w:lastRow="1" w:firstColumn="1" w:lastColumn="1" w:noHBand="1" w:noVBand="1"/>
      </w:tblPr>
      <w:tblGrid>
        <w:gridCol w:w="1547"/>
        <w:gridCol w:w="1644"/>
        <w:gridCol w:w="1121"/>
        <w:gridCol w:w="1121"/>
        <w:gridCol w:w="1121"/>
        <w:gridCol w:w="1644"/>
      </w:tblGrid>
      <w:tr w:rsidR="00462E63" w14:paraId="410A3D60" w14:textId="77777777" w:rsidTr="00CE0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1A90935" w14:textId="77777777" w:rsidR="00462E63" w:rsidRDefault="00462E63" w:rsidP="00CE04C8">
            <w:pPr>
              <w:keepNext/>
              <w:spacing w:line="240" w:lineRule="auto"/>
            </w:pPr>
          </w:p>
        </w:tc>
        <w:tc>
          <w:tcPr>
            <w:tcW w:w="1596" w:type="dxa"/>
          </w:tcPr>
          <w:p w14:paraId="4CD2E0BD" w14:textId="77777777" w:rsidR="00462E63" w:rsidRDefault="00462E63" w:rsidP="00CE04C8">
            <w:pPr>
              <w:spacing w:line="240" w:lineRule="auto"/>
              <w:cnfStyle w:val="100000000000" w:firstRow="1" w:lastRow="0" w:firstColumn="0" w:lastColumn="0" w:oddVBand="0" w:evenVBand="0" w:oddHBand="0" w:evenHBand="0" w:firstRowFirstColumn="0" w:firstRowLastColumn="0" w:lastRowFirstColumn="0" w:lastRowLastColumn="0"/>
            </w:pPr>
            <w:r>
              <w:t>1</w:t>
            </w:r>
            <w:r>
              <w:br/>
              <w:t xml:space="preserve"> Not at all characteristic of me</w:t>
            </w:r>
          </w:p>
        </w:tc>
        <w:tc>
          <w:tcPr>
            <w:tcW w:w="1596" w:type="dxa"/>
          </w:tcPr>
          <w:p w14:paraId="51048C20" w14:textId="77777777" w:rsidR="00462E63" w:rsidRDefault="00462E63" w:rsidP="00CE04C8">
            <w:pPr>
              <w:spacing w:line="240" w:lineRule="auto"/>
              <w:cnfStyle w:val="100000000000" w:firstRow="1" w:lastRow="0" w:firstColumn="0" w:lastColumn="0" w:oddVBand="0" w:evenVBand="0" w:oddHBand="0" w:evenHBand="0" w:firstRowFirstColumn="0" w:firstRowLastColumn="0" w:lastRowFirstColumn="0" w:lastRowLastColumn="0"/>
            </w:pPr>
            <w:r>
              <w:t>2</w:t>
            </w:r>
          </w:p>
        </w:tc>
        <w:tc>
          <w:tcPr>
            <w:tcW w:w="1596" w:type="dxa"/>
          </w:tcPr>
          <w:p w14:paraId="36808849" w14:textId="77777777" w:rsidR="00462E63" w:rsidRDefault="00462E63" w:rsidP="00CE04C8">
            <w:pPr>
              <w:spacing w:line="240" w:lineRule="auto"/>
              <w:cnfStyle w:val="100000000000" w:firstRow="1" w:lastRow="0" w:firstColumn="0" w:lastColumn="0" w:oddVBand="0" w:evenVBand="0" w:oddHBand="0" w:evenHBand="0" w:firstRowFirstColumn="0" w:firstRowLastColumn="0" w:lastRowFirstColumn="0" w:lastRowLastColumn="0"/>
            </w:pPr>
            <w:r>
              <w:t>3</w:t>
            </w:r>
          </w:p>
        </w:tc>
        <w:tc>
          <w:tcPr>
            <w:tcW w:w="1596" w:type="dxa"/>
          </w:tcPr>
          <w:p w14:paraId="7BF91821" w14:textId="77777777" w:rsidR="00462E63" w:rsidRDefault="00462E63" w:rsidP="00CE04C8">
            <w:pPr>
              <w:spacing w:line="240" w:lineRule="auto"/>
              <w:cnfStyle w:val="100000000000" w:firstRow="1" w:lastRow="0" w:firstColumn="0" w:lastColumn="0" w:oddVBand="0" w:evenVBand="0" w:oddHBand="0" w:evenHBand="0" w:firstRowFirstColumn="0" w:firstRowLastColumn="0" w:lastRowFirstColumn="0" w:lastRowLastColumn="0"/>
            </w:pPr>
            <w:r>
              <w:t>4</w:t>
            </w:r>
          </w:p>
        </w:tc>
        <w:tc>
          <w:tcPr>
            <w:tcW w:w="1596" w:type="dxa"/>
          </w:tcPr>
          <w:p w14:paraId="1E1FB25C" w14:textId="77777777" w:rsidR="00462E63" w:rsidRDefault="00462E63" w:rsidP="00CE04C8">
            <w:pPr>
              <w:spacing w:line="240" w:lineRule="auto"/>
              <w:cnfStyle w:val="100000000000" w:firstRow="1" w:lastRow="0" w:firstColumn="0" w:lastColumn="0" w:oddVBand="0" w:evenVBand="0" w:oddHBand="0" w:evenHBand="0" w:firstRowFirstColumn="0" w:firstRowLastColumn="0" w:lastRowFirstColumn="0" w:lastRowLastColumn="0"/>
            </w:pPr>
            <w:r>
              <w:t>5</w:t>
            </w:r>
            <w:r>
              <w:br/>
              <w:t xml:space="preserve"> Entirely characteristic of me</w:t>
            </w:r>
          </w:p>
        </w:tc>
      </w:tr>
      <w:tr w:rsidR="00462E63" w14:paraId="112ABCF3"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40E1706E" w14:textId="77777777" w:rsidR="00462E63" w:rsidRDefault="00462E63" w:rsidP="009D2144">
            <w:pPr>
              <w:keepNext/>
              <w:spacing w:line="240" w:lineRule="auto"/>
              <w:jc w:val="left"/>
            </w:pPr>
            <w:r>
              <w:t xml:space="preserve">Unforeseen events upset me greatly. </w:t>
            </w:r>
          </w:p>
        </w:tc>
        <w:tc>
          <w:tcPr>
            <w:tcW w:w="1596" w:type="dxa"/>
          </w:tcPr>
          <w:p w14:paraId="23A2FCA9"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EC3AAEC"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380FD2B"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67D47D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F3AE331"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6E3C2D54"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2F9F6A5B" w14:textId="77777777" w:rsidR="00462E63" w:rsidRDefault="00462E63" w:rsidP="009D2144">
            <w:pPr>
              <w:keepNext/>
              <w:spacing w:line="240" w:lineRule="auto"/>
              <w:jc w:val="left"/>
            </w:pPr>
            <w:r>
              <w:t xml:space="preserve">It frustrates me not having all the information I need. </w:t>
            </w:r>
          </w:p>
        </w:tc>
        <w:tc>
          <w:tcPr>
            <w:tcW w:w="1596" w:type="dxa"/>
          </w:tcPr>
          <w:p w14:paraId="11BFE1C1"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944618A"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F5E95F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AAD073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AFAAFE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1F8F711E"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15A3D0A0" w14:textId="77777777" w:rsidR="00462E63" w:rsidRDefault="00462E63" w:rsidP="009D2144">
            <w:pPr>
              <w:keepNext/>
              <w:spacing w:line="240" w:lineRule="auto"/>
              <w:jc w:val="left"/>
            </w:pPr>
            <w:r>
              <w:t xml:space="preserve">Uncertainty keeps me from living a full life. </w:t>
            </w:r>
          </w:p>
        </w:tc>
        <w:tc>
          <w:tcPr>
            <w:tcW w:w="1596" w:type="dxa"/>
          </w:tcPr>
          <w:p w14:paraId="48874D30"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9A8F3B9"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19AA60C"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4E0E9C9"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3758C2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7ECB9BFE"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5CF34C69" w14:textId="77777777" w:rsidR="00462E63" w:rsidRDefault="00462E63" w:rsidP="009D2144">
            <w:pPr>
              <w:keepNext/>
              <w:spacing w:line="240" w:lineRule="auto"/>
              <w:jc w:val="left"/>
            </w:pPr>
            <w:r>
              <w:t xml:space="preserve">One should always look ahead so as to avoid surprises. </w:t>
            </w:r>
          </w:p>
        </w:tc>
        <w:tc>
          <w:tcPr>
            <w:tcW w:w="1596" w:type="dxa"/>
          </w:tcPr>
          <w:p w14:paraId="7CC7410A"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317283A"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A6EFBD5"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EBFEE26"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4201B7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0930A527"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642C5CB4" w14:textId="77777777" w:rsidR="00462E63" w:rsidRDefault="00462E63" w:rsidP="009D2144">
            <w:pPr>
              <w:keepNext/>
              <w:spacing w:line="240" w:lineRule="auto"/>
              <w:jc w:val="left"/>
            </w:pPr>
            <w:r>
              <w:t xml:space="preserve">A small unforeseen event can spoil everything, even with the best of planning. </w:t>
            </w:r>
          </w:p>
        </w:tc>
        <w:tc>
          <w:tcPr>
            <w:tcW w:w="1596" w:type="dxa"/>
          </w:tcPr>
          <w:p w14:paraId="14ED41E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D070773"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41B5A543"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091D720"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5F6D406"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29B38080"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2A3C7AC6" w14:textId="77777777" w:rsidR="00462E63" w:rsidRDefault="00462E63" w:rsidP="009D2144">
            <w:pPr>
              <w:keepNext/>
              <w:spacing w:line="240" w:lineRule="auto"/>
              <w:jc w:val="left"/>
            </w:pPr>
            <w:r>
              <w:t xml:space="preserve">When it’s time to act, uncertainty paralyses me. </w:t>
            </w:r>
          </w:p>
        </w:tc>
        <w:tc>
          <w:tcPr>
            <w:tcW w:w="1596" w:type="dxa"/>
          </w:tcPr>
          <w:p w14:paraId="6D3EBAD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A92E429"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047BDC2"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B476C2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E0DFD1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5DE4246D"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66556EDD" w14:textId="77777777" w:rsidR="00462E63" w:rsidRDefault="00462E63" w:rsidP="009D2144">
            <w:pPr>
              <w:keepNext/>
              <w:spacing w:line="240" w:lineRule="auto"/>
              <w:jc w:val="left"/>
            </w:pPr>
            <w:r>
              <w:t xml:space="preserve">When I am uncertain I can’t function very well. </w:t>
            </w:r>
          </w:p>
        </w:tc>
        <w:tc>
          <w:tcPr>
            <w:tcW w:w="1596" w:type="dxa"/>
          </w:tcPr>
          <w:p w14:paraId="768AEF3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4B09315B"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AB7586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6C87524"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3429F3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629BBF8B"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14566336" w14:textId="77777777" w:rsidR="00462E63" w:rsidRDefault="00462E63" w:rsidP="009D2144">
            <w:pPr>
              <w:keepNext/>
              <w:spacing w:line="240" w:lineRule="auto"/>
              <w:jc w:val="left"/>
            </w:pPr>
            <w:r>
              <w:t xml:space="preserve">I always want to </w:t>
            </w:r>
            <w:r>
              <w:lastRenderedPageBreak/>
              <w:t xml:space="preserve">know what the future has in store for me. </w:t>
            </w:r>
          </w:p>
        </w:tc>
        <w:tc>
          <w:tcPr>
            <w:tcW w:w="1596" w:type="dxa"/>
          </w:tcPr>
          <w:p w14:paraId="5128BA86"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2889174"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C40E2C2"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1048219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A3D7419"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05282514"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0C1016E2" w14:textId="77777777" w:rsidR="00462E63" w:rsidRDefault="00462E63" w:rsidP="009D2144">
            <w:pPr>
              <w:keepNext/>
              <w:spacing w:line="240" w:lineRule="auto"/>
              <w:jc w:val="left"/>
            </w:pPr>
            <w:r>
              <w:t xml:space="preserve">I can’t stand being taken by surprise. </w:t>
            </w:r>
          </w:p>
        </w:tc>
        <w:tc>
          <w:tcPr>
            <w:tcW w:w="1596" w:type="dxa"/>
          </w:tcPr>
          <w:p w14:paraId="604A985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8C3434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5F9F14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40AA5137"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0FA80B2"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3156F4FC"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70231FC4" w14:textId="77777777" w:rsidR="00462E63" w:rsidRDefault="00462E63" w:rsidP="009D2144">
            <w:pPr>
              <w:keepNext/>
              <w:spacing w:line="240" w:lineRule="auto"/>
              <w:jc w:val="left"/>
            </w:pPr>
            <w:r>
              <w:t xml:space="preserve">The smallest doubt can stop me from acting. </w:t>
            </w:r>
          </w:p>
        </w:tc>
        <w:tc>
          <w:tcPr>
            <w:tcW w:w="1596" w:type="dxa"/>
          </w:tcPr>
          <w:p w14:paraId="0E86A88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5EFCF6EC"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999A370"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61FC227"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B680A11"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77ECA6D6"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700133F9" w14:textId="77777777" w:rsidR="00462E63" w:rsidRDefault="00462E63" w:rsidP="009D2144">
            <w:pPr>
              <w:keepNext/>
              <w:spacing w:line="240" w:lineRule="auto"/>
              <w:jc w:val="left"/>
            </w:pPr>
            <w:r>
              <w:t xml:space="preserve">I should be able to organize everything in advance. </w:t>
            </w:r>
          </w:p>
        </w:tc>
        <w:tc>
          <w:tcPr>
            <w:tcW w:w="1596" w:type="dxa"/>
          </w:tcPr>
          <w:p w14:paraId="7933BBC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50B7F040"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B88A62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045C383D"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0E6237F"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r w:rsidR="00462E63" w14:paraId="414819AB" w14:textId="77777777" w:rsidTr="00CE04C8">
        <w:tc>
          <w:tcPr>
            <w:cnfStyle w:val="001000000000" w:firstRow="0" w:lastRow="0" w:firstColumn="1" w:lastColumn="0" w:oddVBand="0" w:evenVBand="0" w:oddHBand="0" w:evenHBand="0" w:firstRowFirstColumn="0" w:firstRowLastColumn="0" w:lastRowFirstColumn="0" w:lastRowLastColumn="0"/>
            <w:tcW w:w="1596" w:type="dxa"/>
          </w:tcPr>
          <w:p w14:paraId="4CC94891" w14:textId="77777777" w:rsidR="00462E63" w:rsidRDefault="00462E63" w:rsidP="009D2144">
            <w:pPr>
              <w:keepNext/>
              <w:spacing w:line="240" w:lineRule="auto"/>
              <w:jc w:val="left"/>
            </w:pPr>
            <w:r>
              <w:t xml:space="preserve">I must get away from all uncertain situations. </w:t>
            </w:r>
          </w:p>
        </w:tc>
        <w:tc>
          <w:tcPr>
            <w:tcW w:w="1596" w:type="dxa"/>
          </w:tcPr>
          <w:p w14:paraId="60F1C102"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5865DDE"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ECBD5F3"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6CDBD658"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48BACC9A" w14:textId="77777777" w:rsidR="00462E63" w:rsidRDefault="00462E63" w:rsidP="00CE04C8">
            <w:pPr>
              <w:pStyle w:val="ListParagraph"/>
              <w:keepNext/>
              <w:numPr>
                <w:ilvl w:val="0"/>
                <w:numId w:val="52"/>
              </w:numPr>
              <w:spacing w:after="0" w:line="240" w:lineRule="auto"/>
              <w:contextualSpacing w:val="0"/>
              <w:jc w:val="center"/>
              <w:cnfStyle w:val="000000000000" w:firstRow="0" w:lastRow="0" w:firstColumn="0" w:lastColumn="0" w:oddVBand="0" w:evenVBand="0" w:oddHBand="0" w:evenHBand="0" w:firstRowFirstColumn="0" w:firstRowLastColumn="0" w:lastRowFirstColumn="0" w:lastRowLastColumn="0"/>
            </w:pPr>
          </w:p>
        </w:tc>
      </w:tr>
    </w:tbl>
    <w:p w14:paraId="52E45183" w14:textId="77777777" w:rsidR="00462E63" w:rsidRDefault="00462E63" w:rsidP="00C230E9">
      <w:pPr>
        <w:spacing w:line="360" w:lineRule="auto"/>
      </w:pPr>
    </w:p>
    <w:p w14:paraId="0D46AE4F" w14:textId="77777777" w:rsidR="00CE04C8" w:rsidRDefault="00CE04C8" w:rsidP="00C230E9">
      <w:pPr>
        <w:keepNext/>
        <w:spacing w:line="360" w:lineRule="auto"/>
      </w:pPr>
    </w:p>
    <w:p w14:paraId="60B9B234" w14:textId="77777777" w:rsidR="00CE04C8" w:rsidRDefault="00CE04C8" w:rsidP="00C230E9">
      <w:pPr>
        <w:keepNext/>
        <w:spacing w:line="360" w:lineRule="auto"/>
      </w:pPr>
    </w:p>
    <w:p w14:paraId="706677A8" w14:textId="77777777" w:rsidR="00CE04C8" w:rsidRDefault="00CE04C8" w:rsidP="00C230E9">
      <w:pPr>
        <w:keepNext/>
        <w:spacing w:line="360" w:lineRule="auto"/>
      </w:pPr>
    </w:p>
    <w:p w14:paraId="288F1957" w14:textId="77777777" w:rsidR="00CE04C8" w:rsidRDefault="00CE04C8" w:rsidP="00C230E9">
      <w:pPr>
        <w:keepNext/>
        <w:spacing w:line="360" w:lineRule="auto"/>
      </w:pPr>
    </w:p>
    <w:p w14:paraId="1C2C159C" w14:textId="77777777" w:rsidR="00CE04C8" w:rsidRDefault="00CE04C8" w:rsidP="00C230E9">
      <w:pPr>
        <w:keepNext/>
        <w:spacing w:line="360" w:lineRule="auto"/>
      </w:pPr>
    </w:p>
    <w:p w14:paraId="056A9A85" w14:textId="77777777" w:rsidR="00930E7C" w:rsidRDefault="00930E7C" w:rsidP="00C230E9">
      <w:pPr>
        <w:keepNext/>
        <w:spacing w:line="360" w:lineRule="auto"/>
      </w:pPr>
    </w:p>
    <w:p w14:paraId="032800F0" w14:textId="77777777" w:rsidR="00930E7C" w:rsidRDefault="00930E7C" w:rsidP="00C230E9">
      <w:pPr>
        <w:keepNext/>
        <w:spacing w:line="360" w:lineRule="auto"/>
      </w:pPr>
    </w:p>
    <w:p w14:paraId="137F73FC" w14:textId="77777777" w:rsidR="00930E7C" w:rsidRDefault="00930E7C" w:rsidP="00C230E9">
      <w:pPr>
        <w:keepNext/>
        <w:spacing w:line="360" w:lineRule="auto"/>
      </w:pPr>
    </w:p>
    <w:p w14:paraId="4079249E" w14:textId="77777777" w:rsidR="00930E7C" w:rsidRDefault="00930E7C" w:rsidP="00C230E9">
      <w:pPr>
        <w:keepNext/>
        <w:spacing w:line="360" w:lineRule="auto"/>
      </w:pPr>
    </w:p>
    <w:p w14:paraId="65513640" w14:textId="77777777" w:rsidR="00930E7C" w:rsidRDefault="00930E7C" w:rsidP="00C230E9">
      <w:pPr>
        <w:keepNext/>
        <w:spacing w:line="360" w:lineRule="auto"/>
      </w:pPr>
    </w:p>
    <w:p w14:paraId="6851F77B" w14:textId="77777777" w:rsidR="00930E7C" w:rsidRDefault="00930E7C" w:rsidP="00C230E9">
      <w:pPr>
        <w:keepNext/>
        <w:spacing w:line="360" w:lineRule="auto"/>
      </w:pPr>
    </w:p>
    <w:p w14:paraId="2683BDB7" w14:textId="77777777" w:rsidR="00930E7C" w:rsidRDefault="00930E7C" w:rsidP="00C230E9">
      <w:pPr>
        <w:keepNext/>
        <w:spacing w:line="360" w:lineRule="auto"/>
      </w:pPr>
    </w:p>
    <w:p w14:paraId="2C3FF0AB" w14:textId="77777777" w:rsidR="00930E7C" w:rsidRDefault="00930E7C" w:rsidP="00C230E9">
      <w:pPr>
        <w:keepNext/>
        <w:spacing w:line="360" w:lineRule="auto"/>
      </w:pPr>
    </w:p>
    <w:p w14:paraId="1C17DF84" w14:textId="42149FB6" w:rsidR="00462E63" w:rsidRDefault="00462E63" w:rsidP="00C230E9">
      <w:pPr>
        <w:keepNext/>
        <w:spacing w:line="360" w:lineRule="auto"/>
      </w:pPr>
      <w:r>
        <w:t xml:space="preserve">Thank you for completing this questionnaire. If you have any questions or would like more information about this study, please contact me - Chloe Simpson-Southward (crsimpson-southward1@sheffield.ac.uk). </w:t>
      </w:r>
      <w:commentRangeEnd w:id="298"/>
      <w:r w:rsidR="00024CFD">
        <w:rPr>
          <w:rStyle w:val="CommentReference"/>
          <w:rFonts w:eastAsiaTheme="minorHAnsi"/>
          <w:lang w:eastAsia="en-US"/>
        </w:rPr>
        <w:commentReference w:id="298"/>
      </w:r>
    </w:p>
    <w:p w14:paraId="25BDFC06" w14:textId="03C51536" w:rsidR="004F5D5E" w:rsidRPr="00EA0DC7" w:rsidRDefault="00B30A94" w:rsidP="00F821B4">
      <w:pPr>
        <w:spacing w:line="276" w:lineRule="auto"/>
        <w:jc w:val="left"/>
        <w:rPr>
          <w:rFonts w:cs="Arial"/>
          <w:szCs w:val="24"/>
        </w:rPr>
        <w:sectPr w:rsidR="004F5D5E" w:rsidRPr="00EA0DC7" w:rsidSect="00B15884">
          <w:pgSz w:w="11906" w:h="16838"/>
          <w:pgMar w:top="1440" w:right="1440" w:bottom="1440" w:left="2268" w:header="709" w:footer="709" w:gutter="0"/>
          <w:cols w:space="708"/>
          <w:docGrid w:linePitch="360"/>
        </w:sectPr>
      </w:pPr>
      <w:r>
        <w:rPr>
          <w:rFonts w:cs="Arial"/>
          <w:szCs w:val="24"/>
        </w:rPr>
        <w:br w:type="page"/>
      </w:r>
    </w:p>
    <w:p w14:paraId="7FEDB623" w14:textId="194E1726" w:rsidR="004F5D5E" w:rsidRPr="00EA0DC7" w:rsidRDefault="00C238B8" w:rsidP="004F4542">
      <w:pPr>
        <w:pStyle w:val="Heading2"/>
      </w:pPr>
      <w:bookmarkStart w:id="299" w:name="_Toc23881318"/>
      <w:bookmarkStart w:id="300" w:name="_Toc24548609"/>
      <w:bookmarkStart w:id="301" w:name="_Toc24548712"/>
      <w:bookmarkStart w:id="302" w:name="_Toc47039904"/>
      <w:r w:rsidRPr="00EA0DC7">
        <w:lastRenderedPageBreak/>
        <w:t>Appendix 6</w:t>
      </w:r>
      <w:r w:rsidR="00C230E9">
        <w:t>C</w:t>
      </w:r>
      <w:r w:rsidR="004F5D5E" w:rsidRPr="00EA0DC7">
        <w:t xml:space="preserve"> – Study 3a vignettes</w:t>
      </w:r>
      <w:bookmarkEnd w:id="299"/>
      <w:bookmarkEnd w:id="300"/>
      <w:bookmarkEnd w:id="301"/>
      <w:bookmarkEnd w:id="302"/>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4F5D5E" w:rsidRPr="00EA0DC7" w14:paraId="77A18643" w14:textId="77777777" w:rsidTr="00386282">
        <w:tc>
          <w:tcPr>
            <w:tcW w:w="3539" w:type="dxa"/>
            <w:tcBorders>
              <w:bottom w:val="single" w:sz="4" w:space="0" w:color="auto"/>
              <w:right w:val="nil"/>
            </w:tcBorders>
          </w:tcPr>
          <w:p w14:paraId="5D7149CF" w14:textId="77777777" w:rsidR="004F5D5E" w:rsidRPr="00EA0DC7" w:rsidRDefault="004F5D5E" w:rsidP="00985D66">
            <w:pPr>
              <w:spacing w:before="240" w:after="240" w:line="360" w:lineRule="auto"/>
              <w:jc w:val="center"/>
              <w:rPr>
                <w:rFonts w:cs="Arial"/>
                <w:b/>
                <w:sz w:val="20"/>
                <w:szCs w:val="20"/>
              </w:rPr>
            </w:pPr>
            <w:r w:rsidRPr="00EA0DC7">
              <w:rPr>
                <w:rFonts w:cs="Arial"/>
                <w:b/>
                <w:sz w:val="20"/>
                <w:szCs w:val="20"/>
              </w:rPr>
              <w:t>Clinician type</w:t>
            </w:r>
          </w:p>
        </w:tc>
        <w:tc>
          <w:tcPr>
            <w:tcW w:w="9928" w:type="dxa"/>
            <w:tcBorders>
              <w:left w:val="nil"/>
              <w:bottom w:val="single" w:sz="4" w:space="0" w:color="auto"/>
            </w:tcBorders>
          </w:tcPr>
          <w:p w14:paraId="5E297605" w14:textId="77777777" w:rsidR="004F5D5E" w:rsidRPr="00EA0DC7" w:rsidRDefault="004F5D5E" w:rsidP="00985D66">
            <w:pPr>
              <w:spacing w:before="240" w:after="240" w:line="360" w:lineRule="auto"/>
              <w:jc w:val="center"/>
              <w:rPr>
                <w:rFonts w:cs="Arial"/>
                <w:b/>
                <w:sz w:val="20"/>
                <w:szCs w:val="20"/>
              </w:rPr>
            </w:pPr>
            <w:r w:rsidRPr="00EA0DC7">
              <w:rPr>
                <w:rFonts w:cs="Arial"/>
                <w:b/>
                <w:sz w:val="20"/>
                <w:szCs w:val="20"/>
              </w:rPr>
              <w:t>Vignette</w:t>
            </w:r>
          </w:p>
        </w:tc>
      </w:tr>
      <w:tr w:rsidR="004F5D5E" w:rsidRPr="00EA0DC7" w14:paraId="5D876D23" w14:textId="77777777" w:rsidTr="00985D66">
        <w:tc>
          <w:tcPr>
            <w:tcW w:w="3539" w:type="dxa"/>
            <w:tcBorders>
              <w:bottom w:val="single" w:sz="4" w:space="0" w:color="auto"/>
              <w:right w:val="nil"/>
            </w:tcBorders>
          </w:tcPr>
          <w:p w14:paraId="0AA8C07D" w14:textId="77777777" w:rsidR="004F5D5E" w:rsidRPr="00EA0DC7" w:rsidRDefault="004F5D5E" w:rsidP="00985D66">
            <w:pPr>
              <w:spacing w:before="240" w:line="360" w:lineRule="auto"/>
              <w:jc w:val="center"/>
              <w:rPr>
                <w:rFonts w:cs="Arial"/>
                <w:sz w:val="20"/>
                <w:szCs w:val="20"/>
              </w:rPr>
            </w:pPr>
            <w:r w:rsidRPr="00EA0DC7">
              <w:rPr>
                <w:rFonts w:cs="Arial"/>
                <w:sz w:val="20"/>
                <w:szCs w:val="20"/>
              </w:rPr>
              <w:t>State anxious clinician, male</w:t>
            </w:r>
          </w:p>
        </w:tc>
        <w:tc>
          <w:tcPr>
            <w:tcW w:w="9928" w:type="dxa"/>
            <w:tcBorders>
              <w:left w:val="nil"/>
              <w:bottom w:val="single" w:sz="4" w:space="0" w:color="auto"/>
            </w:tcBorders>
          </w:tcPr>
          <w:p w14:paraId="06ED308A" w14:textId="77777777" w:rsidR="004F5D5E" w:rsidRPr="00EA0DC7" w:rsidRDefault="004F5D5E" w:rsidP="00985D66">
            <w:pPr>
              <w:spacing w:before="240" w:line="360" w:lineRule="auto"/>
              <w:rPr>
                <w:rFonts w:cs="Arial"/>
                <w:sz w:val="20"/>
                <w:szCs w:val="20"/>
              </w:rPr>
            </w:pPr>
            <w:r w:rsidRPr="00EA0DC7">
              <w:rPr>
                <w:rFonts w:cs="Arial"/>
                <w:sz w:val="20"/>
                <w:szCs w:val="20"/>
              </w:rPr>
              <w:t xml:space="preserve">       ‘Your supervisee, William, is 42. He has been a qualified therapist for 15 years. He is usually quite confident in his abilities as a therapist but he is noticeably anxious in your supervision session today. During your session, it transpires that he is concerned about a depressed patient, Mary, who is halfway through her course of treatment. </w:t>
            </w:r>
          </w:p>
          <w:p w14:paraId="546BC94A" w14:textId="77777777" w:rsidR="004F5D5E" w:rsidRPr="00EA0DC7" w:rsidRDefault="004F5D5E" w:rsidP="0066278A">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5718627E" w14:textId="6A49B7E1" w:rsidR="004F5D5E" w:rsidRPr="00EA0DC7" w:rsidRDefault="004F5D5E" w:rsidP="0066278A">
            <w:pPr>
              <w:spacing w:line="360" w:lineRule="auto"/>
              <w:rPr>
                <w:rFonts w:cs="Arial"/>
                <w:sz w:val="20"/>
                <w:szCs w:val="20"/>
              </w:rPr>
            </w:pPr>
            <w:r w:rsidRPr="00EA0DC7">
              <w:rPr>
                <w:rFonts w:cs="Arial"/>
                <w:sz w:val="20"/>
                <w:szCs w:val="20"/>
              </w:rPr>
              <w:t xml:space="preserve">       You had previously suggested to William that he should focus on behavioural activation with Mary, but this approach is not working. The problem appears to be that Mary is not engaging in the behavioural exercises that have been suggested. William is concerned that if he pushes Mary to engage in these behavioural aspects of therapy, she will be reluctant to come to sessions and may drop out of therapy altogether. William is deeply worried about Mary’s welfare if she does decide to end her treatment.</w:t>
            </w:r>
            <w:r w:rsidR="00985D66" w:rsidRPr="00EA0DC7">
              <w:rPr>
                <w:rFonts w:cs="Arial"/>
                <w:sz w:val="20"/>
                <w:szCs w:val="20"/>
              </w:rPr>
              <w:t>’</w:t>
            </w:r>
          </w:p>
        </w:tc>
      </w:tr>
    </w:tbl>
    <w:p w14:paraId="18EE5BA6" w14:textId="77777777" w:rsidR="00985D66" w:rsidRPr="00EA0DC7" w:rsidRDefault="00985D66" w:rsidP="00985D66">
      <w:pPr>
        <w:spacing w:before="240" w:after="240" w:line="360" w:lineRule="auto"/>
        <w:jc w:val="center"/>
        <w:rPr>
          <w:rFonts w:cs="Arial"/>
          <w:b/>
          <w:sz w:val="20"/>
          <w:szCs w:val="20"/>
        </w:rPr>
        <w:sectPr w:rsidR="00985D66" w:rsidRPr="00EA0DC7" w:rsidSect="00D2705A">
          <w:pgSz w:w="16838" w:h="11906" w:orient="landscape"/>
          <w:pgMar w:top="2268" w:right="1440" w:bottom="1440" w:left="1440" w:header="709" w:footer="709"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985D66" w:rsidRPr="00EA0DC7" w14:paraId="0329A0F4" w14:textId="77777777" w:rsidTr="00985D66">
        <w:tc>
          <w:tcPr>
            <w:tcW w:w="3539" w:type="dxa"/>
            <w:tcBorders>
              <w:top w:val="single" w:sz="4" w:space="0" w:color="auto"/>
              <w:bottom w:val="single" w:sz="4" w:space="0" w:color="auto"/>
              <w:right w:val="nil"/>
            </w:tcBorders>
          </w:tcPr>
          <w:p w14:paraId="26EC3A14" w14:textId="36D4B346" w:rsidR="00985D66" w:rsidRPr="00EA0DC7" w:rsidRDefault="00985D66" w:rsidP="00985D66">
            <w:pPr>
              <w:spacing w:before="240" w:after="240" w:line="360" w:lineRule="auto"/>
              <w:jc w:val="center"/>
              <w:rPr>
                <w:rFonts w:cs="Arial"/>
                <w:sz w:val="20"/>
                <w:szCs w:val="20"/>
              </w:rPr>
            </w:pPr>
            <w:r w:rsidRPr="00EA0DC7">
              <w:rPr>
                <w:rFonts w:cs="Arial"/>
                <w:b/>
                <w:sz w:val="20"/>
                <w:szCs w:val="20"/>
              </w:rPr>
              <w:lastRenderedPageBreak/>
              <w:t>Clinician type</w:t>
            </w:r>
          </w:p>
        </w:tc>
        <w:tc>
          <w:tcPr>
            <w:tcW w:w="9928" w:type="dxa"/>
            <w:tcBorders>
              <w:top w:val="single" w:sz="4" w:space="0" w:color="auto"/>
              <w:left w:val="nil"/>
              <w:bottom w:val="single" w:sz="4" w:space="0" w:color="auto"/>
            </w:tcBorders>
          </w:tcPr>
          <w:p w14:paraId="4F7CD5F9" w14:textId="346CF843" w:rsidR="00985D66" w:rsidRPr="00EA0DC7" w:rsidRDefault="00985D66" w:rsidP="00985D66">
            <w:pPr>
              <w:spacing w:before="240" w:after="240" w:line="360" w:lineRule="auto"/>
              <w:jc w:val="center"/>
              <w:rPr>
                <w:rFonts w:cs="Arial"/>
                <w:sz w:val="20"/>
                <w:szCs w:val="20"/>
              </w:rPr>
            </w:pPr>
            <w:r w:rsidRPr="00EA0DC7">
              <w:rPr>
                <w:rFonts w:cs="Arial"/>
                <w:b/>
                <w:sz w:val="20"/>
                <w:szCs w:val="20"/>
              </w:rPr>
              <w:t>Vignette</w:t>
            </w:r>
          </w:p>
        </w:tc>
      </w:tr>
      <w:tr w:rsidR="00985D66" w:rsidRPr="00EA0DC7" w14:paraId="4E2FC023" w14:textId="77777777" w:rsidTr="00985D66">
        <w:tc>
          <w:tcPr>
            <w:tcW w:w="3539" w:type="dxa"/>
            <w:tcBorders>
              <w:top w:val="single" w:sz="4" w:space="0" w:color="auto"/>
              <w:bottom w:val="single" w:sz="4" w:space="0" w:color="auto"/>
              <w:right w:val="nil"/>
            </w:tcBorders>
          </w:tcPr>
          <w:p w14:paraId="2F72D11A" w14:textId="77777777" w:rsidR="00985D66" w:rsidRPr="00EA0DC7" w:rsidRDefault="00985D66" w:rsidP="00985D66">
            <w:pPr>
              <w:spacing w:before="240" w:line="360" w:lineRule="auto"/>
              <w:jc w:val="center"/>
              <w:rPr>
                <w:rFonts w:cs="Arial"/>
                <w:sz w:val="20"/>
                <w:szCs w:val="20"/>
              </w:rPr>
            </w:pPr>
            <w:r w:rsidRPr="00EA0DC7">
              <w:rPr>
                <w:rFonts w:cs="Arial"/>
                <w:sz w:val="20"/>
                <w:szCs w:val="20"/>
              </w:rPr>
              <w:t>State anxious clinician, female</w:t>
            </w:r>
          </w:p>
        </w:tc>
        <w:tc>
          <w:tcPr>
            <w:tcW w:w="9928" w:type="dxa"/>
            <w:tcBorders>
              <w:top w:val="single" w:sz="4" w:space="0" w:color="auto"/>
              <w:left w:val="nil"/>
              <w:bottom w:val="single" w:sz="4" w:space="0" w:color="auto"/>
            </w:tcBorders>
          </w:tcPr>
          <w:p w14:paraId="62CC8FCF" w14:textId="77777777" w:rsidR="00985D66" w:rsidRPr="00EA0DC7" w:rsidRDefault="00985D66" w:rsidP="00985D66">
            <w:pPr>
              <w:spacing w:before="240" w:line="360" w:lineRule="auto"/>
              <w:rPr>
                <w:rFonts w:cs="Arial"/>
                <w:sz w:val="20"/>
                <w:szCs w:val="20"/>
              </w:rPr>
            </w:pPr>
            <w:r w:rsidRPr="00EA0DC7">
              <w:rPr>
                <w:rFonts w:cs="Arial"/>
                <w:sz w:val="20"/>
                <w:szCs w:val="20"/>
              </w:rPr>
              <w:t xml:space="preserve">       ‘Your supervisee, Wendy, is 42. She has been a qualified therapist for 15 years. She is usually quite confident in her abilities as a therapist but she is noticeably anxious in your supervision session today. During your session, it transpires that she is concerned about a depressed patient, Mary, who is halfway through her course of treatment. </w:t>
            </w:r>
          </w:p>
          <w:p w14:paraId="5CB5EF55" w14:textId="77777777" w:rsidR="00985D66" w:rsidRPr="00EA0DC7" w:rsidRDefault="00985D66" w:rsidP="0066278A">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519EA514" w14:textId="06CDC407" w:rsidR="00985D66" w:rsidRPr="00EA0DC7" w:rsidRDefault="00985D66" w:rsidP="0066278A">
            <w:pPr>
              <w:spacing w:line="360" w:lineRule="auto"/>
              <w:rPr>
                <w:rFonts w:cs="Arial"/>
                <w:sz w:val="20"/>
                <w:szCs w:val="20"/>
              </w:rPr>
            </w:pPr>
            <w:r w:rsidRPr="00EA0DC7">
              <w:rPr>
                <w:rFonts w:cs="Arial"/>
                <w:sz w:val="20"/>
                <w:szCs w:val="20"/>
              </w:rPr>
              <w:t xml:space="preserve">       You had previously suggested to Wendy that she should focus on behavioural activation with Mary, but this approach is not working. The problem appears to be that Mary is not engaging in the behavioural exercises that have been suggested. Wendy is concerned that if she pushes Mary to engage in these behavioural aspects of therapy, she will be reluctant to come to sessions and may drop out of therapy altogether. Wendy is deeply worried about Mary’s welfare if she does decide to end her treatment.’</w:t>
            </w:r>
          </w:p>
        </w:tc>
      </w:tr>
    </w:tbl>
    <w:p w14:paraId="779837DB" w14:textId="77777777" w:rsidR="00985D66" w:rsidRPr="00EA0DC7" w:rsidRDefault="00985D66">
      <w:pPr>
        <w:sectPr w:rsidR="00985D66" w:rsidRPr="00EA0DC7" w:rsidSect="00D2705A">
          <w:pgSz w:w="16838" w:h="11906" w:orient="landscape"/>
          <w:pgMar w:top="1440" w:right="1440" w:bottom="2268" w:left="1440" w:header="709" w:footer="709"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985D66" w:rsidRPr="00EA0DC7" w14:paraId="5250A590" w14:textId="77777777" w:rsidTr="00985D66">
        <w:tc>
          <w:tcPr>
            <w:tcW w:w="3539" w:type="dxa"/>
            <w:tcBorders>
              <w:top w:val="single" w:sz="4" w:space="0" w:color="auto"/>
              <w:bottom w:val="single" w:sz="4" w:space="0" w:color="auto"/>
              <w:right w:val="nil"/>
            </w:tcBorders>
          </w:tcPr>
          <w:p w14:paraId="6DCA053E" w14:textId="305F0A27" w:rsidR="00985D66" w:rsidRPr="00EA0DC7" w:rsidRDefault="00985D66" w:rsidP="00985D66">
            <w:pPr>
              <w:spacing w:before="240" w:after="240" w:line="360" w:lineRule="auto"/>
              <w:jc w:val="center"/>
              <w:rPr>
                <w:rFonts w:cs="Arial"/>
                <w:sz w:val="20"/>
                <w:szCs w:val="20"/>
                <w:lang w:val="fr-FR"/>
              </w:rPr>
            </w:pPr>
            <w:r w:rsidRPr="00EA0DC7">
              <w:rPr>
                <w:rFonts w:cs="Arial"/>
                <w:b/>
                <w:sz w:val="20"/>
                <w:szCs w:val="20"/>
              </w:rPr>
              <w:lastRenderedPageBreak/>
              <w:t>Clinician type</w:t>
            </w:r>
          </w:p>
        </w:tc>
        <w:tc>
          <w:tcPr>
            <w:tcW w:w="9928" w:type="dxa"/>
            <w:tcBorders>
              <w:top w:val="single" w:sz="4" w:space="0" w:color="auto"/>
              <w:left w:val="nil"/>
              <w:bottom w:val="single" w:sz="4" w:space="0" w:color="auto"/>
            </w:tcBorders>
          </w:tcPr>
          <w:p w14:paraId="7A380625" w14:textId="49155535" w:rsidR="00985D66" w:rsidRPr="00EA0DC7" w:rsidRDefault="00985D66" w:rsidP="00985D66">
            <w:pPr>
              <w:spacing w:before="240" w:after="240" w:line="360" w:lineRule="auto"/>
              <w:jc w:val="center"/>
              <w:rPr>
                <w:rFonts w:cs="Arial"/>
                <w:sz w:val="20"/>
                <w:szCs w:val="20"/>
              </w:rPr>
            </w:pPr>
            <w:r w:rsidRPr="00EA0DC7">
              <w:rPr>
                <w:rFonts w:cs="Arial"/>
                <w:b/>
                <w:sz w:val="20"/>
                <w:szCs w:val="20"/>
              </w:rPr>
              <w:t>Vignette</w:t>
            </w:r>
          </w:p>
        </w:tc>
      </w:tr>
      <w:tr w:rsidR="00985D66" w:rsidRPr="00EA0DC7" w14:paraId="34F2E057" w14:textId="77777777" w:rsidTr="00985D66">
        <w:tc>
          <w:tcPr>
            <w:tcW w:w="3539" w:type="dxa"/>
            <w:tcBorders>
              <w:top w:val="single" w:sz="4" w:space="0" w:color="auto"/>
              <w:bottom w:val="single" w:sz="4" w:space="0" w:color="auto"/>
              <w:right w:val="nil"/>
            </w:tcBorders>
          </w:tcPr>
          <w:p w14:paraId="18EAF0AF" w14:textId="77777777" w:rsidR="00985D66" w:rsidRPr="00EA0DC7" w:rsidRDefault="00985D66" w:rsidP="00985D66">
            <w:pPr>
              <w:spacing w:before="240" w:line="360" w:lineRule="auto"/>
              <w:jc w:val="center"/>
              <w:rPr>
                <w:rFonts w:cs="Arial"/>
                <w:sz w:val="20"/>
                <w:szCs w:val="20"/>
              </w:rPr>
            </w:pPr>
            <w:r w:rsidRPr="00EA0DC7">
              <w:rPr>
                <w:rFonts w:cs="Arial"/>
                <w:sz w:val="20"/>
                <w:szCs w:val="20"/>
                <w:lang w:val="fr-FR"/>
              </w:rPr>
              <w:t>Trait anxious clinician, male</w:t>
            </w:r>
          </w:p>
        </w:tc>
        <w:tc>
          <w:tcPr>
            <w:tcW w:w="9928" w:type="dxa"/>
            <w:tcBorders>
              <w:top w:val="single" w:sz="4" w:space="0" w:color="auto"/>
              <w:left w:val="nil"/>
              <w:bottom w:val="single" w:sz="4" w:space="0" w:color="auto"/>
            </w:tcBorders>
          </w:tcPr>
          <w:p w14:paraId="0820279E" w14:textId="77777777" w:rsidR="00985D66" w:rsidRPr="00EA0DC7" w:rsidRDefault="00985D66" w:rsidP="00985D66">
            <w:pPr>
              <w:spacing w:before="240" w:line="360" w:lineRule="auto"/>
              <w:rPr>
                <w:rFonts w:cs="Arial"/>
                <w:sz w:val="20"/>
                <w:szCs w:val="20"/>
              </w:rPr>
            </w:pPr>
            <w:r w:rsidRPr="00EA0DC7">
              <w:rPr>
                <w:rFonts w:cs="Arial"/>
                <w:sz w:val="20"/>
                <w:szCs w:val="20"/>
              </w:rPr>
              <w:t xml:space="preserve">       ‘Your supervisee, William, is 42. He has been a qualified therapist for 15 years. He is quite an anxious individual, and seems to worry about his patients a lot of the time. When discussing his cases, a particular issue comes up about a depressed patient called Mary, who is halfway through her course of treatment.</w:t>
            </w:r>
          </w:p>
          <w:p w14:paraId="549C9B29" w14:textId="77777777" w:rsidR="00985D66" w:rsidRPr="00EA0DC7" w:rsidRDefault="00985D66" w:rsidP="0066278A">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743F2171" w14:textId="1E8F303C" w:rsidR="00985D66" w:rsidRPr="00EA0DC7" w:rsidRDefault="00985D66" w:rsidP="0066278A">
            <w:pPr>
              <w:spacing w:line="360" w:lineRule="auto"/>
              <w:rPr>
                <w:rFonts w:cs="Arial"/>
                <w:sz w:val="20"/>
                <w:szCs w:val="20"/>
              </w:rPr>
            </w:pPr>
            <w:r w:rsidRPr="00EA0DC7">
              <w:rPr>
                <w:rFonts w:cs="Arial"/>
                <w:sz w:val="20"/>
                <w:szCs w:val="20"/>
              </w:rPr>
              <w:t xml:space="preserve">       You had previously suggested to William that he should focus on behavioural activation with Mary, but this approach is not working. The problem appears to be that Mary is not engaging in the behavioural exercises that have been suggested. William is particularly concerned that Mary is not coping well with the demands of behavioural activation, and that, if this aspect of therapy is pushed, she might get worse or stop coming to sessions.’</w:t>
            </w:r>
          </w:p>
        </w:tc>
      </w:tr>
    </w:tbl>
    <w:p w14:paraId="66DAF925" w14:textId="3336995B" w:rsidR="00985D66" w:rsidRPr="00EA0DC7" w:rsidRDefault="00985D66"/>
    <w:p w14:paraId="50A6060F" w14:textId="77777777" w:rsidR="00985D66" w:rsidRPr="00EA0DC7" w:rsidRDefault="00985D66"/>
    <w:p w14:paraId="088B6E01" w14:textId="77777777" w:rsidR="00985D66" w:rsidRPr="00EA0DC7" w:rsidRDefault="00985D66" w:rsidP="00985D66">
      <w:pPr>
        <w:spacing w:before="240" w:after="240" w:line="360" w:lineRule="auto"/>
        <w:jc w:val="center"/>
        <w:rPr>
          <w:rFonts w:cs="Arial"/>
          <w:b/>
          <w:sz w:val="20"/>
          <w:szCs w:val="20"/>
        </w:rPr>
        <w:sectPr w:rsidR="00985D66" w:rsidRPr="00EA0DC7" w:rsidSect="00D2705A">
          <w:pgSz w:w="16838" w:h="11906" w:orient="landscape"/>
          <w:pgMar w:top="2268" w:right="1440" w:bottom="1440" w:left="1440" w:header="709" w:footer="709"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985D66" w:rsidRPr="00EA0DC7" w14:paraId="6CCAC1AF" w14:textId="77777777" w:rsidTr="00985D66">
        <w:tc>
          <w:tcPr>
            <w:tcW w:w="3539" w:type="dxa"/>
            <w:tcBorders>
              <w:top w:val="single" w:sz="4" w:space="0" w:color="auto"/>
              <w:bottom w:val="single" w:sz="4" w:space="0" w:color="auto"/>
              <w:right w:val="nil"/>
            </w:tcBorders>
          </w:tcPr>
          <w:p w14:paraId="7305177F" w14:textId="159B795C" w:rsidR="00985D66" w:rsidRPr="00EA0DC7" w:rsidRDefault="00985D66" w:rsidP="00985D66">
            <w:pPr>
              <w:spacing w:before="240" w:after="240" w:line="360" w:lineRule="auto"/>
              <w:jc w:val="center"/>
              <w:rPr>
                <w:rFonts w:cs="Arial"/>
                <w:sz w:val="20"/>
                <w:szCs w:val="20"/>
                <w:lang w:val="fr-FR"/>
              </w:rPr>
            </w:pPr>
            <w:r w:rsidRPr="00EA0DC7">
              <w:rPr>
                <w:rFonts w:cs="Arial"/>
                <w:b/>
                <w:sz w:val="20"/>
                <w:szCs w:val="20"/>
              </w:rPr>
              <w:lastRenderedPageBreak/>
              <w:t>Clinician type</w:t>
            </w:r>
          </w:p>
        </w:tc>
        <w:tc>
          <w:tcPr>
            <w:tcW w:w="9928" w:type="dxa"/>
            <w:tcBorders>
              <w:top w:val="single" w:sz="4" w:space="0" w:color="auto"/>
              <w:left w:val="nil"/>
              <w:bottom w:val="single" w:sz="4" w:space="0" w:color="auto"/>
            </w:tcBorders>
          </w:tcPr>
          <w:p w14:paraId="256347EB" w14:textId="5EAE57CC" w:rsidR="00985D66" w:rsidRPr="00EA0DC7" w:rsidRDefault="00985D66" w:rsidP="00985D66">
            <w:pPr>
              <w:spacing w:before="240" w:after="240" w:line="360" w:lineRule="auto"/>
              <w:jc w:val="center"/>
              <w:rPr>
                <w:rFonts w:cs="Arial"/>
                <w:sz w:val="20"/>
                <w:szCs w:val="20"/>
              </w:rPr>
            </w:pPr>
            <w:r w:rsidRPr="00EA0DC7">
              <w:rPr>
                <w:rFonts w:cs="Arial"/>
                <w:b/>
                <w:sz w:val="20"/>
                <w:szCs w:val="20"/>
              </w:rPr>
              <w:t>Vignette</w:t>
            </w:r>
          </w:p>
        </w:tc>
      </w:tr>
      <w:tr w:rsidR="00985D66" w:rsidRPr="00EA0DC7" w14:paraId="4F629209" w14:textId="77777777" w:rsidTr="00985D66">
        <w:tc>
          <w:tcPr>
            <w:tcW w:w="3539" w:type="dxa"/>
            <w:tcBorders>
              <w:top w:val="single" w:sz="4" w:space="0" w:color="auto"/>
              <w:bottom w:val="single" w:sz="4" w:space="0" w:color="auto"/>
              <w:right w:val="nil"/>
            </w:tcBorders>
          </w:tcPr>
          <w:p w14:paraId="64953FD9" w14:textId="77777777" w:rsidR="00985D66" w:rsidRPr="00EA0DC7" w:rsidRDefault="00985D66" w:rsidP="00985D66">
            <w:pPr>
              <w:spacing w:before="240" w:line="360" w:lineRule="auto"/>
              <w:jc w:val="center"/>
              <w:rPr>
                <w:rFonts w:cs="Arial"/>
                <w:sz w:val="20"/>
                <w:szCs w:val="20"/>
              </w:rPr>
            </w:pPr>
            <w:r w:rsidRPr="00EA0DC7">
              <w:rPr>
                <w:rFonts w:cs="Arial"/>
                <w:sz w:val="20"/>
                <w:szCs w:val="20"/>
                <w:lang w:val="fr-FR"/>
              </w:rPr>
              <w:t>Trait anxious clinician, female</w:t>
            </w:r>
          </w:p>
        </w:tc>
        <w:tc>
          <w:tcPr>
            <w:tcW w:w="9928" w:type="dxa"/>
            <w:tcBorders>
              <w:top w:val="single" w:sz="4" w:space="0" w:color="auto"/>
              <w:left w:val="nil"/>
              <w:bottom w:val="single" w:sz="4" w:space="0" w:color="auto"/>
            </w:tcBorders>
          </w:tcPr>
          <w:p w14:paraId="4CBF444B" w14:textId="77777777" w:rsidR="00985D66" w:rsidRPr="00EA0DC7" w:rsidRDefault="00985D66" w:rsidP="00985D66">
            <w:pPr>
              <w:spacing w:before="240" w:line="360" w:lineRule="auto"/>
              <w:rPr>
                <w:rFonts w:cs="Arial"/>
                <w:sz w:val="20"/>
                <w:szCs w:val="20"/>
              </w:rPr>
            </w:pPr>
            <w:r w:rsidRPr="00EA0DC7">
              <w:rPr>
                <w:rFonts w:cs="Arial"/>
                <w:sz w:val="20"/>
                <w:szCs w:val="20"/>
              </w:rPr>
              <w:t xml:space="preserve">       ‘Your supervisee, Wendy, is 42. She has been a qualified therapist for 15 years. She is quite an anxious individual, and seems to worry about her patients a lot of the time. When discussing her cases, a particular issue comes up about a depressed patient called Mary, who is halfway through her course of treatment.</w:t>
            </w:r>
          </w:p>
          <w:p w14:paraId="60ABD0A1" w14:textId="77777777" w:rsidR="00985D66" w:rsidRPr="00EA0DC7" w:rsidRDefault="00985D66" w:rsidP="0066278A">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656ADB0E" w14:textId="4793B038" w:rsidR="00985D66" w:rsidRPr="00EA0DC7" w:rsidRDefault="00985D66" w:rsidP="0066278A">
            <w:pPr>
              <w:spacing w:line="360" w:lineRule="auto"/>
              <w:rPr>
                <w:rFonts w:cs="Arial"/>
                <w:sz w:val="20"/>
                <w:szCs w:val="20"/>
              </w:rPr>
            </w:pPr>
            <w:r w:rsidRPr="00EA0DC7">
              <w:rPr>
                <w:rFonts w:cs="Arial"/>
                <w:sz w:val="20"/>
                <w:szCs w:val="20"/>
              </w:rPr>
              <w:t xml:space="preserve">       You had previously suggested to Wendy that she should focus on behavioural activation with Mary, but this approach is not working. The problem appears to be that Mary is not engaging in the behavioural exercises that have been suggested. Wendy is particularly concerned that Mary is not coping well with the demands of behavioural activation, and that, if this aspect of therapy is pushed, she might get worse or stop coming to sessions.’</w:t>
            </w:r>
          </w:p>
        </w:tc>
      </w:tr>
    </w:tbl>
    <w:p w14:paraId="4E3C5DBA" w14:textId="77777777" w:rsidR="00985D66" w:rsidRPr="00EA0DC7" w:rsidRDefault="00985D66">
      <w:pPr>
        <w:sectPr w:rsidR="00985D66" w:rsidRPr="00EA0DC7" w:rsidSect="00D2705A">
          <w:pgSz w:w="16838" w:h="11906" w:orient="landscape"/>
          <w:pgMar w:top="1440" w:right="1440" w:bottom="2268" w:left="1440" w:header="709" w:footer="709"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985D66" w:rsidRPr="00EA0DC7" w14:paraId="489C750E" w14:textId="77777777" w:rsidTr="00985D66">
        <w:tc>
          <w:tcPr>
            <w:tcW w:w="3539" w:type="dxa"/>
            <w:tcBorders>
              <w:top w:val="single" w:sz="4" w:space="0" w:color="auto"/>
              <w:bottom w:val="single" w:sz="4" w:space="0" w:color="auto"/>
              <w:right w:val="nil"/>
            </w:tcBorders>
          </w:tcPr>
          <w:p w14:paraId="29DDFE08" w14:textId="375E7D01" w:rsidR="00985D66" w:rsidRPr="00EA0DC7" w:rsidRDefault="00985D66" w:rsidP="00985D66">
            <w:pPr>
              <w:spacing w:before="240" w:after="240" w:line="360" w:lineRule="auto"/>
              <w:jc w:val="center"/>
              <w:rPr>
                <w:rFonts w:cs="Arial"/>
                <w:sz w:val="20"/>
                <w:szCs w:val="20"/>
              </w:rPr>
            </w:pPr>
            <w:r w:rsidRPr="00EA0DC7">
              <w:rPr>
                <w:rFonts w:cs="Arial"/>
                <w:b/>
                <w:sz w:val="20"/>
                <w:szCs w:val="20"/>
              </w:rPr>
              <w:lastRenderedPageBreak/>
              <w:t>Clinician type</w:t>
            </w:r>
          </w:p>
        </w:tc>
        <w:tc>
          <w:tcPr>
            <w:tcW w:w="9928" w:type="dxa"/>
            <w:tcBorders>
              <w:top w:val="single" w:sz="4" w:space="0" w:color="auto"/>
              <w:left w:val="nil"/>
              <w:bottom w:val="single" w:sz="4" w:space="0" w:color="auto"/>
            </w:tcBorders>
          </w:tcPr>
          <w:p w14:paraId="446743AF" w14:textId="3EEE5A38" w:rsidR="00985D66" w:rsidRPr="00EA0DC7" w:rsidRDefault="00985D66" w:rsidP="00985D66">
            <w:pPr>
              <w:spacing w:before="240" w:after="240" w:line="360" w:lineRule="auto"/>
              <w:jc w:val="center"/>
              <w:rPr>
                <w:rFonts w:cs="Arial"/>
                <w:sz w:val="20"/>
                <w:szCs w:val="20"/>
              </w:rPr>
            </w:pPr>
            <w:r w:rsidRPr="00EA0DC7">
              <w:rPr>
                <w:rFonts w:cs="Arial"/>
                <w:b/>
                <w:sz w:val="20"/>
                <w:szCs w:val="20"/>
              </w:rPr>
              <w:t>Vignette</w:t>
            </w:r>
          </w:p>
        </w:tc>
      </w:tr>
      <w:tr w:rsidR="00985D66" w:rsidRPr="00EA0DC7" w14:paraId="3090A99A" w14:textId="77777777" w:rsidTr="00985D66">
        <w:tc>
          <w:tcPr>
            <w:tcW w:w="3539" w:type="dxa"/>
            <w:tcBorders>
              <w:top w:val="single" w:sz="4" w:space="0" w:color="auto"/>
              <w:bottom w:val="single" w:sz="4" w:space="0" w:color="auto"/>
              <w:right w:val="nil"/>
            </w:tcBorders>
          </w:tcPr>
          <w:p w14:paraId="138936F8" w14:textId="77777777" w:rsidR="00985D66" w:rsidRPr="00EA0DC7" w:rsidRDefault="00985D66" w:rsidP="00985D66">
            <w:pPr>
              <w:spacing w:before="240" w:line="360" w:lineRule="auto"/>
              <w:jc w:val="center"/>
              <w:rPr>
                <w:rFonts w:cs="Arial"/>
                <w:sz w:val="20"/>
                <w:szCs w:val="20"/>
              </w:rPr>
            </w:pPr>
            <w:r w:rsidRPr="00EA0DC7">
              <w:rPr>
                <w:rFonts w:cs="Arial"/>
                <w:sz w:val="20"/>
                <w:szCs w:val="20"/>
              </w:rPr>
              <w:t>Calm clinician, male</w:t>
            </w:r>
          </w:p>
        </w:tc>
        <w:tc>
          <w:tcPr>
            <w:tcW w:w="9928" w:type="dxa"/>
            <w:tcBorders>
              <w:top w:val="single" w:sz="4" w:space="0" w:color="auto"/>
              <w:left w:val="nil"/>
              <w:bottom w:val="single" w:sz="4" w:space="0" w:color="auto"/>
            </w:tcBorders>
          </w:tcPr>
          <w:p w14:paraId="120E7774" w14:textId="77777777" w:rsidR="00985D66" w:rsidRPr="00EA0DC7" w:rsidRDefault="00985D66" w:rsidP="00985D66">
            <w:pPr>
              <w:spacing w:before="240" w:line="360" w:lineRule="auto"/>
              <w:rPr>
                <w:rFonts w:cs="Arial"/>
                <w:sz w:val="20"/>
                <w:szCs w:val="20"/>
              </w:rPr>
            </w:pPr>
            <w:r w:rsidRPr="00EA0DC7">
              <w:rPr>
                <w:rFonts w:cs="Arial"/>
                <w:sz w:val="20"/>
                <w:szCs w:val="20"/>
              </w:rPr>
              <w:t xml:space="preserve">       ‘Your supervisee, William, is 42. He has been a qualified therapist for 15 years. He is very relaxed when discussing his cases in supervision and is rarely worried about carrying out therapy. During your supervision session he discusses one of his patients, Mary, who has depression and is halfway through her course of treatment.</w:t>
            </w:r>
          </w:p>
          <w:p w14:paraId="500948D3" w14:textId="77777777" w:rsidR="00985D66" w:rsidRPr="00EA0DC7" w:rsidRDefault="00985D66" w:rsidP="00C94279">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7CF07A4C" w14:textId="0D042F3B" w:rsidR="00985D66" w:rsidRPr="00EA0DC7" w:rsidRDefault="00985D66" w:rsidP="00C94279">
            <w:pPr>
              <w:spacing w:line="360" w:lineRule="auto"/>
              <w:rPr>
                <w:rFonts w:cs="Arial"/>
                <w:sz w:val="20"/>
                <w:szCs w:val="20"/>
              </w:rPr>
            </w:pPr>
            <w:r w:rsidRPr="00EA0DC7">
              <w:rPr>
                <w:rFonts w:cs="Arial"/>
                <w:sz w:val="20"/>
                <w:szCs w:val="20"/>
              </w:rPr>
              <w:t xml:space="preserve">       You had previously suggested to William that he should focus on behavioural activation with Mary. Although he said that he was comfortable in doing so, this approach is not working. The problem appears to be that Mary is not engaging in the behavioural exercises that have been suggested. Apart from this glitch in therapy, William is currently feeling satisfied with Mary’s progress and has no immediate concerns.’</w:t>
            </w:r>
          </w:p>
        </w:tc>
      </w:tr>
    </w:tbl>
    <w:p w14:paraId="3F6F5B5E" w14:textId="27B9164B" w:rsidR="00985D66" w:rsidRPr="00EA0DC7" w:rsidRDefault="00985D66"/>
    <w:p w14:paraId="02990E45" w14:textId="77777777" w:rsidR="00985D66" w:rsidRPr="00EA0DC7" w:rsidRDefault="00985D66"/>
    <w:p w14:paraId="4BFF1436" w14:textId="77777777" w:rsidR="00E14242" w:rsidRPr="00EA0DC7" w:rsidRDefault="00E14242" w:rsidP="00985D66">
      <w:pPr>
        <w:spacing w:before="240" w:after="240" w:line="360" w:lineRule="auto"/>
        <w:jc w:val="center"/>
        <w:rPr>
          <w:rFonts w:cs="Arial"/>
          <w:b/>
          <w:sz w:val="20"/>
          <w:szCs w:val="20"/>
        </w:rPr>
        <w:sectPr w:rsidR="00E14242" w:rsidRPr="00EA0DC7" w:rsidSect="00D2705A">
          <w:pgSz w:w="16838" w:h="11906" w:orient="landscape"/>
          <w:pgMar w:top="2268" w:right="1440" w:bottom="1440" w:left="1440" w:header="709" w:footer="709"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539"/>
        <w:gridCol w:w="9928"/>
      </w:tblGrid>
      <w:tr w:rsidR="00985D66" w:rsidRPr="00EA0DC7" w14:paraId="7381504E" w14:textId="77777777" w:rsidTr="00985D66">
        <w:tc>
          <w:tcPr>
            <w:tcW w:w="3539" w:type="dxa"/>
            <w:tcBorders>
              <w:top w:val="single" w:sz="4" w:space="0" w:color="auto"/>
              <w:bottom w:val="single" w:sz="4" w:space="0" w:color="auto"/>
              <w:right w:val="nil"/>
            </w:tcBorders>
          </w:tcPr>
          <w:p w14:paraId="7A374DAC" w14:textId="0D428543" w:rsidR="00985D66" w:rsidRPr="00EA0DC7" w:rsidRDefault="00985D66" w:rsidP="00985D66">
            <w:pPr>
              <w:spacing w:before="240" w:after="240" w:line="360" w:lineRule="auto"/>
              <w:jc w:val="center"/>
              <w:rPr>
                <w:rFonts w:cs="Arial"/>
                <w:sz w:val="20"/>
                <w:szCs w:val="20"/>
              </w:rPr>
            </w:pPr>
            <w:r w:rsidRPr="00EA0DC7">
              <w:rPr>
                <w:rFonts w:cs="Arial"/>
                <w:b/>
                <w:sz w:val="20"/>
                <w:szCs w:val="20"/>
              </w:rPr>
              <w:lastRenderedPageBreak/>
              <w:t>Clinician type</w:t>
            </w:r>
          </w:p>
        </w:tc>
        <w:tc>
          <w:tcPr>
            <w:tcW w:w="9928" w:type="dxa"/>
            <w:tcBorders>
              <w:top w:val="single" w:sz="4" w:space="0" w:color="auto"/>
              <w:left w:val="nil"/>
              <w:bottom w:val="single" w:sz="4" w:space="0" w:color="auto"/>
            </w:tcBorders>
          </w:tcPr>
          <w:p w14:paraId="36ABAFBA" w14:textId="12DCB294" w:rsidR="00985D66" w:rsidRPr="00EA0DC7" w:rsidRDefault="00985D66" w:rsidP="00985D66">
            <w:pPr>
              <w:spacing w:before="240" w:after="240" w:line="360" w:lineRule="auto"/>
              <w:jc w:val="center"/>
              <w:rPr>
                <w:rFonts w:cs="Arial"/>
                <w:sz w:val="20"/>
                <w:szCs w:val="20"/>
              </w:rPr>
            </w:pPr>
            <w:r w:rsidRPr="00EA0DC7">
              <w:rPr>
                <w:rFonts w:cs="Arial"/>
                <w:b/>
                <w:sz w:val="20"/>
                <w:szCs w:val="20"/>
              </w:rPr>
              <w:t>Vignette</w:t>
            </w:r>
          </w:p>
        </w:tc>
      </w:tr>
      <w:tr w:rsidR="00985D66" w:rsidRPr="00EA0DC7" w14:paraId="631C6CD1" w14:textId="77777777" w:rsidTr="00985D66">
        <w:tc>
          <w:tcPr>
            <w:tcW w:w="3539" w:type="dxa"/>
            <w:tcBorders>
              <w:top w:val="single" w:sz="4" w:space="0" w:color="auto"/>
              <w:right w:val="nil"/>
            </w:tcBorders>
          </w:tcPr>
          <w:p w14:paraId="38C73351" w14:textId="77777777" w:rsidR="00985D66" w:rsidRPr="00EA0DC7" w:rsidRDefault="00985D66" w:rsidP="00985D66">
            <w:pPr>
              <w:spacing w:before="240" w:line="360" w:lineRule="auto"/>
              <w:jc w:val="center"/>
              <w:rPr>
                <w:rFonts w:cs="Arial"/>
                <w:sz w:val="20"/>
                <w:szCs w:val="20"/>
              </w:rPr>
            </w:pPr>
            <w:r w:rsidRPr="00EA0DC7">
              <w:rPr>
                <w:rFonts w:cs="Arial"/>
                <w:sz w:val="20"/>
                <w:szCs w:val="20"/>
              </w:rPr>
              <w:t>Calm clinician, female</w:t>
            </w:r>
          </w:p>
        </w:tc>
        <w:tc>
          <w:tcPr>
            <w:tcW w:w="9928" w:type="dxa"/>
            <w:tcBorders>
              <w:top w:val="single" w:sz="4" w:space="0" w:color="auto"/>
              <w:left w:val="nil"/>
            </w:tcBorders>
          </w:tcPr>
          <w:p w14:paraId="4D087102" w14:textId="77777777" w:rsidR="00985D66" w:rsidRPr="00EA0DC7" w:rsidRDefault="00985D66" w:rsidP="00985D66">
            <w:pPr>
              <w:spacing w:before="240" w:line="360" w:lineRule="auto"/>
              <w:rPr>
                <w:rFonts w:cs="Arial"/>
                <w:sz w:val="20"/>
                <w:szCs w:val="20"/>
              </w:rPr>
            </w:pPr>
            <w:r w:rsidRPr="00EA0DC7">
              <w:rPr>
                <w:rFonts w:cs="Arial"/>
                <w:sz w:val="20"/>
                <w:szCs w:val="20"/>
              </w:rPr>
              <w:t xml:space="preserve">       ‘Your supervisee, Wendy, is 42. She has been a qualified therapist for 15 years. She is very relaxed when discussing her cases in supervision and is rarely worried about carrying out therapy. During your supervision session she discusses one of her patients, Mary, who has depression and is halfway through her course of treatment.</w:t>
            </w:r>
          </w:p>
          <w:p w14:paraId="57E4379C" w14:textId="77777777" w:rsidR="00985D66" w:rsidRPr="00EA0DC7" w:rsidRDefault="00985D66" w:rsidP="0066278A">
            <w:pPr>
              <w:spacing w:line="360" w:lineRule="auto"/>
              <w:rPr>
                <w:rFonts w:cs="Arial"/>
                <w:sz w:val="20"/>
                <w:szCs w:val="20"/>
              </w:rPr>
            </w:pPr>
            <w:r w:rsidRPr="00EA0DC7">
              <w:rPr>
                <w:rFonts w:cs="Arial"/>
                <w:sz w:val="20"/>
                <w:szCs w:val="20"/>
              </w:rPr>
              <w:t xml:space="preserve">       Mary is 36 and lives with her partner of about eight months. She has two children from a previous relationship which ended in divorce two years ago. She has been unhappy with life for approximately four years. In recent months, she has shown more and more signs of depression, including low mood and poor self-esteem, though there are no biological signs. Although she is still showing up for work in a local shop, she is becoming increasingly socially isolated outside of work. She was referred because of her low mood and has given no indication that she is suicidal.</w:t>
            </w:r>
          </w:p>
          <w:p w14:paraId="69364C5D" w14:textId="77777777" w:rsidR="00985D66" w:rsidRPr="00EA0DC7" w:rsidRDefault="00985D66" w:rsidP="0066278A">
            <w:pPr>
              <w:spacing w:line="360" w:lineRule="auto"/>
              <w:rPr>
                <w:rFonts w:cs="Arial"/>
                <w:sz w:val="20"/>
                <w:szCs w:val="20"/>
              </w:rPr>
            </w:pPr>
            <w:r w:rsidRPr="00EA0DC7">
              <w:rPr>
                <w:rFonts w:cs="Arial"/>
                <w:sz w:val="20"/>
                <w:szCs w:val="20"/>
              </w:rPr>
              <w:t xml:space="preserve">       You had previously suggested to Wendy that he should focus on behavioural activation with Mary. Although she said that she was comfortable in doing so, this approach is not working. The problem appears to be that Mary is not engaging in the behavioural exercises that have been suggested. Apart from this glitch in therapy, Wendy is currently feeling satisfied with Mary’s progress and has no immediate concerns.’</w:t>
            </w:r>
          </w:p>
        </w:tc>
      </w:tr>
    </w:tbl>
    <w:p w14:paraId="1E7BE68F" w14:textId="77777777" w:rsidR="00E14242" w:rsidRPr="00EA0DC7" w:rsidRDefault="00E14242" w:rsidP="004F5D5E">
      <w:pPr>
        <w:rPr>
          <w:rFonts w:cs="Arial"/>
          <w:szCs w:val="24"/>
        </w:rPr>
        <w:sectPr w:rsidR="00E14242" w:rsidRPr="00EA0DC7" w:rsidSect="00D2705A">
          <w:pgSz w:w="16838" w:h="11906" w:orient="landscape"/>
          <w:pgMar w:top="1440" w:right="1440" w:bottom="2268" w:left="1440" w:header="709" w:footer="709" w:gutter="0"/>
          <w:cols w:space="708"/>
          <w:docGrid w:linePitch="360"/>
        </w:sectPr>
      </w:pPr>
    </w:p>
    <w:p w14:paraId="749E4B30" w14:textId="4E9B389B" w:rsidR="004F5D5E" w:rsidRPr="00EA0DC7" w:rsidRDefault="00C238B8" w:rsidP="004F4542">
      <w:pPr>
        <w:pStyle w:val="Heading2"/>
      </w:pPr>
      <w:bookmarkStart w:id="303" w:name="_Toc23881319"/>
      <w:bookmarkStart w:id="304" w:name="_Toc24548610"/>
      <w:bookmarkStart w:id="305" w:name="_Toc24548713"/>
      <w:bookmarkStart w:id="306" w:name="_Toc47039905"/>
      <w:r w:rsidRPr="00EA0DC7">
        <w:lastRenderedPageBreak/>
        <w:t>Appendix 6</w:t>
      </w:r>
      <w:r w:rsidR="00C230E9">
        <w:t>D</w:t>
      </w:r>
      <w:r w:rsidR="006E281C" w:rsidRPr="00EA0DC7">
        <w:t xml:space="preserve"> – Vignettes from study 3b</w:t>
      </w:r>
      <w:bookmarkEnd w:id="303"/>
      <w:bookmarkEnd w:id="304"/>
      <w:bookmarkEnd w:id="305"/>
      <w:bookmarkEnd w:id="306"/>
    </w:p>
    <w:tbl>
      <w:tblPr>
        <w:tblStyle w:val="TableGrid"/>
        <w:tblW w:w="0" w:type="auto"/>
        <w:tblLook w:val="04A0" w:firstRow="1" w:lastRow="0" w:firstColumn="1" w:lastColumn="0" w:noHBand="0" w:noVBand="1"/>
      </w:tblPr>
      <w:tblGrid>
        <w:gridCol w:w="1539"/>
        <w:gridCol w:w="12419"/>
      </w:tblGrid>
      <w:tr w:rsidR="004F5D5E" w:rsidRPr="00EA0DC7" w14:paraId="6015E3A4" w14:textId="77777777" w:rsidTr="00C94279">
        <w:tc>
          <w:tcPr>
            <w:tcW w:w="1539" w:type="dxa"/>
            <w:tcBorders>
              <w:left w:val="nil"/>
              <w:right w:val="nil"/>
            </w:tcBorders>
          </w:tcPr>
          <w:p w14:paraId="77B769BE" w14:textId="77777777" w:rsidR="004F5D5E" w:rsidRPr="00EA0DC7" w:rsidRDefault="004F5D5E" w:rsidP="00C94279">
            <w:pPr>
              <w:spacing w:before="240" w:line="360" w:lineRule="auto"/>
              <w:jc w:val="center"/>
              <w:rPr>
                <w:rFonts w:cs="Arial"/>
                <w:b/>
                <w:sz w:val="20"/>
                <w:szCs w:val="20"/>
              </w:rPr>
            </w:pPr>
            <w:r w:rsidRPr="00EA0DC7">
              <w:rPr>
                <w:rFonts w:cs="Arial"/>
                <w:b/>
                <w:sz w:val="20"/>
                <w:szCs w:val="20"/>
              </w:rPr>
              <w:t>Clinician/ patient type</w:t>
            </w:r>
          </w:p>
        </w:tc>
        <w:tc>
          <w:tcPr>
            <w:tcW w:w="12419" w:type="dxa"/>
            <w:tcBorders>
              <w:left w:val="nil"/>
              <w:right w:val="nil"/>
            </w:tcBorders>
          </w:tcPr>
          <w:p w14:paraId="5260A139" w14:textId="77777777" w:rsidR="004F5D5E" w:rsidRPr="00EA0DC7" w:rsidRDefault="004F5D5E" w:rsidP="00C94279">
            <w:pPr>
              <w:spacing w:before="240" w:line="360" w:lineRule="auto"/>
              <w:jc w:val="center"/>
              <w:rPr>
                <w:rFonts w:cs="Arial"/>
                <w:b/>
                <w:sz w:val="20"/>
                <w:szCs w:val="20"/>
              </w:rPr>
            </w:pPr>
            <w:r w:rsidRPr="00EA0DC7">
              <w:rPr>
                <w:rFonts w:cs="Arial"/>
                <w:b/>
                <w:sz w:val="20"/>
                <w:szCs w:val="20"/>
              </w:rPr>
              <w:t>Vignette</w:t>
            </w:r>
          </w:p>
        </w:tc>
      </w:tr>
      <w:tr w:rsidR="004F5D5E" w:rsidRPr="00EA0DC7" w14:paraId="2797FC00" w14:textId="77777777" w:rsidTr="00C94279">
        <w:tc>
          <w:tcPr>
            <w:tcW w:w="1539" w:type="dxa"/>
            <w:tcBorders>
              <w:left w:val="nil"/>
              <w:right w:val="nil"/>
            </w:tcBorders>
          </w:tcPr>
          <w:p w14:paraId="42CB05E9" w14:textId="77777777" w:rsidR="004F5D5E" w:rsidRPr="00EA0DC7" w:rsidRDefault="004F5D5E" w:rsidP="00C94279">
            <w:pPr>
              <w:spacing w:before="240" w:line="360" w:lineRule="auto"/>
              <w:jc w:val="center"/>
              <w:rPr>
                <w:rFonts w:cs="Arial"/>
                <w:sz w:val="20"/>
                <w:szCs w:val="20"/>
              </w:rPr>
            </w:pPr>
            <w:r w:rsidRPr="00EA0DC7">
              <w:rPr>
                <w:rFonts w:cs="Arial"/>
                <w:sz w:val="20"/>
                <w:szCs w:val="20"/>
              </w:rPr>
              <w:t>Clinician inexperienced, patient straightforward</w:t>
            </w:r>
          </w:p>
        </w:tc>
        <w:tc>
          <w:tcPr>
            <w:tcW w:w="12419" w:type="dxa"/>
            <w:tcBorders>
              <w:left w:val="nil"/>
              <w:right w:val="nil"/>
            </w:tcBorders>
          </w:tcPr>
          <w:p w14:paraId="01AE94BD" w14:textId="77777777" w:rsidR="004F5D5E" w:rsidRPr="00EA0DC7" w:rsidRDefault="004F5D5E" w:rsidP="00C94279">
            <w:pPr>
              <w:spacing w:before="240" w:line="360" w:lineRule="auto"/>
              <w:rPr>
                <w:rFonts w:cs="Arial"/>
                <w:sz w:val="20"/>
                <w:szCs w:val="20"/>
              </w:rPr>
            </w:pPr>
            <w:r w:rsidRPr="00EA0DC7">
              <w:rPr>
                <w:rFonts w:cs="Arial"/>
                <w:sz w:val="20"/>
                <w:szCs w:val="20"/>
              </w:rPr>
              <w:t xml:space="preserve">       ‘Your supervisee, Richard, is 39. He has been a therapist for six months. In your supervision session today he discusses a patient, Joanne, who has depression. Richard has been seeing her for six sessions out of a planned 12.</w:t>
            </w:r>
          </w:p>
          <w:p w14:paraId="218CC904" w14:textId="77777777" w:rsidR="004F5D5E" w:rsidRPr="00EA0DC7" w:rsidRDefault="004F5D5E" w:rsidP="00C94279">
            <w:pPr>
              <w:spacing w:before="240" w:line="360" w:lineRule="auto"/>
              <w:contextualSpacing/>
              <w:rPr>
                <w:rFonts w:cs="Arial"/>
                <w:sz w:val="20"/>
                <w:szCs w:val="20"/>
              </w:rPr>
            </w:pPr>
            <w:r w:rsidRPr="00EA0DC7">
              <w:rPr>
                <w:rFonts w:cs="Arial"/>
                <w:sz w:val="20"/>
                <w:szCs w:val="20"/>
              </w:rPr>
              <w:t xml:space="preserve">       Joanne is 38 and lives with her husband of two years and their son. She has been unhappy with life for approximately four years. In recent months, she has shown more and more signs of depression, including a low mood and poor self-esteem, though there are no biological signs. Although she is still attending her job in a bakery, she is becoming increasingly socially isolated. She has given no indication that she is suicidal. She was referred because of her low mood.</w:t>
            </w:r>
          </w:p>
          <w:p w14:paraId="31085455" w14:textId="77777777" w:rsidR="004F5D5E" w:rsidRPr="00EA0DC7" w:rsidRDefault="004F5D5E" w:rsidP="00C94279">
            <w:pPr>
              <w:spacing w:before="240" w:line="360" w:lineRule="auto"/>
              <w:contextualSpacing/>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bl>
    <w:p w14:paraId="30F45049" w14:textId="0F8D09FA" w:rsidR="00C94279" w:rsidRPr="00EA0DC7" w:rsidRDefault="00C94279"/>
    <w:p w14:paraId="30C47092" w14:textId="741440AC" w:rsidR="00C94279" w:rsidRPr="00EA0DC7" w:rsidRDefault="00C94279"/>
    <w:p w14:paraId="4802008B" w14:textId="77777777" w:rsidR="00C94279" w:rsidRPr="00EA0DC7" w:rsidRDefault="00C94279"/>
    <w:p w14:paraId="3A75EE0B" w14:textId="77777777" w:rsidR="00C94279" w:rsidRPr="00EA0DC7" w:rsidRDefault="00C94279" w:rsidP="00C94279">
      <w:pPr>
        <w:spacing w:before="240" w:line="360" w:lineRule="auto"/>
        <w:jc w:val="center"/>
        <w:rPr>
          <w:rFonts w:cs="Arial"/>
          <w:b/>
          <w:sz w:val="20"/>
          <w:szCs w:val="20"/>
        </w:rPr>
        <w:sectPr w:rsidR="00C94279" w:rsidRPr="00EA0DC7" w:rsidSect="00D2705A">
          <w:pgSz w:w="16838" w:h="11906" w:orient="landscape"/>
          <w:pgMar w:top="2268"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39"/>
        <w:gridCol w:w="12419"/>
      </w:tblGrid>
      <w:tr w:rsidR="00C94279" w:rsidRPr="00EA0DC7" w14:paraId="0AF6BB36" w14:textId="77777777" w:rsidTr="00C94279">
        <w:tc>
          <w:tcPr>
            <w:tcW w:w="1539" w:type="dxa"/>
            <w:tcBorders>
              <w:left w:val="nil"/>
              <w:right w:val="nil"/>
            </w:tcBorders>
            <w:vAlign w:val="center"/>
          </w:tcPr>
          <w:p w14:paraId="56552C4C" w14:textId="5F8CDFE3" w:rsidR="00C94279" w:rsidRPr="00EA0DC7" w:rsidRDefault="00C94279" w:rsidP="00C94279">
            <w:pPr>
              <w:spacing w:before="240" w:line="360" w:lineRule="auto"/>
              <w:jc w:val="center"/>
              <w:rPr>
                <w:rFonts w:cs="Arial"/>
                <w:sz w:val="20"/>
                <w:szCs w:val="20"/>
                <w:lang w:val="fr-FR"/>
              </w:rPr>
            </w:pPr>
            <w:r w:rsidRPr="00EA0DC7">
              <w:rPr>
                <w:rFonts w:cs="Arial"/>
                <w:b/>
                <w:sz w:val="20"/>
                <w:szCs w:val="20"/>
              </w:rPr>
              <w:lastRenderedPageBreak/>
              <w:t>Clinician/ patient type</w:t>
            </w:r>
          </w:p>
        </w:tc>
        <w:tc>
          <w:tcPr>
            <w:tcW w:w="12419" w:type="dxa"/>
            <w:tcBorders>
              <w:left w:val="nil"/>
              <w:right w:val="nil"/>
            </w:tcBorders>
            <w:vAlign w:val="center"/>
          </w:tcPr>
          <w:p w14:paraId="1C913DA6" w14:textId="67BAA0A4" w:rsidR="00C94279" w:rsidRPr="00EA0DC7" w:rsidRDefault="00C94279" w:rsidP="00C94279">
            <w:pPr>
              <w:spacing w:before="240" w:line="360" w:lineRule="auto"/>
              <w:jc w:val="center"/>
              <w:rPr>
                <w:rFonts w:cs="Arial"/>
                <w:sz w:val="20"/>
                <w:szCs w:val="20"/>
              </w:rPr>
            </w:pPr>
            <w:r w:rsidRPr="00EA0DC7">
              <w:rPr>
                <w:rFonts w:cs="Arial"/>
                <w:b/>
                <w:sz w:val="20"/>
                <w:szCs w:val="20"/>
              </w:rPr>
              <w:t>Vignette</w:t>
            </w:r>
          </w:p>
        </w:tc>
      </w:tr>
      <w:tr w:rsidR="00C94279" w:rsidRPr="00EA0DC7" w14:paraId="01BF64E4" w14:textId="77777777" w:rsidTr="00C94279">
        <w:tc>
          <w:tcPr>
            <w:tcW w:w="1539" w:type="dxa"/>
            <w:tcBorders>
              <w:left w:val="nil"/>
              <w:bottom w:val="nil"/>
              <w:right w:val="nil"/>
            </w:tcBorders>
          </w:tcPr>
          <w:p w14:paraId="0CAB4B8B" w14:textId="77777777" w:rsidR="00C94279" w:rsidRPr="00EA0DC7" w:rsidRDefault="00C94279" w:rsidP="00C94279">
            <w:pPr>
              <w:spacing w:before="240" w:line="360" w:lineRule="auto"/>
              <w:jc w:val="center"/>
              <w:rPr>
                <w:rFonts w:cs="Arial"/>
                <w:sz w:val="20"/>
                <w:szCs w:val="20"/>
              </w:rPr>
            </w:pPr>
            <w:r w:rsidRPr="00EA0DC7">
              <w:rPr>
                <w:rFonts w:cs="Arial"/>
                <w:sz w:val="20"/>
                <w:szCs w:val="20"/>
                <w:lang w:val="fr-FR"/>
              </w:rPr>
              <w:t>Clinician inexperienced, patient diffuse</w:t>
            </w:r>
          </w:p>
        </w:tc>
        <w:tc>
          <w:tcPr>
            <w:tcW w:w="12419" w:type="dxa"/>
            <w:tcBorders>
              <w:left w:val="nil"/>
              <w:bottom w:val="nil"/>
              <w:right w:val="nil"/>
            </w:tcBorders>
          </w:tcPr>
          <w:p w14:paraId="227DC82C" w14:textId="77777777" w:rsidR="00C94279" w:rsidRPr="00EA0DC7" w:rsidRDefault="00C94279" w:rsidP="00C94279">
            <w:pPr>
              <w:spacing w:before="240" w:line="360" w:lineRule="auto"/>
              <w:rPr>
                <w:rFonts w:cs="Arial"/>
                <w:sz w:val="20"/>
                <w:szCs w:val="20"/>
              </w:rPr>
            </w:pPr>
            <w:r w:rsidRPr="00EA0DC7">
              <w:rPr>
                <w:rFonts w:cs="Arial"/>
                <w:sz w:val="20"/>
                <w:szCs w:val="20"/>
              </w:rPr>
              <w:t xml:space="preserve">       ‘Your supervisee, Richard, is 39. He has been a therapist for six months. In your supervision session today he discusses a patient, Joanne, who has depression. Richard has been seeing her for six sessions out of a planned 12.</w:t>
            </w:r>
          </w:p>
          <w:p w14:paraId="4E750E0F" w14:textId="77777777" w:rsidR="00C94279" w:rsidRPr="00EA0DC7" w:rsidRDefault="00C94279" w:rsidP="00C94279">
            <w:pPr>
              <w:spacing w:line="360" w:lineRule="auto"/>
              <w:rPr>
                <w:rFonts w:cs="Arial"/>
                <w:sz w:val="20"/>
                <w:szCs w:val="20"/>
              </w:rPr>
            </w:pPr>
            <w:r w:rsidRPr="00EA0DC7">
              <w:rPr>
                <w:rFonts w:cs="Arial"/>
                <w:sz w:val="20"/>
                <w:szCs w:val="20"/>
              </w:rPr>
              <w:t xml:space="preserve">       Joanne is 38 and lives with her husband and son. She describes her relationship as “solid”, though she and her husband do not always get on well. She works as a classroom assistant, though she would like to do something more challenging. Her mood has generally been okay, but she reports feeling detached from the world and feeling a lack of direction in her life. She finds herself feeling “down”, though would not harm herself. She sought a referral so that she would have opportunity to talk about where she is going in life.</w:t>
            </w:r>
          </w:p>
          <w:p w14:paraId="2614A9B6" w14:textId="09F8D5B1" w:rsidR="00C94279" w:rsidRPr="00EA0DC7" w:rsidRDefault="00C94279" w:rsidP="00C94279">
            <w:pPr>
              <w:spacing w:line="360" w:lineRule="auto"/>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r w:rsidR="00C94279" w:rsidRPr="00EA0DC7" w14:paraId="70AA004F" w14:textId="77777777" w:rsidTr="00C94279">
        <w:tc>
          <w:tcPr>
            <w:tcW w:w="1539" w:type="dxa"/>
            <w:tcBorders>
              <w:top w:val="nil"/>
              <w:left w:val="nil"/>
              <w:right w:val="nil"/>
            </w:tcBorders>
          </w:tcPr>
          <w:p w14:paraId="268E3407" w14:textId="77777777" w:rsidR="00C94279" w:rsidRPr="00EA0DC7" w:rsidRDefault="00C94279" w:rsidP="00C94279">
            <w:pPr>
              <w:spacing w:before="240" w:line="360" w:lineRule="auto"/>
              <w:jc w:val="center"/>
              <w:rPr>
                <w:rFonts w:cs="Arial"/>
                <w:sz w:val="20"/>
                <w:szCs w:val="20"/>
              </w:rPr>
            </w:pPr>
            <w:r w:rsidRPr="00EA0DC7">
              <w:rPr>
                <w:rFonts w:cs="Arial"/>
                <w:sz w:val="20"/>
                <w:szCs w:val="20"/>
                <w:lang w:val="fr-FR"/>
              </w:rPr>
              <w:t>Clinician inexperienced, patient complex</w:t>
            </w:r>
          </w:p>
        </w:tc>
        <w:tc>
          <w:tcPr>
            <w:tcW w:w="12419" w:type="dxa"/>
            <w:tcBorders>
              <w:top w:val="nil"/>
              <w:left w:val="nil"/>
              <w:right w:val="nil"/>
            </w:tcBorders>
          </w:tcPr>
          <w:p w14:paraId="386EC909" w14:textId="77777777" w:rsidR="00C94279" w:rsidRPr="00EA0DC7" w:rsidRDefault="00C94279" w:rsidP="00C94279">
            <w:pPr>
              <w:spacing w:before="240" w:line="360" w:lineRule="auto"/>
              <w:rPr>
                <w:rFonts w:cs="Arial"/>
                <w:sz w:val="20"/>
                <w:szCs w:val="20"/>
              </w:rPr>
            </w:pPr>
            <w:r w:rsidRPr="00EA0DC7">
              <w:rPr>
                <w:rFonts w:cs="Arial"/>
                <w:sz w:val="20"/>
                <w:szCs w:val="20"/>
              </w:rPr>
              <w:t xml:space="preserve">       ‘Your supervisee, Richard, is 39 and has been a therapist for six months. In your supervision session today he discusses a patient, Joanne, who has depression. Richard has been seeing her for six sessions out of a planned 12.</w:t>
            </w:r>
          </w:p>
          <w:p w14:paraId="0D233C9C" w14:textId="77777777" w:rsidR="00C94279" w:rsidRPr="00EA0DC7" w:rsidRDefault="00C94279" w:rsidP="00C94279">
            <w:pPr>
              <w:spacing w:line="360" w:lineRule="auto"/>
              <w:rPr>
                <w:rFonts w:cs="Arial"/>
                <w:sz w:val="20"/>
                <w:szCs w:val="20"/>
              </w:rPr>
            </w:pPr>
            <w:r w:rsidRPr="00EA0DC7">
              <w:rPr>
                <w:rFonts w:cs="Arial"/>
                <w:sz w:val="20"/>
                <w:szCs w:val="20"/>
              </w:rPr>
              <w:t xml:space="preserve">       Joanne is 38 and lives with her husband and son but is unhappy in her marriage. She is depressed and socially isolated. Her appetite and sleep are poor and she reports feeling slowed down. She is struggling to find things funny or exciting about life. These symptoms are affecting her ability to do her office job. She has had suicidal ideas, but she is unsure whether she will act upon them. She recently took a small overdose, though she described it as to help her “turn off” for a while. That encouraged her to seek a referral for therapy.</w:t>
            </w:r>
          </w:p>
          <w:p w14:paraId="684D184C" w14:textId="4D4C2A21" w:rsidR="00C94279" w:rsidRPr="00EA0DC7" w:rsidRDefault="00C94279" w:rsidP="00C94279">
            <w:pPr>
              <w:spacing w:line="360" w:lineRule="auto"/>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bl>
    <w:p w14:paraId="23CAFAC4" w14:textId="77777777" w:rsidR="00C94279" w:rsidRPr="00EA0DC7" w:rsidRDefault="00C94279" w:rsidP="00C94279">
      <w:pPr>
        <w:spacing w:before="240" w:line="360" w:lineRule="auto"/>
        <w:jc w:val="center"/>
        <w:rPr>
          <w:rFonts w:cs="Arial"/>
          <w:b/>
          <w:sz w:val="20"/>
          <w:szCs w:val="20"/>
        </w:rPr>
        <w:sectPr w:rsidR="00C94279" w:rsidRPr="00EA0DC7" w:rsidSect="00D2705A">
          <w:pgSz w:w="16838" w:h="11906" w:orient="landscape"/>
          <w:pgMar w:top="1440" w:right="1440" w:bottom="2268" w:left="1440" w:header="709" w:footer="709" w:gutter="0"/>
          <w:cols w:space="708"/>
          <w:docGrid w:linePitch="360"/>
        </w:sectPr>
      </w:pPr>
    </w:p>
    <w:tbl>
      <w:tblPr>
        <w:tblStyle w:val="TableGrid"/>
        <w:tblW w:w="0" w:type="auto"/>
        <w:tblLook w:val="04A0" w:firstRow="1" w:lastRow="0" w:firstColumn="1" w:lastColumn="0" w:noHBand="0" w:noVBand="1"/>
      </w:tblPr>
      <w:tblGrid>
        <w:gridCol w:w="1539"/>
        <w:gridCol w:w="12419"/>
      </w:tblGrid>
      <w:tr w:rsidR="00C94279" w:rsidRPr="00EA0DC7" w14:paraId="7EC6FD53" w14:textId="77777777" w:rsidTr="00C94279">
        <w:tc>
          <w:tcPr>
            <w:tcW w:w="1539" w:type="dxa"/>
            <w:tcBorders>
              <w:left w:val="nil"/>
              <w:right w:val="nil"/>
            </w:tcBorders>
          </w:tcPr>
          <w:p w14:paraId="47D108B1" w14:textId="0FA40E73" w:rsidR="00C94279" w:rsidRPr="00EA0DC7" w:rsidRDefault="00C94279" w:rsidP="00C94279">
            <w:pPr>
              <w:spacing w:before="240" w:line="360" w:lineRule="auto"/>
              <w:jc w:val="center"/>
              <w:rPr>
                <w:rFonts w:cs="Arial"/>
                <w:sz w:val="20"/>
                <w:szCs w:val="20"/>
              </w:rPr>
            </w:pPr>
            <w:r w:rsidRPr="00EA0DC7">
              <w:rPr>
                <w:rFonts w:cs="Arial"/>
                <w:b/>
                <w:sz w:val="20"/>
                <w:szCs w:val="20"/>
              </w:rPr>
              <w:lastRenderedPageBreak/>
              <w:t>Clinician/ patient type</w:t>
            </w:r>
          </w:p>
        </w:tc>
        <w:tc>
          <w:tcPr>
            <w:tcW w:w="12419" w:type="dxa"/>
            <w:tcBorders>
              <w:left w:val="nil"/>
              <w:right w:val="nil"/>
            </w:tcBorders>
          </w:tcPr>
          <w:p w14:paraId="394748F7" w14:textId="5F0D4B9F" w:rsidR="00C94279" w:rsidRPr="00EA0DC7" w:rsidRDefault="00C94279" w:rsidP="00C94279">
            <w:pPr>
              <w:spacing w:before="240" w:line="360" w:lineRule="auto"/>
              <w:jc w:val="center"/>
              <w:rPr>
                <w:rFonts w:cs="Arial"/>
                <w:sz w:val="20"/>
                <w:szCs w:val="20"/>
              </w:rPr>
            </w:pPr>
            <w:r w:rsidRPr="00EA0DC7">
              <w:rPr>
                <w:rFonts w:cs="Arial"/>
                <w:b/>
                <w:sz w:val="20"/>
                <w:szCs w:val="20"/>
              </w:rPr>
              <w:t>Vignette</w:t>
            </w:r>
          </w:p>
        </w:tc>
      </w:tr>
      <w:tr w:rsidR="00C94279" w:rsidRPr="00EA0DC7" w14:paraId="29FA1E3E" w14:textId="77777777" w:rsidTr="0066278A">
        <w:tc>
          <w:tcPr>
            <w:tcW w:w="1539" w:type="dxa"/>
            <w:tcBorders>
              <w:left w:val="nil"/>
              <w:bottom w:val="nil"/>
              <w:right w:val="nil"/>
            </w:tcBorders>
          </w:tcPr>
          <w:p w14:paraId="44DADBB2" w14:textId="77777777" w:rsidR="00C94279" w:rsidRPr="00EA0DC7" w:rsidRDefault="00C94279" w:rsidP="00C94279">
            <w:pPr>
              <w:spacing w:before="240" w:line="360" w:lineRule="auto"/>
              <w:jc w:val="center"/>
              <w:rPr>
                <w:rFonts w:cs="Arial"/>
                <w:sz w:val="20"/>
                <w:szCs w:val="20"/>
              </w:rPr>
            </w:pPr>
            <w:r w:rsidRPr="00EA0DC7">
              <w:rPr>
                <w:rFonts w:cs="Arial"/>
                <w:sz w:val="20"/>
                <w:szCs w:val="20"/>
              </w:rPr>
              <w:t>Clinician experienced, patient straightforward</w:t>
            </w:r>
          </w:p>
        </w:tc>
        <w:tc>
          <w:tcPr>
            <w:tcW w:w="12419" w:type="dxa"/>
            <w:tcBorders>
              <w:left w:val="nil"/>
              <w:bottom w:val="nil"/>
              <w:right w:val="nil"/>
            </w:tcBorders>
          </w:tcPr>
          <w:p w14:paraId="1B2B2564" w14:textId="77777777" w:rsidR="00C94279" w:rsidRPr="00EA0DC7" w:rsidRDefault="00C94279" w:rsidP="00C94279">
            <w:pPr>
              <w:spacing w:before="240" w:line="360" w:lineRule="auto"/>
              <w:rPr>
                <w:rFonts w:cs="Arial"/>
                <w:sz w:val="20"/>
                <w:szCs w:val="20"/>
              </w:rPr>
            </w:pPr>
            <w:r w:rsidRPr="00EA0DC7">
              <w:rPr>
                <w:rFonts w:cs="Arial"/>
                <w:sz w:val="20"/>
                <w:szCs w:val="20"/>
              </w:rPr>
              <w:t xml:space="preserve">       ‘Your supervisee, Richard, is 39 and has been a qualified therapist for 15 years. In your supervision session today he discusses a patient, Joanne, who has depression. Richard has been seeing her for six sessions out of a planned 12.</w:t>
            </w:r>
          </w:p>
          <w:p w14:paraId="61462C1E" w14:textId="77777777" w:rsidR="00C94279" w:rsidRPr="00EA0DC7" w:rsidRDefault="00C94279" w:rsidP="00C94279">
            <w:pPr>
              <w:spacing w:line="360" w:lineRule="auto"/>
              <w:rPr>
                <w:rFonts w:cs="Arial"/>
                <w:sz w:val="20"/>
                <w:szCs w:val="20"/>
              </w:rPr>
            </w:pPr>
            <w:r w:rsidRPr="00EA0DC7">
              <w:rPr>
                <w:rFonts w:cs="Arial"/>
                <w:sz w:val="20"/>
                <w:szCs w:val="20"/>
              </w:rPr>
              <w:t xml:space="preserve">       Joanne is 38 and lives with her husband of two years and their son. She has been unhappy with life for approximately four years. In recent months, she has shown more and more signs of depression, including a low mood and poor self-esteem, though there are no biological signs. Although she is still attending her job in a bakery, she is becoming increasingly socially isolated. She has given no indication that she is suicidal. She was referred because of her low mood.</w:t>
            </w:r>
          </w:p>
          <w:p w14:paraId="0756DA1C" w14:textId="573D991E" w:rsidR="00C94279" w:rsidRPr="00EA0DC7" w:rsidRDefault="00C94279" w:rsidP="00C94279">
            <w:pPr>
              <w:spacing w:line="360" w:lineRule="auto"/>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r w:rsidR="00C94279" w:rsidRPr="00EA0DC7" w14:paraId="6D832B57" w14:textId="77777777" w:rsidTr="0066278A">
        <w:tc>
          <w:tcPr>
            <w:tcW w:w="1539" w:type="dxa"/>
            <w:tcBorders>
              <w:top w:val="nil"/>
              <w:left w:val="nil"/>
              <w:right w:val="nil"/>
            </w:tcBorders>
          </w:tcPr>
          <w:p w14:paraId="7B670198" w14:textId="77777777" w:rsidR="00C94279" w:rsidRPr="00EA0DC7" w:rsidRDefault="00C94279" w:rsidP="00C94279">
            <w:pPr>
              <w:spacing w:before="240" w:line="360" w:lineRule="auto"/>
              <w:jc w:val="center"/>
              <w:rPr>
                <w:rFonts w:cs="Arial"/>
                <w:sz w:val="20"/>
                <w:szCs w:val="20"/>
              </w:rPr>
            </w:pPr>
            <w:r w:rsidRPr="00EA0DC7">
              <w:rPr>
                <w:rFonts w:cs="Arial"/>
                <w:sz w:val="20"/>
                <w:szCs w:val="20"/>
                <w:lang w:val="fr-FR"/>
              </w:rPr>
              <w:t>Clinician experienced, patient diffuse</w:t>
            </w:r>
          </w:p>
        </w:tc>
        <w:tc>
          <w:tcPr>
            <w:tcW w:w="12419" w:type="dxa"/>
            <w:tcBorders>
              <w:top w:val="nil"/>
              <w:left w:val="nil"/>
              <w:right w:val="nil"/>
            </w:tcBorders>
          </w:tcPr>
          <w:p w14:paraId="39B51297" w14:textId="77777777" w:rsidR="00C94279" w:rsidRPr="00EA0DC7" w:rsidRDefault="00C94279" w:rsidP="00C94279">
            <w:pPr>
              <w:spacing w:before="240" w:line="360" w:lineRule="auto"/>
              <w:rPr>
                <w:rFonts w:cs="Arial"/>
                <w:sz w:val="20"/>
                <w:szCs w:val="20"/>
              </w:rPr>
            </w:pPr>
            <w:r w:rsidRPr="00EA0DC7">
              <w:rPr>
                <w:rFonts w:cs="Arial"/>
                <w:sz w:val="20"/>
                <w:szCs w:val="20"/>
              </w:rPr>
              <w:t xml:space="preserve">       ‘Your supervisee, Richard, is 39. He has been a qualified therapist for 15 years. In your supervision session today he discusses a patient, Joanne, who has depression. Richard has been seeing her for six sessions out of a planned 12.</w:t>
            </w:r>
          </w:p>
          <w:p w14:paraId="7296F3C2" w14:textId="77777777" w:rsidR="00C94279" w:rsidRPr="00EA0DC7" w:rsidRDefault="00C94279" w:rsidP="00C94279">
            <w:pPr>
              <w:spacing w:line="360" w:lineRule="auto"/>
              <w:rPr>
                <w:rFonts w:cs="Arial"/>
                <w:sz w:val="20"/>
                <w:szCs w:val="20"/>
              </w:rPr>
            </w:pPr>
            <w:r w:rsidRPr="00EA0DC7">
              <w:rPr>
                <w:rFonts w:cs="Arial"/>
                <w:sz w:val="20"/>
                <w:szCs w:val="20"/>
              </w:rPr>
              <w:t xml:space="preserve">       Joanne is 38 and lives with her husband and son. She describes her relationship as “solid”, though she and her husband do not always get on well. She works as a classroom assistant, though she would like to do something more challenging. Her mood has generally been okay, but she reports feeling detached from the world and feeling a lack of direction in her life. She finds herself feeling “down”, though would not harm herself. She sought a referral so that she would have opportunity to talk about where she is going in life.</w:t>
            </w:r>
          </w:p>
          <w:p w14:paraId="24124F91" w14:textId="77777777" w:rsidR="00C94279" w:rsidRPr="00EA0DC7" w:rsidRDefault="00C94279" w:rsidP="00C94279">
            <w:pPr>
              <w:spacing w:line="360" w:lineRule="auto"/>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bl>
    <w:p w14:paraId="707E4696" w14:textId="77777777" w:rsidR="00C94279" w:rsidRPr="00EA0DC7" w:rsidRDefault="00C94279" w:rsidP="00C94279">
      <w:pPr>
        <w:spacing w:before="240" w:line="360" w:lineRule="auto"/>
        <w:jc w:val="center"/>
        <w:rPr>
          <w:rFonts w:cs="Arial"/>
          <w:b/>
          <w:sz w:val="20"/>
          <w:szCs w:val="20"/>
        </w:rPr>
        <w:sectPr w:rsidR="00C94279" w:rsidRPr="00EA0DC7" w:rsidSect="00D2705A">
          <w:pgSz w:w="16838" w:h="11906" w:orient="landscape"/>
          <w:pgMar w:top="2268"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39"/>
        <w:gridCol w:w="12419"/>
      </w:tblGrid>
      <w:tr w:rsidR="00C94279" w:rsidRPr="00EA0DC7" w14:paraId="6FC95FCE" w14:textId="77777777" w:rsidTr="00C94279">
        <w:tc>
          <w:tcPr>
            <w:tcW w:w="1539" w:type="dxa"/>
            <w:tcBorders>
              <w:left w:val="nil"/>
              <w:right w:val="nil"/>
            </w:tcBorders>
          </w:tcPr>
          <w:p w14:paraId="071CFAA1" w14:textId="6D3A4BE3" w:rsidR="00C94279" w:rsidRPr="00EA0DC7" w:rsidRDefault="00C94279" w:rsidP="00C94279">
            <w:pPr>
              <w:spacing w:before="240" w:line="360" w:lineRule="auto"/>
              <w:jc w:val="center"/>
              <w:rPr>
                <w:rFonts w:cs="Arial"/>
                <w:sz w:val="20"/>
                <w:szCs w:val="20"/>
              </w:rPr>
            </w:pPr>
            <w:r w:rsidRPr="00EA0DC7">
              <w:rPr>
                <w:rFonts w:cs="Arial"/>
                <w:b/>
                <w:sz w:val="20"/>
                <w:szCs w:val="20"/>
              </w:rPr>
              <w:lastRenderedPageBreak/>
              <w:t>Clinician/ patient type</w:t>
            </w:r>
          </w:p>
        </w:tc>
        <w:tc>
          <w:tcPr>
            <w:tcW w:w="12419" w:type="dxa"/>
            <w:tcBorders>
              <w:left w:val="nil"/>
              <w:right w:val="nil"/>
            </w:tcBorders>
          </w:tcPr>
          <w:p w14:paraId="7DC7A9C8" w14:textId="0B4A73F4" w:rsidR="00C94279" w:rsidRPr="00EA0DC7" w:rsidRDefault="00C94279" w:rsidP="00C94279">
            <w:pPr>
              <w:spacing w:before="240" w:line="360" w:lineRule="auto"/>
              <w:jc w:val="center"/>
              <w:rPr>
                <w:rFonts w:cs="Arial"/>
                <w:sz w:val="20"/>
                <w:szCs w:val="20"/>
              </w:rPr>
            </w:pPr>
            <w:r w:rsidRPr="00EA0DC7">
              <w:rPr>
                <w:rFonts w:cs="Arial"/>
                <w:b/>
                <w:sz w:val="20"/>
                <w:szCs w:val="20"/>
              </w:rPr>
              <w:t>Vignette</w:t>
            </w:r>
          </w:p>
        </w:tc>
      </w:tr>
      <w:tr w:rsidR="00C94279" w:rsidRPr="00EA0DC7" w14:paraId="261BB8CD" w14:textId="77777777" w:rsidTr="00C94279">
        <w:tc>
          <w:tcPr>
            <w:tcW w:w="1539" w:type="dxa"/>
            <w:tcBorders>
              <w:left w:val="nil"/>
              <w:right w:val="nil"/>
            </w:tcBorders>
          </w:tcPr>
          <w:p w14:paraId="5C229540" w14:textId="77777777" w:rsidR="00C94279" w:rsidRPr="00EA0DC7" w:rsidRDefault="00C94279" w:rsidP="00C94279">
            <w:pPr>
              <w:spacing w:before="240" w:line="360" w:lineRule="auto"/>
              <w:jc w:val="center"/>
              <w:rPr>
                <w:rFonts w:cs="Arial"/>
                <w:sz w:val="20"/>
                <w:szCs w:val="20"/>
              </w:rPr>
            </w:pPr>
            <w:r w:rsidRPr="00EA0DC7">
              <w:rPr>
                <w:rFonts w:cs="Arial"/>
                <w:sz w:val="20"/>
                <w:szCs w:val="20"/>
              </w:rPr>
              <w:t>Clinician experienced, patient complex</w:t>
            </w:r>
          </w:p>
        </w:tc>
        <w:tc>
          <w:tcPr>
            <w:tcW w:w="12419" w:type="dxa"/>
            <w:tcBorders>
              <w:left w:val="nil"/>
              <w:right w:val="nil"/>
            </w:tcBorders>
          </w:tcPr>
          <w:p w14:paraId="35C4A0C7" w14:textId="77777777" w:rsidR="00C94279" w:rsidRPr="00EA0DC7" w:rsidRDefault="00C94279" w:rsidP="00C94279">
            <w:pPr>
              <w:spacing w:before="240" w:line="360" w:lineRule="auto"/>
              <w:rPr>
                <w:rFonts w:cs="Arial"/>
                <w:sz w:val="20"/>
                <w:szCs w:val="20"/>
              </w:rPr>
            </w:pPr>
            <w:r w:rsidRPr="00EA0DC7">
              <w:rPr>
                <w:rFonts w:cs="Arial"/>
                <w:sz w:val="20"/>
                <w:szCs w:val="20"/>
              </w:rPr>
              <w:t xml:space="preserve">       ‘Your supervisee, Richard, is 39. He has been a qualified therapist for 15 years. In your supervision session today he discusses a patient, Joanne, who has depression. Richard has been seeing her for six sessions out of a planned 12.</w:t>
            </w:r>
          </w:p>
          <w:p w14:paraId="5358B4AE" w14:textId="77777777" w:rsidR="00C94279" w:rsidRPr="00EA0DC7" w:rsidRDefault="00C94279" w:rsidP="00C94279">
            <w:pPr>
              <w:spacing w:line="360" w:lineRule="auto"/>
              <w:rPr>
                <w:rFonts w:cs="Arial"/>
                <w:sz w:val="20"/>
                <w:szCs w:val="20"/>
              </w:rPr>
            </w:pPr>
            <w:r w:rsidRPr="00EA0DC7">
              <w:rPr>
                <w:rFonts w:cs="Arial"/>
                <w:sz w:val="20"/>
                <w:szCs w:val="20"/>
              </w:rPr>
              <w:t xml:space="preserve">       Joanne is 38 and lives with her husband and son but is unhappy in her marriage. She is depressed and socially isolated. Her appetite and sleep are poor and she reports feeling slowed down. She is struggling to find things funny or exciting about life. These symptoms are affecting her ability to do her office job. She has had suicidal ideas, but she is unsure whether she will act upon them. She recently took a small overdose, though she described it as to help her “turn off” for a while. That encouraged her to seek a referral for therapy.</w:t>
            </w:r>
          </w:p>
          <w:p w14:paraId="788875CA" w14:textId="4A2DDA4A" w:rsidR="00C94279" w:rsidRPr="00EA0DC7" w:rsidRDefault="00C94279" w:rsidP="00C94279">
            <w:pPr>
              <w:spacing w:line="360" w:lineRule="auto"/>
              <w:rPr>
                <w:rFonts w:cs="Arial"/>
                <w:sz w:val="20"/>
                <w:szCs w:val="20"/>
              </w:rPr>
            </w:pPr>
            <w:r w:rsidRPr="00EA0DC7">
              <w:rPr>
                <w:rFonts w:cs="Arial"/>
                <w:sz w:val="20"/>
                <w:szCs w:val="20"/>
              </w:rPr>
              <w:t xml:space="preserve">       You had previously suggested to Richard that he should focus on behavioural activation with Joanne. Unfortunately, Joanne is failing to engage in this aspect of therapy. She says that she doesn’t feel comfortable or motivated to do such exercises and cannot see how they will help her in the long-term.’</w:t>
            </w:r>
          </w:p>
        </w:tc>
      </w:tr>
    </w:tbl>
    <w:p w14:paraId="14721FDF" w14:textId="77777777" w:rsidR="00C94279" w:rsidRPr="00EA0DC7" w:rsidRDefault="00C94279" w:rsidP="004F5D5E">
      <w:pPr>
        <w:rPr>
          <w:rFonts w:cs="Arial"/>
        </w:rPr>
        <w:sectPr w:rsidR="00C94279" w:rsidRPr="00EA0DC7" w:rsidSect="00D2705A">
          <w:pgSz w:w="16838" w:h="11906" w:orient="landscape"/>
          <w:pgMar w:top="1440" w:right="1440" w:bottom="2268" w:left="1440" w:header="709" w:footer="709" w:gutter="0"/>
          <w:cols w:space="708"/>
          <w:docGrid w:linePitch="360"/>
        </w:sectPr>
      </w:pPr>
    </w:p>
    <w:p w14:paraId="108D520A" w14:textId="737E9B2A" w:rsidR="004F5D5E" w:rsidRPr="00EA0DC7" w:rsidRDefault="00C238B8" w:rsidP="004F4542">
      <w:pPr>
        <w:pStyle w:val="Heading2"/>
      </w:pPr>
      <w:bookmarkStart w:id="307" w:name="_Toc23881320"/>
      <w:bookmarkStart w:id="308" w:name="_Toc24548611"/>
      <w:bookmarkStart w:id="309" w:name="_Toc24548714"/>
      <w:bookmarkStart w:id="310" w:name="_Toc47039906"/>
      <w:r w:rsidRPr="00EA0DC7">
        <w:lastRenderedPageBreak/>
        <w:t>Appendix 6</w:t>
      </w:r>
      <w:r w:rsidR="00C230E9">
        <w:t>E</w:t>
      </w:r>
      <w:r w:rsidR="004F5D5E" w:rsidRPr="00EA0DC7">
        <w:t xml:space="preserve"> – Vignettes from study 3</w:t>
      </w:r>
      <w:r w:rsidR="006E281C" w:rsidRPr="00EA0DC7">
        <w:t>c</w:t>
      </w:r>
      <w:bookmarkEnd w:id="307"/>
      <w:bookmarkEnd w:id="308"/>
      <w:bookmarkEnd w:id="309"/>
      <w:bookmarkEnd w:id="310"/>
    </w:p>
    <w:tbl>
      <w:tblPr>
        <w:tblStyle w:val="TableGrid"/>
        <w:tblW w:w="0" w:type="auto"/>
        <w:tblLook w:val="04A0" w:firstRow="1" w:lastRow="0" w:firstColumn="1" w:lastColumn="0" w:noHBand="0" w:noVBand="1"/>
      </w:tblPr>
      <w:tblGrid>
        <w:gridCol w:w="1560"/>
        <w:gridCol w:w="12388"/>
      </w:tblGrid>
      <w:tr w:rsidR="004F5D5E" w:rsidRPr="00EA0DC7" w14:paraId="57594D77" w14:textId="77777777" w:rsidTr="00F922AD">
        <w:tc>
          <w:tcPr>
            <w:tcW w:w="1560" w:type="dxa"/>
            <w:tcBorders>
              <w:left w:val="nil"/>
              <w:bottom w:val="single" w:sz="4" w:space="0" w:color="auto"/>
              <w:right w:val="nil"/>
            </w:tcBorders>
          </w:tcPr>
          <w:p w14:paraId="1890FAA3" w14:textId="77777777" w:rsidR="004F5D5E" w:rsidRPr="00EA0DC7" w:rsidRDefault="004F5D5E" w:rsidP="0066278A">
            <w:pPr>
              <w:spacing w:before="240" w:line="360" w:lineRule="auto"/>
              <w:jc w:val="center"/>
              <w:rPr>
                <w:rFonts w:cs="Arial"/>
                <w:b/>
                <w:sz w:val="20"/>
                <w:szCs w:val="20"/>
              </w:rPr>
            </w:pPr>
            <w:r w:rsidRPr="00EA0DC7">
              <w:rPr>
                <w:rFonts w:cs="Arial"/>
                <w:b/>
                <w:sz w:val="20"/>
                <w:szCs w:val="20"/>
              </w:rPr>
              <w:t>Clinician type</w:t>
            </w:r>
          </w:p>
        </w:tc>
        <w:tc>
          <w:tcPr>
            <w:tcW w:w="12388" w:type="dxa"/>
            <w:tcBorders>
              <w:left w:val="nil"/>
              <w:bottom w:val="single" w:sz="4" w:space="0" w:color="auto"/>
              <w:right w:val="nil"/>
            </w:tcBorders>
          </w:tcPr>
          <w:p w14:paraId="0CEC111D" w14:textId="77777777" w:rsidR="004F5D5E" w:rsidRPr="00EA0DC7" w:rsidRDefault="004F5D5E" w:rsidP="0066278A">
            <w:pPr>
              <w:spacing w:before="240" w:line="360" w:lineRule="auto"/>
              <w:jc w:val="center"/>
              <w:rPr>
                <w:rFonts w:cs="Arial"/>
                <w:b/>
                <w:sz w:val="20"/>
                <w:szCs w:val="20"/>
              </w:rPr>
            </w:pPr>
            <w:r w:rsidRPr="00EA0DC7">
              <w:rPr>
                <w:rFonts w:cs="Arial"/>
                <w:b/>
                <w:sz w:val="20"/>
                <w:szCs w:val="20"/>
              </w:rPr>
              <w:t>Vignette</w:t>
            </w:r>
          </w:p>
        </w:tc>
      </w:tr>
      <w:tr w:rsidR="004F5D5E" w:rsidRPr="00EA0DC7" w14:paraId="63D25D98" w14:textId="77777777" w:rsidTr="00F922AD">
        <w:tc>
          <w:tcPr>
            <w:tcW w:w="1560" w:type="dxa"/>
            <w:tcBorders>
              <w:left w:val="nil"/>
              <w:bottom w:val="single" w:sz="4" w:space="0" w:color="auto"/>
              <w:right w:val="nil"/>
            </w:tcBorders>
          </w:tcPr>
          <w:p w14:paraId="17FDB675" w14:textId="77777777" w:rsidR="004F5D5E" w:rsidRPr="00EA0DC7" w:rsidRDefault="004F5D5E" w:rsidP="0066278A">
            <w:pPr>
              <w:spacing w:before="240" w:line="360" w:lineRule="auto"/>
              <w:jc w:val="center"/>
              <w:rPr>
                <w:rFonts w:cs="Arial"/>
                <w:sz w:val="20"/>
                <w:szCs w:val="20"/>
              </w:rPr>
            </w:pPr>
            <w:r w:rsidRPr="00EA0DC7">
              <w:rPr>
                <w:rFonts w:cs="Arial"/>
                <w:sz w:val="20"/>
                <w:szCs w:val="20"/>
              </w:rPr>
              <w:t>State anxious clinician, male</w:t>
            </w:r>
          </w:p>
        </w:tc>
        <w:tc>
          <w:tcPr>
            <w:tcW w:w="12388" w:type="dxa"/>
            <w:tcBorders>
              <w:left w:val="nil"/>
              <w:bottom w:val="single" w:sz="4" w:space="0" w:color="auto"/>
              <w:right w:val="nil"/>
            </w:tcBorders>
          </w:tcPr>
          <w:p w14:paraId="7B4D7361" w14:textId="77777777" w:rsidR="004F5D5E" w:rsidRPr="00EA0DC7" w:rsidRDefault="004F5D5E" w:rsidP="0066278A">
            <w:pPr>
              <w:spacing w:before="240" w:line="360" w:lineRule="auto"/>
              <w:rPr>
                <w:rFonts w:cs="Arial"/>
                <w:sz w:val="20"/>
                <w:szCs w:val="20"/>
              </w:rPr>
            </w:pPr>
            <w:r w:rsidRPr="00EA0DC7">
              <w:rPr>
                <w:rFonts w:cs="Arial"/>
                <w:sz w:val="20"/>
                <w:szCs w:val="20"/>
              </w:rPr>
              <w:t xml:space="preserve">       ‘Your supervisee, James, is 40. He has been a qualified therapist for 15 years. He seems anxious in your supervision session today. This is surprising as he’s usually a relaxed clinician who’s confident in his abilities. It transpires that he is concerned about a patient called Lauren who has depression. James has been seeing her for six sessions out of a planned 12. </w:t>
            </w:r>
          </w:p>
          <w:p w14:paraId="65503803" w14:textId="77777777" w:rsidR="004F5D5E" w:rsidRPr="00EA0DC7" w:rsidRDefault="004F5D5E"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78EE2A1C" w14:textId="29431E19" w:rsidR="004F5D5E" w:rsidRPr="00EA0DC7" w:rsidRDefault="004F5D5E" w:rsidP="0066278A">
            <w:pPr>
              <w:spacing w:line="360" w:lineRule="auto"/>
              <w:rPr>
                <w:rFonts w:cs="Arial"/>
                <w:sz w:val="20"/>
                <w:szCs w:val="20"/>
              </w:rPr>
            </w:pPr>
            <w:r w:rsidRPr="00EA0DC7">
              <w:rPr>
                <w:rFonts w:cs="Arial"/>
                <w:sz w:val="20"/>
                <w:szCs w:val="20"/>
              </w:rPr>
              <w:t xml:space="preserve">       In previous supervision sessions you had advised James that he should be pushing Lauren to engage in behavioural activation. Although he had agreed with you that behavioural activation was the appropriate course of action, he has failed to deliver on this. He had reservations about pushing Lauren to change behaviourally and so had focused on developing a strong therapeutic alliance with her, rather than on the therapeutic techniques that you had discussed. He is particularly concerned that the demands of behavioural activation may cause Lauren to stop coming to sessions and drop out of therapy.’</w:t>
            </w:r>
          </w:p>
        </w:tc>
      </w:tr>
    </w:tbl>
    <w:p w14:paraId="6AEA279E" w14:textId="184F5655" w:rsidR="0066278A" w:rsidRPr="00EA0DC7" w:rsidRDefault="0066278A"/>
    <w:p w14:paraId="36AFC954" w14:textId="79B0870D" w:rsidR="0066278A" w:rsidRPr="00EA0DC7" w:rsidRDefault="0066278A"/>
    <w:p w14:paraId="043A01FA" w14:textId="77777777" w:rsidR="0066278A" w:rsidRPr="00EA0DC7" w:rsidRDefault="0066278A"/>
    <w:p w14:paraId="32873D07" w14:textId="77777777" w:rsidR="00F922AD" w:rsidRPr="00EA0DC7" w:rsidRDefault="00F922AD" w:rsidP="0066278A">
      <w:pPr>
        <w:spacing w:before="240" w:line="360" w:lineRule="auto"/>
        <w:jc w:val="center"/>
        <w:rPr>
          <w:rFonts w:cs="Arial"/>
          <w:b/>
          <w:sz w:val="20"/>
          <w:szCs w:val="20"/>
        </w:rPr>
        <w:sectPr w:rsidR="00F922AD" w:rsidRPr="00EA0DC7" w:rsidSect="00D2705A">
          <w:pgSz w:w="16838" w:h="11906" w:orient="landscape"/>
          <w:pgMar w:top="2268"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60"/>
        <w:gridCol w:w="12388"/>
      </w:tblGrid>
      <w:tr w:rsidR="0066278A" w:rsidRPr="00EA0DC7" w14:paraId="2A05B3BF" w14:textId="77777777" w:rsidTr="0066278A">
        <w:tc>
          <w:tcPr>
            <w:tcW w:w="1560" w:type="dxa"/>
            <w:tcBorders>
              <w:top w:val="single" w:sz="4" w:space="0" w:color="auto"/>
              <w:left w:val="nil"/>
              <w:bottom w:val="single" w:sz="4" w:space="0" w:color="auto"/>
              <w:right w:val="nil"/>
            </w:tcBorders>
          </w:tcPr>
          <w:p w14:paraId="0F1B5BDA" w14:textId="562A5EE4" w:rsidR="0066278A" w:rsidRPr="00EA0DC7" w:rsidRDefault="0066278A" w:rsidP="0066278A">
            <w:pPr>
              <w:spacing w:before="240" w:line="360" w:lineRule="auto"/>
              <w:jc w:val="center"/>
              <w:rPr>
                <w:rFonts w:cs="Arial"/>
                <w:sz w:val="20"/>
                <w:szCs w:val="20"/>
              </w:rPr>
            </w:pPr>
            <w:r w:rsidRPr="00EA0DC7">
              <w:rPr>
                <w:rFonts w:cs="Arial"/>
                <w:b/>
                <w:sz w:val="20"/>
                <w:szCs w:val="20"/>
              </w:rPr>
              <w:lastRenderedPageBreak/>
              <w:t>Clinician type</w:t>
            </w:r>
          </w:p>
        </w:tc>
        <w:tc>
          <w:tcPr>
            <w:tcW w:w="12388" w:type="dxa"/>
            <w:tcBorders>
              <w:top w:val="single" w:sz="4" w:space="0" w:color="auto"/>
              <w:left w:val="nil"/>
              <w:bottom w:val="single" w:sz="4" w:space="0" w:color="auto"/>
              <w:right w:val="nil"/>
            </w:tcBorders>
          </w:tcPr>
          <w:p w14:paraId="279F6C2D" w14:textId="68052D0A" w:rsidR="0066278A" w:rsidRPr="00EA0DC7" w:rsidRDefault="0066278A" w:rsidP="0066278A">
            <w:pPr>
              <w:spacing w:before="240" w:line="360" w:lineRule="auto"/>
              <w:jc w:val="center"/>
              <w:rPr>
                <w:rFonts w:cs="Arial"/>
                <w:sz w:val="20"/>
                <w:szCs w:val="20"/>
              </w:rPr>
            </w:pPr>
            <w:r w:rsidRPr="00EA0DC7">
              <w:rPr>
                <w:rFonts w:cs="Arial"/>
                <w:b/>
                <w:sz w:val="20"/>
                <w:szCs w:val="20"/>
              </w:rPr>
              <w:t>Vignette</w:t>
            </w:r>
          </w:p>
        </w:tc>
      </w:tr>
      <w:tr w:rsidR="0066278A" w:rsidRPr="00EA0DC7" w14:paraId="7F907992" w14:textId="77777777" w:rsidTr="0066278A">
        <w:tc>
          <w:tcPr>
            <w:tcW w:w="1560" w:type="dxa"/>
            <w:tcBorders>
              <w:top w:val="single" w:sz="4" w:space="0" w:color="auto"/>
              <w:left w:val="nil"/>
              <w:bottom w:val="single" w:sz="4" w:space="0" w:color="auto"/>
              <w:right w:val="nil"/>
            </w:tcBorders>
          </w:tcPr>
          <w:p w14:paraId="185D7FF1" w14:textId="77777777" w:rsidR="0066278A" w:rsidRPr="00EA0DC7" w:rsidRDefault="0066278A" w:rsidP="0066278A">
            <w:pPr>
              <w:spacing w:before="240" w:line="360" w:lineRule="auto"/>
              <w:jc w:val="center"/>
              <w:rPr>
                <w:rFonts w:cs="Arial"/>
                <w:sz w:val="20"/>
                <w:szCs w:val="20"/>
              </w:rPr>
            </w:pPr>
            <w:r w:rsidRPr="00EA0DC7">
              <w:rPr>
                <w:rFonts w:cs="Arial"/>
                <w:sz w:val="20"/>
                <w:szCs w:val="20"/>
              </w:rPr>
              <w:t>State anxious clinician, female</w:t>
            </w:r>
          </w:p>
        </w:tc>
        <w:tc>
          <w:tcPr>
            <w:tcW w:w="12388" w:type="dxa"/>
            <w:tcBorders>
              <w:top w:val="single" w:sz="4" w:space="0" w:color="auto"/>
              <w:left w:val="nil"/>
              <w:bottom w:val="single" w:sz="4" w:space="0" w:color="auto"/>
              <w:right w:val="nil"/>
            </w:tcBorders>
          </w:tcPr>
          <w:p w14:paraId="5601ED5B" w14:textId="77777777" w:rsidR="0066278A" w:rsidRPr="00EA0DC7" w:rsidRDefault="0066278A" w:rsidP="0066278A">
            <w:pPr>
              <w:spacing w:before="240" w:line="360" w:lineRule="auto"/>
              <w:rPr>
                <w:rFonts w:cs="Arial"/>
                <w:sz w:val="20"/>
                <w:szCs w:val="20"/>
              </w:rPr>
            </w:pPr>
            <w:r w:rsidRPr="00EA0DC7">
              <w:rPr>
                <w:rFonts w:cs="Arial"/>
                <w:sz w:val="20"/>
                <w:szCs w:val="20"/>
              </w:rPr>
              <w:t xml:space="preserve">       ‘Your supervisee, Jane, is 40. She has been a qualified therapist for 15 years. She seems anxious in your supervision session today. This is surprising as she’s usually a relaxed clinician who’s confident in her abilities. It transpires that she concerned about a patient called Lauren who has depression. Jane has been seeing her for six sessions out of a planned 12. </w:t>
            </w:r>
          </w:p>
          <w:p w14:paraId="22FBADBA" w14:textId="77777777" w:rsidR="0066278A" w:rsidRPr="00EA0DC7" w:rsidRDefault="0066278A"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5B1995B0" w14:textId="5A3D3B09" w:rsidR="0066278A" w:rsidRPr="00EA0DC7" w:rsidRDefault="0066278A" w:rsidP="0066278A">
            <w:pPr>
              <w:spacing w:line="360" w:lineRule="auto"/>
              <w:rPr>
                <w:rFonts w:cs="Arial"/>
                <w:sz w:val="20"/>
                <w:szCs w:val="20"/>
              </w:rPr>
            </w:pPr>
            <w:r w:rsidRPr="00EA0DC7">
              <w:rPr>
                <w:rFonts w:cs="Arial"/>
                <w:sz w:val="20"/>
                <w:szCs w:val="20"/>
              </w:rPr>
              <w:t xml:space="preserve">       In previous supervision sessions you had advised Jane that she should be pushing Lauren to engage in behavioural activation. Although Jane had agreed with you that behavioural activation was the appropriate course of action, she has failed to deliver on this. Jane has reservations about pushing Lauren to change behaviourally and so had focused on developing a strong therapeutic alliance with her, rather than on the therapeutic techniques that you had discussed. She is particularly concerned that the demands of behavioural activation may cause Lauren to stop coming to sessions and drop out of therapy.’ </w:t>
            </w:r>
          </w:p>
        </w:tc>
      </w:tr>
    </w:tbl>
    <w:p w14:paraId="71F77E07" w14:textId="77777777" w:rsidR="00F922AD" w:rsidRPr="00EA0DC7" w:rsidRDefault="00F922AD">
      <w:pPr>
        <w:sectPr w:rsidR="00F922AD" w:rsidRPr="00EA0DC7" w:rsidSect="00D2705A">
          <w:pgSz w:w="16838" w:h="11906" w:orient="landscape"/>
          <w:pgMar w:top="1440" w:right="1440" w:bottom="2268" w:left="1440" w:header="709" w:footer="709" w:gutter="0"/>
          <w:cols w:space="708"/>
          <w:docGrid w:linePitch="360"/>
        </w:sectPr>
      </w:pPr>
    </w:p>
    <w:tbl>
      <w:tblPr>
        <w:tblStyle w:val="TableGrid"/>
        <w:tblW w:w="0" w:type="auto"/>
        <w:tblLook w:val="04A0" w:firstRow="1" w:lastRow="0" w:firstColumn="1" w:lastColumn="0" w:noHBand="0" w:noVBand="1"/>
      </w:tblPr>
      <w:tblGrid>
        <w:gridCol w:w="1560"/>
        <w:gridCol w:w="12388"/>
      </w:tblGrid>
      <w:tr w:rsidR="0066278A" w:rsidRPr="00EA0DC7" w14:paraId="063D9A9D" w14:textId="77777777" w:rsidTr="0066278A">
        <w:tc>
          <w:tcPr>
            <w:tcW w:w="1560" w:type="dxa"/>
            <w:tcBorders>
              <w:top w:val="single" w:sz="4" w:space="0" w:color="auto"/>
              <w:left w:val="nil"/>
              <w:bottom w:val="single" w:sz="4" w:space="0" w:color="auto"/>
              <w:right w:val="nil"/>
            </w:tcBorders>
          </w:tcPr>
          <w:p w14:paraId="0F3D216F" w14:textId="438AA978" w:rsidR="0066278A" w:rsidRPr="00EA0DC7" w:rsidRDefault="0066278A" w:rsidP="0066278A">
            <w:pPr>
              <w:spacing w:before="240" w:line="360" w:lineRule="auto"/>
              <w:jc w:val="center"/>
              <w:rPr>
                <w:rFonts w:cs="Arial"/>
                <w:sz w:val="20"/>
                <w:szCs w:val="20"/>
              </w:rPr>
            </w:pPr>
            <w:r w:rsidRPr="00EA0DC7">
              <w:rPr>
                <w:rFonts w:cs="Arial"/>
                <w:b/>
                <w:sz w:val="20"/>
                <w:szCs w:val="20"/>
              </w:rPr>
              <w:lastRenderedPageBreak/>
              <w:t>Clinician type</w:t>
            </w:r>
          </w:p>
        </w:tc>
        <w:tc>
          <w:tcPr>
            <w:tcW w:w="12388" w:type="dxa"/>
            <w:tcBorders>
              <w:top w:val="single" w:sz="4" w:space="0" w:color="auto"/>
              <w:left w:val="nil"/>
              <w:bottom w:val="single" w:sz="4" w:space="0" w:color="auto"/>
              <w:right w:val="nil"/>
            </w:tcBorders>
          </w:tcPr>
          <w:p w14:paraId="37384F0E" w14:textId="39944719" w:rsidR="0066278A" w:rsidRPr="00EA0DC7" w:rsidRDefault="0066278A" w:rsidP="0066278A">
            <w:pPr>
              <w:spacing w:before="240" w:line="360" w:lineRule="auto"/>
              <w:jc w:val="center"/>
              <w:rPr>
                <w:rFonts w:cs="Arial"/>
                <w:sz w:val="20"/>
                <w:szCs w:val="20"/>
              </w:rPr>
            </w:pPr>
            <w:r w:rsidRPr="00EA0DC7">
              <w:rPr>
                <w:rFonts w:cs="Arial"/>
                <w:b/>
                <w:sz w:val="20"/>
                <w:szCs w:val="20"/>
              </w:rPr>
              <w:t>Vignette</w:t>
            </w:r>
          </w:p>
        </w:tc>
      </w:tr>
      <w:tr w:rsidR="0066278A" w:rsidRPr="00EA0DC7" w14:paraId="4901EC88" w14:textId="77777777" w:rsidTr="0066278A">
        <w:tc>
          <w:tcPr>
            <w:tcW w:w="1560" w:type="dxa"/>
            <w:tcBorders>
              <w:top w:val="single" w:sz="4" w:space="0" w:color="auto"/>
              <w:left w:val="nil"/>
              <w:bottom w:val="single" w:sz="4" w:space="0" w:color="auto"/>
              <w:right w:val="nil"/>
            </w:tcBorders>
          </w:tcPr>
          <w:p w14:paraId="6494C0CF" w14:textId="77777777" w:rsidR="0066278A" w:rsidRPr="00EA0DC7" w:rsidRDefault="0066278A" w:rsidP="0066278A">
            <w:pPr>
              <w:spacing w:before="240" w:line="360" w:lineRule="auto"/>
              <w:jc w:val="center"/>
              <w:rPr>
                <w:rFonts w:cs="Arial"/>
                <w:sz w:val="20"/>
                <w:szCs w:val="20"/>
              </w:rPr>
            </w:pPr>
            <w:r w:rsidRPr="00EA0DC7">
              <w:rPr>
                <w:rFonts w:cs="Arial"/>
                <w:sz w:val="20"/>
                <w:szCs w:val="20"/>
              </w:rPr>
              <w:t>Trait anxious clinician, male</w:t>
            </w:r>
          </w:p>
        </w:tc>
        <w:tc>
          <w:tcPr>
            <w:tcW w:w="12388" w:type="dxa"/>
            <w:tcBorders>
              <w:top w:val="single" w:sz="4" w:space="0" w:color="auto"/>
              <w:left w:val="nil"/>
              <w:bottom w:val="single" w:sz="4" w:space="0" w:color="auto"/>
              <w:right w:val="nil"/>
            </w:tcBorders>
          </w:tcPr>
          <w:p w14:paraId="39B5BF42" w14:textId="77777777" w:rsidR="0066278A" w:rsidRPr="00EA0DC7" w:rsidRDefault="0066278A" w:rsidP="0066278A">
            <w:pPr>
              <w:spacing w:before="240" w:line="360" w:lineRule="auto"/>
              <w:rPr>
                <w:rFonts w:cs="Arial"/>
                <w:sz w:val="20"/>
                <w:szCs w:val="20"/>
              </w:rPr>
            </w:pPr>
            <w:r w:rsidRPr="00EA0DC7">
              <w:rPr>
                <w:rFonts w:cs="Arial"/>
                <w:sz w:val="20"/>
                <w:szCs w:val="20"/>
              </w:rPr>
              <w:t xml:space="preserve">       ‘Your supervisee, James, is 40. He has been a qualified therapist for 15 years. . He has concerns about his patients much of the time and is quite an anxious individual in general.  In your session with him today, a particular concern comes up about a patient called Lauren who has depression. James has been seeing her for six sessions out of a planned 12. </w:t>
            </w:r>
          </w:p>
          <w:p w14:paraId="0C771CB3" w14:textId="77777777" w:rsidR="0066278A" w:rsidRPr="00EA0DC7" w:rsidRDefault="0066278A"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7265DDFB" w14:textId="6A600596" w:rsidR="0066278A" w:rsidRPr="00EA0DC7" w:rsidRDefault="0066278A" w:rsidP="0066278A">
            <w:pPr>
              <w:spacing w:line="360" w:lineRule="auto"/>
              <w:rPr>
                <w:rFonts w:cs="Arial"/>
                <w:sz w:val="20"/>
                <w:szCs w:val="20"/>
              </w:rPr>
            </w:pPr>
            <w:r w:rsidRPr="00EA0DC7">
              <w:rPr>
                <w:rFonts w:cs="Arial"/>
                <w:sz w:val="20"/>
                <w:szCs w:val="20"/>
              </w:rPr>
              <w:t xml:space="preserve">       In previous supervision sessions you had advised James that he should be pushing Lauren to engage in behavioural activation. Although he had agreed with you that behavioural activation was the appropriate course of action, he has failed to deliver on this. He had reservations about pushing Lauren to change behaviourally and so had focused on developing a strong therapeutic alliance with her, rather than on the therapeutic techniques that you had discussed. He is concerned that if he pushes Lauren to engage in behavioural aspects of therapy, she will be reluctant to come to sessions and may drop out of therapy altogether.’</w:t>
            </w:r>
          </w:p>
        </w:tc>
      </w:tr>
    </w:tbl>
    <w:p w14:paraId="4CDC14B9" w14:textId="328ADF2A" w:rsidR="0066278A" w:rsidRPr="00EA0DC7" w:rsidRDefault="0066278A"/>
    <w:p w14:paraId="14A00C3A" w14:textId="0E6566E6" w:rsidR="0066278A" w:rsidRPr="00EA0DC7" w:rsidRDefault="0066278A"/>
    <w:p w14:paraId="63294BFC" w14:textId="7C8C5D88" w:rsidR="0066278A" w:rsidRPr="00EA0DC7" w:rsidRDefault="0066278A"/>
    <w:p w14:paraId="2FED12C8" w14:textId="77777777" w:rsidR="0066278A" w:rsidRPr="00EA0DC7" w:rsidRDefault="0066278A"/>
    <w:p w14:paraId="15B2FDB3" w14:textId="77777777" w:rsidR="00F922AD" w:rsidRPr="00EA0DC7" w:rsidRDefault="00F922AD" w:rsidP="0066278A">
      <w:pPr>
        <w:spacing w:before="240" w:line="360" w:lineRule="auto"/>
        <w:jc w:val="center"/>
        <w:rPr>
          <w:rFonts w:cs="Arial"/>
          <w:b/>
          <w:sz w:val="20"/>
          <w:szCs w:val="20"/>
        </w:rPr>
        <w:sectPr w:rsidR="00F922AD" w:rsidRPr="00EA0DC7" w:rsidSect="00D2705A">
          <w:pgSz w:w="16838" w:h="11906" w:orient="landscape"/>
          <w:pgMar w:top="2268"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60"/>
        <w:gridCol w:w="12388"/>
      </w:tblGrid>
      <w:tr w:rsidR="0066278A" w:rsidRPr="00EA0DC7" w14:paraId="21D34C4B" w14:textId="77777777" w:rsidTr="0066278A">
        <w:tc>
          <w:tcPr>
            <w:tcW w:w="1560" w:type="dxa"/>
            <w:tcBorders>
              <w:top w:val="single" w:sz="4" w:space="0" w:color="auto"/>
              <w:left w:val="nil"/>
              <w:bottom w:val="single" w:sz="4" w:space="0" w:color="auto"/>
              <w:right w:val="nil"/>
            </w:tcBorders>
          </w:tcPr>
          <w:p w14:paraId="3A3E3626" w14:textId="7DEA0446" w:rsidR="0066278A" w:rsidRPr="00EA0DC7" w:rsidRDefault="0066278A" w:rsidP="0066278A">
            <w:pPr>
              <w:spacing w:before="240" w:line="360" w:lineRule="auto"/>
              <w:jc w:val="center"/>
              <w:rPr>
                <w:rFonts w:cs="Arial"/>
                <w:sz w:val="20"/>
                <w:szCs w:val="20"/>
              </w:rPr>
            </w:pPr>
            <w:r w:rsidRPr="00EA0DC7">
              <w:rPr>
                <w:rFonts w:cs="Arial"/>
                <w:b/>
                <w:sz w:val="20"/>
                <w:szCs w:val="20"/>
              </w:rPr>
              <w:lastRenderedPageBreak/>
              <w:t>Clinician type</w:t>
            </w:r>
          </w:p>
        </w:tc>
        <w:tc>
          <w:tcPr>
            <w:tcW w:w="12388" w:type="dxa"/>
            <w:tcBorders>
              <w:top w:val="single" w:sz="4" w:space="0" w:color="auto"/>
              <w:left w:val="nil"/>
              <w:bottom w:val="single" w:sz="4" w:space="0" w:color="auto"/>
              <w:right w:val="nil"/>
            </w:tcBorders>
          </w:tcPr>
          <w:p w14:paraId="7FB0199B" w14:textId="1AFEB971" w:rsidR="0066278A" w:rsidRPr="00EA0DC7" w:rsidRDefault="0066278A" w:rsidP="0066278A">
            <w:pPr>
              <w:spacing w:before="240" w:line="360" w:lineRule="auto"/>
              <w:jc w:val="center"/>
              <w:rPr>
                <w:rFonts w:cs="Arial"/>
                <w:sz w:val="20"/>
                <w:szCs w:val="20"/>
              </w:rPr>
            </w:pPr>
            <w:r w:rsidRPr="00EA0DC7">
              <w:rPr>
                <w:rFonts w:cs="Arial"/>
                <w:b/>
                <w:sz w:val="20"/>
                <w:szCs w:val="20"/>
              </w:rPr>
              <w:t>Vignette</w:t>
            </w:r>
          </w:p>
        </w:tc>
      </w:tr>
      <w:tr w:rsidR="0066278A" w:rsidRPr="00EA0DC7" w14:paraId="22ADC77D" w14:textId="77777777" w:rsidTr="005F79F6">
        <w:tc>
          <w:tcPr>
            <w:tcW w:w="1560" w:type="dxa"/>
            <w:tcBorders>
              <w:top w:val="single" w:sz="4" w:space="0" w:color="auto"/>
              <w:left w:val="nil"/>
              <w:bottom w:val="single" w:sz="4" w:space="0" w:color="auto"/>
              <w:right w:val="nil"/>
            </w:tcBorders>
          </w:tcPr>
          <w:p w14:paraId="69DBEB1B" w14:textId="77777777" w:rsidR="0066278A" w:rsidRPr="00EA0DC7" w:rsidRDefault="0066278A" w:rsidP="005F79F6">
            <w:pPr>
              <w:spacing w:before="240" w:line="360" w:lineRule="auto"/>
              <w:jc w:val="center"/>
              <w:rPr>
                <w:rFonts w:cs="Arial"/>
                <w:sz w:val="20"/>
                <w:szCs w:val="20"/>
              </w:rPr>
            </w:pPr>
            <w:r w:rsidRPr="00EA0DC7">
              <w:rPr>
                <w:rFonts w:cs="Arial"/>
                <w:sz w:val="20"/>
                <w:szCs w:val="20"/>
              </w:rPr>
              <w:t>Trait anxious clinician, female</w:t>
            </w:r>
          </w:p>
        </w:tc>
        <w:tc>
          <w:tcPr>
            <w:tcW w:w="12388" w:type="dxa"/>
            <w:tcBorders>
              <w:top w:val="single" w:sz="4" w:space="0" w:color="auto"/>
              <w:left w:val="nil"/>
              <w:bottom w:val="single" w:sz="4" w:space="0" w:color="auto"/>
              <w:right w:val="nil"/>
            </w:tcBorders>
          </w:tcPr>
          <w:p w14:paraId="34D75283" w14:textId="77777777" w:rsidR="0066278A" w:rsidRPr="00EA0DC7" w:rsidRDefault="0066278A" w:rsidP="005F79F6">
            <w:pPr>
              <w:spacing w:before="240" w:line="360" w:lineRule="auto"/>
              <w:rPr>
                <w:rFonts w:cs="Arial"/>
                <w:sz w:val="20"/>
                <w:szCs w:val="20"/>
              </w:rPr>
            </w:pPr>
            <w:r w:rsidRPr="00EA0DC7">
              <w:rPr>
                <w:rFonts w:cs="Arial"/>
                <w:sz w:val="20"/>
                <w:szCs w:val="20"/>
              </w:rPr>
              <w:t xml:space="preserve">       ‘Your supervisee, Jane, is 40. She has been a qualified therapist for 15 years. She has concerns about her patients much of the time and is quite an anxious individual in general. In your session with her today, a particular concern comes up about a patient called Lauren who has depression. Jane has been seeing her for six sessions out of a planned 12. </w:t>
            </w:r>
          </w:p>
          <w:p w14:paraId="43852E0D" w14:textId="77777777" w:rsidR="0066278A" w:rsidRPr="00EA0DC7" w:rsidRDefault="0066278A"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4AFB385B" w14:textId="0A5DFEF5" w:rsidR="0066278A" w:rsidRPr="00EA0DC7" w:rsidRDefault="0066278A" w:rsidP="0066278A">
            <w:pPr>
              <w:spacing w:line="360" w:lineRule="auto"/>
              <w:rPr>
                <w:rFonts w:cs="Arial"/>
                <w:sz w:val="20"/>
                <w:szCs w:val="20"/>
              </w:rPr>
            </w:pPr>
            <w:r w:rsidRPr="00EA0DC7">
              <w:rPr>
                <w:rFonts w:cs="Arial"/>
                <w:sz w:val="20"/>
                <w:szCs w:val="20"/>
              </w:rPr>
              <w:t xml:space="preserve">       In previous supervision sessions you had advised Jane that she should be pushing Lauren to engage in behavioural activation. Although Jane had agreed with you that behavioural activation was the appropriate course of action, she has failed to deliver on this. Jane has reservations about pushing Lauren to change behaviourally and so had focused on developing a strong therapeutic alliance with her, rather than on the therapeutic techniques that you had discussed. She is concerned that if she pushes Lauren to engage in behavioural aspects of therapy, she will be reluctant to come to sessions and may drop out of therapy altogether.</w:t>
            </w:r>
            <w:r w:rsidR="005F79F6" w:rsidRPr="00EA0DC7">
              <w:rPr>
                <w:rFonts w:cs="Arial"/>
                <w:sz w:val="20"/>
                <w:szCs w:val="20"/>
              </w:rPr>
              <w:t>’</w:t>
            </w:r>
          </w:p>
        </w:tc>
      </w:tr>
    </w:tbl>
    <w:p w14:paraId="2043DB3D" w14:textId="77777777" w:rsidR="00F922AD" w:rsidRPr="00EA0DC7" w:rsidRDefault="00F922AD">
      <w:pPr>
        <w:sectPr w:rsidR="00F922AD" w:rsidRPr="00EA0DC7" w:rsidSect="00D2705A">
          <w:pgSz w:w="16838" w:h="11906" w:orient="landscape"/>
          <w:pgMar w:top="1440" w:right="1440" w:bottom="2268" w:left="1440" w:header="709" w:footer="709" w:gutter="0"/>
          <w:cols w:space="708"/>
          <w:docGrid w:linePitch="360"/>
        </w:sectPr>
      </w:pPr>
    </w:p>
    <w:tbl>
      <w:tblPr>
        <w:tblStyle w:val="TableGrid"/>
        <w:tblW w:w="0" w:type="auto"/>
        <w:tblLook w:val="04A0" w:firstRow="1" w:lastRow="0" w:firstColumn="1" w:lastColumn="0" w:noHBand="0" w:noVBand="1"/>
      </w:tblPr>
      <w:tblGrid>
        <w:gridCol w:w="1560"/>
        <w:gridCol w:w="12388"/>
      </w:tblGrid>
      <w:tr w:rsidR="005F79F6" w:rsidRPr="00EA0DC7" w14:paraId="77514C67" w14:textId="77777777" w:rsidTr="005F79F6">
        <w:tc>
          <w:tcPr>
            <w:tcW w:w="1560" w:type="dxa"/>
            <w:tcBorders>
              <w:top w:val="single" w:sz="4" w:space="0" w:color="auto"/>
              <w:left w:val="nil"/>
              <w:bottom w:val="single" w:sz="4" w:space="0" w:color="auto"/>
              <w:right w:val="nil"/>
            </w:tcBorders>
          </w:tcPr>
          <w:p w14:paraId="1B0FEA88" w14:textId="68327B49" w:rsidR="005F79F6" w:rsidRPr="00EA0DC7" w:rsidRDefault="005F79F6" w:rsidP="005F79F6">
            <w:pPr>
              <w:spacing w:before="240" w:line="360" w:lineRule="auto"/>
              <w:jc w:val="center"/>
              <w:rPr>
                <w:rFonts w:cs="Arial"/>
                <w:sz w:val="20"/>
                <w:szCs w:val="20"/>
              </w:rPr>
            </w:pPr>
            <w:r w:rsidRPr="00EA0DC7">
              <w:rPr>
                <w:rFonts w:cs="Arial"/>
                <w:b/>
                <w:sz w:val="20"/>
                <w:szCs w:val="20"/>
              </w:rPr>
              <w:lastRenderedPageBreak/>
              <w:t>Clinician type</w:t>
            </w:r>
          </w:p>
        </w:tc>
        <w:tc>
          <w:tcPr>
            <w:tcW w:w="12388" w:type="dxa"/>
            <w:tcBorders>
              <w:top w:val="single" w:sz="4" w:space="0" w:color="auto"/>
              <w:left w:val="nil"/>
              <w:bottom w:val="single" w:sz="4" w:space="0" w:color="auto"/>
              <w:right w:val="nil"/>
            </w:tcBorders>
          </w:tcPr>
          <w:p w14:paraId="4CA52A37" w14:textId="73B07C47" w:rsidR="005F79F6" w:rsidRPr="00EA0DC7" w:rsidRDefault="005F79F6" w:rsidP="005F79F6">
            <w:pPr>
              <w:spacing w:before="240" w:line="360" w:lineRule="auto"/>
              <w:jc w:val="center"/>
              <w:rPr>
                <w:rFonts w:cs="Arial"/>
                <w:sz w:val="20"/>
                <w:szCs w:val="20"/>
              </w:rPr>
            </w:pPr>
            <w:r w:rsidRPr="00EA0DC7">
              <w:rPr>
                <w:rFonts w:cs="Arial"/>
                <w:b/>
                <w:sz w:val="20"/>
                <w:szCs w:val="20"/>
              </w:rPr>
              <w:t>Vignette</w:t>
            </w:r>
          </w:p>
        </w:tc>
      </w:tr>
      <w:tr w:rsidR="0066278A" w:rsidRPr="00EA0DC7" w14:paraId="265BF777" w14:textId="77777777" w:rsidTr="005F79F6">
        <w:tc>
          <w:tcPr>
            <w:tcW w:w="1560" w:type="dxa"/>
            <w:tcBorders>
              <w:top w:val="single" w:sz="4" w:space="0" w:color="auto"/>
              <w:left w:val="nil"/>
              <w:bottom w:val="nil"/>
              <w:right w:val="nil"/>
            </w:tcBorders>
          </w:tcPr>
          <w:p w14:paraId="7FCAC45F" w14:textId="77777777" w:rsidR="0066278A" w:rsidRPr="00EA0DC7" w:rsidRDefault="0066278A" w:rsidP="005F79F6">
            <w:pPr>
              <w:spacing w:before="240" w:line="360" w:lineRule="auto"/>
              <w:jc w:val="center"/>
              <w:rPr>
                <w:rFonts w:cs="Arial"/>
                <w:sz w:val="20"/>
                <w:szCs w:val="20"/>
              </w:rPr>
            </w:pPr>
            <w:r w:rsidRPr="00EA0DC7">
              <w:rPr>
                <w:rFonts w:cs="Arial"/>
                <w:sz w:val="20"/>
                <w:szCs w:val="20"/>
              </w:rPr>
              <w:t>Calm clinician, male</w:t>
            </w:r>
          </w:p>
        </w:tc>
        <w:tc>
          <w:tcPr>
            <w:tcW w:w="12388" w:type="dxa"/>
            <w:tcBorders>
              <w:top w:val="single" w:sz="4" w:space="0" w:color="auto"/>
              <w:left w:val="nil"/>
              <w:bottom w:val="nil"/>
              <w:right w:val="nil"/>
            </w:tcBorders>
          </w:tcPr>
          <w:p w14:paraId="20DC7909" w14:textId="77777777" w:rsidR="0066278A" w:rsidRPr="00EA0DC7" w:rsidRDefault="0066278A" w:rsidP="005F79F6">
            <w:pPr>
              <w:spacing w:before="240" w:line="360" w:lineRule="auto"/>
              <w:rPr>
                <w:rFonts w:cs="Arial"/>
                <w:sz w:val="20"/>
                <w:szCs w:val="20"/>
              </w:rPr>
            </w:pPr>
            <w:r w:rsidRPr="00EA0DC7">
              <w:rPr>
                <w:rFonts w:cs="Arial"/>
                <w:sz w:val="20"/>
                <w:szCs w:val="20"/>
              </w:rPr>
              <w:t xml:space="preserve">       ‘Your supervisee, James, is 40. He has been a qualified therapist for 15 years. He is very relaxed individual and is rarely worried about carrying out therapy. In your session with him today, a particular issue comes up about a patient called Lauren who has depression. James has been seeing her for six sessions out of a planned 12. </w:t>
            </w:r>
          </w:p>
          <w:p w14:paraId="451BFFF2" w14:textId="77777777" w:rsidR="0066278A" w:rsidRPr="00EA0DC7" w:rsidRDefault="0066278A"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5E36D129" w14:textId="77777777" w:rsidR="0066278A" w:rsidRPr="00EA0DC7" w:rsidRDefault="0066278A" w:rsidP="0066278A">
            <w:pPr>
              <w:spacing w:line="360" w:lineRule="auto"/>
              <w:rPr>
                <w:rFonts w:cs="Arial"/>
                <w:sz w:val="20"/>
                <w:szCs w:val="20"/>
              </w:rPr>
            </w:pPr>
            <w:r w:rsidRPr="00EA0DC7">
              <w:rPr>
                <w:rFonts w:cs="Arial"/>
                <w:sz w:val="20"/>
                <w:szCs w:val="20"/>
              </w:rPr>
              <w:t xml:space="preserve">       In previous supervision sessions you had advised James that he should be pushing Lauren to engage in behavioural activation. Although he had agreed with you that behavioural activation was the appropriate course of action, he has failed to deliver on this. He has focused on developing a strong therapeutic alliance rather than on the therapeutic techniques that you had discussed.’</w:t>
            </w:r>
          </w:p>
          <w:p w14:paraId="78030176" w14:textId="77777777" w:rsidR="0066278A" w:rsidRPr="00EA0DC7" w:rsidRDefault="0066278A" w:rsidP="0066278A">
            <w:pPr>
              <w:spacing w:line="360" w:lineRule="auto"/>
              <w:rPr>
                <w:rFonts w:cs="Arial"/>
                <w:sz w:val="20"/>
                <w:szCs w:val="20"/>
              </w:rPr>
            </w:pPr>
          </w:p>
        </w:tc>
      </w:tr>
      <w:tr w:rsidR="0066278A" w:rsidRPr="00EA0DC7" w14:paraId="79D27A65" w14:textId="77777777" w:rsidTr="0066278A">
        <w:tc>
          <w:tcPr>
            <w:tcW w:w="1560" w:type="dxa"/>
            <w:tcBorders>
              <w:top w:val="nil"/>
              <w:left w:val="nil"/>
              <w:right w:val="nil"/>
            </w:tcBorders>
          </w:tcPr>
          <w:p w14:paraId="313163C7" w14:textId="77777777" w:rsidR="0066278A" w:rsidRPr="00EA0DC7" w:rsidRDefault="0066278A" w:rsidP="0066278A">
            <w:pPr>
              <w:spacing w:line="360" w:lineRule="auto"/>
              <w:jc w:val="center"/>
              <w:rPr>
                <w:rFonts w:cs="Arial"/>
                <w:sz w:val="20"/>
                <w:szCs w:val="20"/>
              </w:rPr>
            </w:pPr>
            <w:r w:rsidRPr="00EA0DC7">
              <w:rPr>
                <w:rFonts w:cs="Arial"/>
                <w:sz w:val="20"/>
                <w:szCs w:val="20"/>
              </w:rPr>
              <w:t>Calm clinician, female</w:t>
            </w:r>
          </w:p>
        </w:tc>
        <w:tc>
          <w:tcPr>
            <w:tcW w:w="12388" w:type="dxa"/>
            <w:tcBorders>
              <w:top w:val="nil"/>
              <w:left w:val="nil"/>
              <w:right w:val="nil"/>
            </w:tcBorders>
          </w:tcPr>
          <w:p w14:paraId="4ECD9113" w14:textId="77777777" w:rsidR="0066278A" w:rsidRPr="00EA0DC7" w:rsidRDefault="0066278A" w:rsidP="0066278A">
            <w:pPr>
              <w:spacing w:line="360" w:lineRule="auto"/>
              <w:rPr>
                <w:rFonts w:cs="Arial"/>
                <w:sz w:val="20"/>
                <w:szCs w:val="20"/>
              </w:rPr>
            </w:pPr>
            <w:r w:rsidRPr="00EA0DC7">
              <w:rPr>
                <w:rFonts w:cs="Arial"/>
                <w:sz w:val="20"/>
                <w:szCs w:val="20"/>
              </w:rPr>
              <w:t xml:space="preserve">       ‘Your supervisee, Jane, is 40. She has been a qualified therapist for 15 years. She is very relaxed individual and is rarely worried about carrying out therapy. In your session with her today, a particular issue comes up about a patient called Lauren who has depression. Jane has been seeing her for six sessions out of a planned 12. </w:t>
            </w:r>
          </w:p>
          <w:p w14:paraId="3F436031" w14:textId="77777777" w:rsidR="0066278A" w:rsidRPr="00EA0DC7" w:rsidRDefault="0066278A" w:rsidP="0066278A">
            <w:pPr>
              <w:spacing w:line="360" w:lineRule="auto"/>
              <w:rPr>
                <w:rFonts w:cs="Arial"/>
                <w:sz w:val="20"/>
                <w:szCs w:val="20"/>
              </w:rPr>
            </w:pPr>
            <w:r w:rsidRPr="00EA0DC7">
              <w:rPr>
                <w:rFonts w:cs="Arial"/>
                <w:sz w:val="20"/>
                <w:szCs w:val="20"/>
              </w:rPr>
              <w:t xml:space="preserve">        Lauren is 32 and lives with her husband and son. In the past few years she has been getting increasingly unhappy with life and has started showing signs of depression. She has no biological signs but has a low mood and poor self-esteem. Although she is managing to keep attending her job at a supermarket, she vary rarely sees anyone outside of work and is feeling unhappy in her marriage. She has showed no signs of self-harm or indication that she is a suicide risk.</w:t>
            </w:r>
          </w:p>
          <w:p w14:paraId="16CE0CEC" w14:textId="77777777" w:rsidR="0066278A" w:rsidRPr="00EA0DC7" w:rsidRDefault="0066278A" w:rsidP="0066278A">
            <w:pPr>
              <w:spacing w:line="360" w:lineRule="auto"/>
              <w:rPr>
                <w:rFonts w:cs="Arial"/>
                <w:sz w:val="20"/>
                <w:szCs w:val="20"/>
              </w:rPr>
            </w:pPr>
            <w:r w:rsidRPr="00EA0DC7">
              <w:rPr>
                <w:rFonts w:cs="Arial"/>
                <w:sz w:val="20"/>
                <w:szCs w:val="20"/>
              </w:rPr>
              <w:t xml:space="preserve">       In previous supervision sessions you had advised Jane that she should be pushing Lauren to engage in behavioural activation. Although Jane had agreed with you that behavioural activation was the appropriate course of action, she has failed to deliver on this. Jane has focused on developing a strong therapeutic alliance rather than on the therapeutic techniques that you had discussed.’</w:t>
            </w:r>
          </w:p>
        </w:tc>
      </w:tr>
    </w:tbl>
    <w:p w14:paraId="094C0304" w14:textId="1982F4FA" w:rsidR="004F5D5E" w:rsidRPr="00EA0DC7" w:rsidRDefault="004F5D5E" w:rsidP="00CE04C8">
      <w:pPr>
        <w:rPr>
          <w:rFonts w:cs="Arial"/>
          <w:szCs w:val="24"/>
        </w:rPr>
      </w:pPr>
    </w:p>
    <w:sectPr w:rsidR="004F5D5E" w:rsidRPr="00EA0DC7" w:rsidSect="00D2705A">
      <w:pgSz w:w="16838" w:h="11906" w:orient="landscape" w:code="9"/>
      <w:pgMar w:top="2268"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Chloe" w:date="2020-08-02T22:08:00Z" w:initials="CSS">
    <w:p w14:paraId="57947E02" w14:textId="6C79AE5A" w:rsidR="006407EE" w:rsidRDefault="006407EE">
      <w:pPr>
        <w:pStyle w:val="CommentText"/>
      </w:pPr>
      <w:r>
        <w:rPr>
          <w:rStyle w:val="CommentReference"/>
        </w:rPr>
        <w:annotationRef/>
      </w:r>
      <w:r>
        <w:t>1</w:t>
      </w:r>
    </w:p>
  </w:comment>
  <w:comment w:id="16" w:author="Chloe" w:date="2020-08-02T22:11:00Z" w:initials="CSS">
    <w:p w14:paraId="34CEAE04" w14:textId="66246FA8" w:rsidR="006407EE" w:rsidRDefault="006407EE">
      <w:pPr>
        <w:pStyle w:val="CommentText"/>
      </w:pPr>
      <w:r>
        <w:rPr>
          <w:rStyle w:val="CommentReference"/>
        </w:rPr>
        <w:annotationRef/>
      </w:r>
      <w:r>
        <w:t>1</w:t>
      </w:r>
    </w:p>
  </w:comment>
  <w:comment w:id="17" w:author="Chloe" w:date="2020-08-02T22:13:00Z" w:initials="CSS">
    <w:p w14:paraId="79711336" w14:textId="7F670BC5" w:rsidR="006407EE" w:rsidRDefault="006407EE">
      <w:pPr>
        <w:pStyle w:val="CommentText"/>
      </w:pPr>
      <w:r>
        <w:rPr>
          <w:rStyle w:val="CommentReference"/>
        </w:rPr>
        <w:annotationRef/>
      </w:r>
      <w:r>
        <w:t>1</w:t>
      </w:r>
    </w:p>
  </w:comment>
  <w:comment w:id="20" w:author="Chloe" w:date="2020-08-02T22:14:00Z" w:initials="CSS">
    <w:p w14:paraId="3C16FEE7" w14:textId="46BE4283" w:rsidR="006407EE" w:rsidRDefault="006407EE">
      <w:pPr>
        <w:pStyle w:val="CommentText"/>
      </w:pPr>
      <w:r>
        <w:rPr>
          <w:rStyle w:val="CommentReference"/>
        </w:rPr>
        <w:annotationRef/>
      </w:r>
      <w:r>
        <w:t>1</w:t>
      </w:r>
    </w:p>
  </w:comment>
  <w:comment w:id="22" w:author="Chloe" w:date="2020-08-02T22:17:00Z" w:initials="CSS">
    <w:p w14:paraId="6F12A009" w14:textId="2A42BA13" w:rsidR="006407EE" w:rsidRDefault="006407EE">
      <w:pPr>
        <w:pStyle w:val="CommentText"/>
      </w:pPr>
      <w:r>
        <w:rPr>
          <w:rStyle w:val="CommentReference"/>
        </w:rPr>
        <w:annotationRef/>
      </w:r>
      <w:r>
        <w:t>14</w:t>
      </w:r>
    </w:p>
  </w:comment>
  <w:comment w:id="23" w:author="Chloe" w:date="2020-08-02T22:18:00Z" w:initials="CSS">
    <w:p w14:paraId="1B31085B" w14:textId="779AF9A5" w:rsidR="006407EE" w:rsidRDefault="006407EE">
      <w:pPr>
        <w:pStyle w:val="CommentText"/>
      </w:pPr>
      <w:r>
        <w:rPr>
          <w:rStyle w:val="CommentReference"/>
        </w:rPr>
        <w:annotationRef/>
      </w:r>
      <w:r>
        <w:t>1</w:t>
      </w:r>
    </w:p>
  </w:comment>
  <w:comment w:id="33" w:author="Chloe" w:date="2020-08-02T22:20:00Z" w:initials="CSS">
    <w:p w14:paraId="72A04B92" w14:textId="0F8C66D8" w:rsidR="006407EE" w:rsidRDefault="006407EE">
      <w:pPr>
        <w:pStyle w:val="CommentText"/>
      </w:pPr>
      <w:r>
        <w:rPr>
          <w:rStyle w:val="CommentReference"/>
        </w:rPr>
        <w:annotationRef/>
      </w:r>
      <w:r>
        <w:t>15</w:t>
      </w:r>
    </w:p>
  </w:comment>
  <w:comment w:id="36" w:author="Chloe" w:date="2020-08-02T22:21:00Z" w:initials="CSS">
    <w:p w14:paraId="04614AA9" w14:textId="6478883A" w:rsidR="006407EE" w:rsidRDefault="006407EE">
      <w:pPr>
        <w:pStyle w:val="CommentText"/>
      </w:pPr>
      <w:r>
        <w:rPr>
          <w:rStyle w:val="CommentReference"/>
        </w:rPr>
        <w:annotationRef/>
      </w:r>
      <w:r>
        <w:t>1</w:t>
      </w:r>
    </w:p>
  </w:comment>
  <w:comment w:id="45" w:author="Chloe" w:date="2020-08-02T22:23:00Z" w:initials="CSS">
    <w:p w14:paraId="0C0F51A6" w14:textId="37DB129C" w:rsidR="006407EE" w:rsidRDefault="006407EE">
      <w:pPr>
        <w:pStyle w:val="CommentText"/>
      </w:pPr>
      <w:r>
        <w:rPr>
          <w:rStyle w:val="CommentReference"/>
        </w:rPr>
        <w:annotationRef/>
      </w:r>
      <w:r>
        <w:t>16</w:t>
      </w:r>
    </w:p>
  </w:comment>
  <w:comment w:id="57" w:author="Chloe" w:date="2020-08-02T22:26:00Z" w:initials="CSS">
    <w:p w14:paraId="5C392FD6" w14:textId="11EF01F9" w:rsidR="006407EE" w:rsidRDefault="006407EE">
      <w:pPr>
        <w:pStyle w:val="CommentText"/>
      </w:pPr>
      <w:r>
        <w:rPr>
          <w:rStyle w:val="CommentReference"/>
        </w:rPr>
        <w:annotationRef/>
      </w:r>
      <w:r>
        <w:t>8</w:t>
      </w:r>
    </w:p>
  </w:comment>
  <w:comment w:id="60" w:author="Chloe" w:date="2020-08-02T22:29:00Z" w:initials="CSS">
    <w:p w14:paraId="7AE91797" w14:textId="5A404FB3" w:rsidR="006407EE" w:rsidRDefault="006407EE">
      <w:pPr>
        <w:pStyle w:val="CommentText"/>
      </w:pPr>
      <w:r>
        <w:rPr>
          <w:rStyle w:val="CommentReference"/>
        </w:rPr>
        <w:annotationRef/>
      </w:r>
      <w:r>
        <w:t>17</w:t>
      </w:r>
    </w:p>
  </w:comment>
  <w:comment w:id="68" w:author="Chloe" w:date="2020-08-02T22:31:00Z" w:initials="CSS">
    <w:p w14:paraId="19D7CB9D" w14:textId="2FB6D70A" w:rsidR="006407EE" w:rsidRDefault="006407EE">
      <w:pPr>
        <w:pStyle w:val="CommentText"/>
      </w:pPr>
      <w:r>
        <w:rPr>
          <w:rStyle w:val="CommentReference"/>
        </w:rPr>
        <w:annotationRef/>
      </w:r>
      <w:r>
        <w:t>18</w:t>
      </w:r>
    </w:p>
  </w:comment>
  <w:comment w:id="70" w:author="Chloe" w:date="2020-08-02T22:32:00Z" w:initials="CSS">
    <w:p w14:paraId="5C752216" w14:textId="276C8992" w:rsidR="006407EE" w:rsidRDefault="006407EE">
      <w:pPr>
        <w:pStyle w:val="CommentText"/>
      </w:pPr>
      <w:r>
        <w:rPr>
          <w:rStyle w:val="CommentReference"/>
        </w:rPr>
        <w:annotationRef/>
      </w:r>
      <w:r>
        <w:t>3</w:t>
      </w:r>
    </w:p>
  </w:comment>
  <w:comment w:id="85" w:author="Chloe" w:date="2020-08-02T22:35:00Z" w:initials="CSS">
    <w:p w14:paraId="4ACDB297" w14:textId="70D5BB8C" w:rsidR="006407EE" w:rsidRDefault="006407EE">
      <w:pPr>
        <w:pStyle w:val="CommentText"/>
      </w:pPr>
      <w:r>
        <w:rPr>
          <w:rStyle w:val="CommentReference"/>
        </w:rPr>
        <w:annotationRef/>
      </w:r>
      <w:r>
        <w:t>3</w:t>
      </w:r>
    </w:p>
  </w:comment>
  <w:comment w:id="87" w:author="Chloe" w:date="2020-08-02T22:36:00Z" w:initials="CSS">
    <w:p w14:paraId="1556D5B7" w14:textId="7EA2AA29" w:rsidR="006407EE" w:rsidRDefault="006407EE">
      <w:pPr>
        <w:pStyle w:val="CommentText"/>
      </w:pPr>
      <w:r>
        <w:rPr>
          <w:rStyle w:val="CommentReference"/>
        </w:rPr>
        <w:annotationRef/>
      </w:r>
      <w:r>
        <w:t>3</w:t>
      </w:r>
    </w:p>
  </w:comment>
  <w:comment w:id="89" w:author="Chloe" w:date="2020-08-02T22:37:00Z" w:initials="CSS">
    <w:p w14:paraId="1193862B" w14:textId="00C974D8" w:rsidR="006407EE" w:rsidRDefault="006407EE">
      <w:pPr>
        <w:pStyle w:val="CommentText"/>
      </w:pPr>
      <w:r>
        <w:rPr>
          <w:rStyle w:val="CommentReference"/>
        </w:rPr>
        <w:annotationRef/>
      </w:r>
      <w:r>
        <w:t>3</w:t>
      </w:r>
    </w:p>
  </w:comment>
  <w:comment w:id="103" w:author="Chloe" w:date="2020-08-02T22:38:00Z" w:initials="CSS">
    <w:p w14:paraId="17BDDC07" w14:textId="68AA75C2" w:rsidR="006407EE" w:rsidRDefault="006407EE">
      <w:pPr>
        <w:pStyle w:val="CommentText"/>
      </w:pPr>
      <w:r>
        <w:rPr>
          <w:rStyle w:val="CommentReference"/>
        </w:rPr>
        <w:annotationRef/>
      </w:r>
      <w:r>
        <w:t>5</w:t>
      </w:r>
    </w:p>
  </w:comment>
  <w:comment w:id="105" w:author="Chloe" w:date="2020-08-02T22:41:00Z" w:initials="CSS">
    <w:p w14:paraId="183D01AB" w14:textId="0A9E961C" w:rsidR="006407EE" w:rsidRDefault="006407EE">
      <w:pPr>
        <w:pStyle w:val="CommentText"/>
      </w:pPr>
      <w:r>
        <w:rPr>
          <w:rStyle w:val="CommentReference"/>
        </w:rPr>
        <w:annotationRef/>
      </w:r>
      <w:r>
        <w:t>6 &amp; 4</w:t>
      </w:r>
    </w:p>
  </w:comment>
  <w:comment w:id="106" w:author="Chloe" w:date="2020-08-02T22:43:00Z" w:initials="CSS">
    <w:p w14:paraId="4F02316D" w14:textId="4E8B844E" w:rsidR="006407EE" w:rsidRDefault="006407EE">
      <w:pPr>
        <w:pStyle w:val="CommentText"/>
      </w:pPr>
      <w:r>
        <w:rPr>
          <w:rStyle w:val="CommentReference"/>
        </w:rPr>
        <w:annotationRef/>
      </w:r>
      <w:r>
        <w:t>7 &amp; 20</w:t>
      </w:r>
    </w:p>
  </w:comment>
  <w:comment w:id="107" w:author="Chloe" w:date="2020-08-02T22:45:00Z" w:initials="CSS">
    <w:p w14:paraId="0F317F8E" w14:textId="41707EDD" w:rsidR="006407EE" w:rsidRDefault="006407EE">
      <w:pPr>
        <w:pStyle w:val="CommentText"/>
      </w:pPr>
      <w:r>
        <w:rPr>
          <w:rStyle w:val="CommentReference"/>
        </w:rPr>
        <w:annotationRef/>
      </w:r>
      <w:r>
        <w:t>4</w:t>
      </w:r>
    </w:p>
  </w:comment>
  <w:comment w:id="108" w:author="Chloe" w:date="2020-08-02T22:48:00Z" w:initials="CSS">
    <w:p w14:paraId="3334CE94" w14:textId="111C7183" w:rsidR="006407EE" w:rsidRDefault="006407EE">
      <w:pPr>
        <w:pStyle w:val="CommentText"/>
      </w:pPr>
      <w:r>
        <w:rPr>
          <w:rStyle w:val="CommentReference"/>
        </w:rPr>
        <w:annotationRef/>
      </w:r>
      <w:r>
        <w:t>4</w:t>
      </w:r>
    </w:p>
  </w:comment>
  <w:comment w:id="111" w:author="Chloe" w:date="2020-08-02T22:49:00Z" w:initials="CSS">
    <w:p w14:paraId="0A53E1B8" w14:textId="59B70EE6" w:rsidR="006407EE" w:rsidRDefault="006407EE">
      <w:pPr>
        <w:pStyle w:val="CommentText"/>
      </w:pPr>
      <w:r>
        <w:rPr>
          <w:rStyle w:val="CommentReference"/>
        </w:rPr>
        <w:annotationRef/>
      </w:r>
      <w:r>
        <w:t>21</w:t>
      </w:r>
    </w:p>
  </w:comment>
  <w:comment w:id="113" w:author="Chloe" w:date="2020-08-02T23:45:00Z" w:initials="CSS">
    <w:p w14:paraId="2782F975" w14:textId="61491AB9" w:rsidR="006407EE" w:rsidRDefault="006407EE">
      <w:pPr>
        <w:pStyle w:val="CommentText"/>
      </w:pPr>
      <w:r>
        <w:rPr>
          <w:rStyle w:val="CommentReference"/>
        </w:rPr>
        <w:annotationRef/>
      </w:r>
      <w:r>
        <w:t>22</w:t>
      </w:r>
    </w:p>
  </w:comment>
  <w:comment w:id="115" w:author="Chloe" w:date="2020-08-02T22:51:00Z" w:initials="CSS">
    <w:p w14:paraId="121AC799" w14:textId="2A2DABD4" w:rsidR="006407EE" w:rsidRDefault="006407EE">
      <w:pPr>
        <w:pStyle w:val="CommentText"/>
      </w:pPr>
      <w:r>
        <w:rPr>
          <w:rStyle w:val="CommentReference"/>
        </w:rPr>
        <w:annotationRef/>
      </w:r>
      <w:r>
        <w:t>23</w:t>
      </w:r>
    </w:p>
  </w:comment>
  <w:comment w:id="120" w:author="Chloe" w:date="2020-08-02T23:46:00Z" w:initials="CSS">
    <w:p w14:paraId="6726755C" w14:textId="37684ABD" w:rsidR="006407EE" w:rsidRDefault="006407EE">
      <w:pPr>
        <w:pStyle w:val="CommentText"/>
      </w:pPr>
      <w:r>
        <w:rPr>
          <w:rStyle w:val="CommentReference"/>
        </w:rPr>
        <w:annotationRef/>
      </w:r>
      <w:r>
        <w:t>22</w:t>
      </w:r>
    </w:p>
  </w:comment>
  <w:comment w:id="123" w:author="Chloe" w:date="2020-08-02T23:47:00Z" w:initials="CSS">
    <w:p w14:paraId="564059C2" w14:textId="2AA39214" w:rsidR="006407EE" w:rsidRDefault="006407EE">
      <w:pPr>
        <w:pStyle w:val="CommentText"/>
      </w:pPr>
      <w:r>
        <w:rPr>
          <w:rStyle w:val="CommentReference"/>
        </w:rPr>
        <w:annotationRef/>
      </w:r>
      <w:r>
        <w:t>22</w:t>
      </w:r>
    </w:p>
  </w:comment>
  <w:comment w:id="116" w:author="Chloe" w:date="2020-08-02T22:53:00Z" w:initials="CSS">
    <w:p w14:paraId="57748C16" w14:textId="7B4F0223" w:rsidR="006407EE" w:rsidRDefault="006407EE">
      <w:pPr>
        <w:pStyle w:val="CommentText"/>
      </w:pPr>
      <w:r>
        <w:rPr>
          <w:rStyle w:val="CommentReference"/>
        </w:rPr>
        <w:annotationRef/>
      </w:r>
      <w:r>
        <w:t>4</w:t>
      </w:r>
    </w:p>
  </w:comment>
  <w:comment w:id="128" w:author="Chloe" w:date="2020-08-02T23:47:00Z" w:initials="CSS">
    <w:p w14:paraId="6A05EBCE" w14:textId="64AE5F0A" w:rsidR="006407EE" w:rsidRDefault="006407EE">
      <w:pPr>
        <w:pStyle w:val="CommentText"/>
      </w:pPr>
      <w:r>
        <w:rPr>
          <w:rStyle w:val="CommentReference"/>
        </w:rPr>
        <w:annotationRef/>
      </w:r>
      <w:r>
        <w:t>22</w:t>
      </w:r>
    </w:p>
  </w:comment>
  <w:comment w:id="127" w:author="Chloe" w:date="2020-08-02T22:57:00Z" w:initials="CSS">
    <w:p w14:paraId="327F446A" w14:textId="78E1BBE5" w:rsidR="006407EE" w:rsidRDefault="006407EE">
      <w:pPr>
        <w:pStyle w:val="CommentText"/>
      </w:pPr>
      <w:r>
        <w:rPr>
          <w:rStyle w:val="CommentReference"/>
        </w:rPr>
        <w:annotationRef/>
      </w:r>
      <w:r>
        <w:t>5</w:t>
      </w:r>
    </w:p>
  </w:comment>
  <w:comment w:id="129" w:author="Chloe" w:date="2020-08-02T22:59:00Z" w:initials="CSS">
    <w:p w14:paraId="5B9E2824" w14:textId="633BE8C2" w:rsidR="006407EE" w:rsidRDefault="006407EE">
      <w:pPr>
        <w:pStyle w:val="CommentText"/>
      </w:pPr>
      <w:r>
        <w:rPr>
          <w:rStyle w:val="CommentReference"/>
        </w:rPr>
        <w:annotationRef/>
      </w:r>
      <w:r>
        <w:t>4</w:t>
      </w:r>
    </w:p>
  </w:comment>
  <w:comment w:id="130" w:author="Chloe" w:date="2020-08-02T23:48:00Z" w:initials="CSS">
    <w:p w14:paraId="538D5E70" w14:textId="1D63ACEA" w:rsidR="006407EE" w:rsidRDefault="006407EE">
      <w:pPr>
        <w:pStyle w:val="CommentText"/>
      </w:pPr>
      <w:r>
        <w:rPr>
          <w:rStyle w:val="CommentReference"/>
        </w:rPr>
        <w:annotationRef/>
      </w:r>
      <w:r>
        <w:t>22</w:t>
      </w:r>
    </w:p>
  </w:comment>
  <w:comment w:id="131" w:author="Chloe" w:date="2020-08-02T23:48:00Z" w:initials="CSS">
    <w:p w14:paraId="607190C9" w14:textId="4DF85BD3" w:rsidR="006407EE" w:rsidRDefault="006407EE">
      <w:pPr>
        <w:pStyle w:val="CommentText"/>
      </w:pPr>
      <w:r>
        <w:rPr>
          <w:rStyle w:val="CommentReference"/>
        </w:rPr>
        <w:annotationRef/>
      </w:r>
      <w:r>
        <w:t>22</w:t>
      </w:r>
    </w:p>
  </w:comment>
  <w:comment w:id="132" w:author="Chloe" w:date="2020-08-02T23:00:00Z" w:initials="CSS">
    <w:p w14:paraId="6812EF8D" w14:textId="2EDB5A4C" w:rsidR="006407EE" w:rsidRDefault="006407EE">
      <w:pPr>
        <w:pStyle w:val="CommentText"/>
      </w:pPr>
      <w:r>
        <w:rPr>
          <w:rStyle w:val="CommentReference"/>
        </w:rPr>
        <w:annotationRef/>
      </w:r>
      <w:r>
        <w:t>24</w:t>
      </w:r>
    </w:p>
  </w:comment>
  <w:comment w:id="135" w:author="Chloe" w:date="2020-08-02T22:27:00Z" w:initials="CSS">
    <w:p w14:paraId="7B293527" w14:textId="2165F3DA" w:rsidR="006407EE" w:rsidRDefault="006407EE">
      <w:pPr>
        <w:pStyle w:val="CommentText"/>
      </w:pPr>
      <w:r>
        <w:rPr>
          <w:rStyle w:val="CommentReference"/>
        </w:rPr>
        <w:annotationRef/>
      </w:r>
      <w:r>
        <w:t>8</w:t>
      </w:r>
    </w:p>
  </w:comment>
  <w:comment w:id="139" w:author="Chloe" w:date="2020-08-02T23:04:00Z" w:initials="CSS">
    <w:p w14:paraId="60BCD3C6" w14:textId="75BDD0A6" w:rsidR="006407EE" w:rsidRDefault="006407EE">
      <w:pPr>
        <w:pStyle w:val="CommentText"/>
      </w:pPr>
      <w:r>
        <w:rPr>
          <w:rStyle w:val="CommentReference"/>
        </w:rPr>
        <w:annotationRef/>
      </w:r>
      <w:r>
        <w:t>14</w:t>
      </w:r>
    </w:p>
  </w:comment>
  <w:comment w:id="140" w:author="Chloe" w:date="2020-08-02T23:04:00Z" w:initials="CSS">
    <w:p w14:paraId="7525AD05" w14:textId="5093F630" w:rsidR="006407EE" w:rsidRDefault="006407EE">
      <w:pPr>
        <w:pStyle w:val="CommentText"/>
      </w:pPr>
      <w:r>
        <w:rPr>
          <w:rStyle w:val="CommentReference"/>
        </w:rPr>
        <w:annotationRef/>
      </w:r>
      <w:r>
        <w:t>14</w:t>
      </w:r>
    </w:p>
  </w:comment>
  <w:comment w:id="141" w:author="Chloe" w:date="2020-08-02T23:06:00Z" w:initials="CSS">
    <w:p w14:paraId="6E581AA2" w14:textId="398E3DE3" w:rsidR="006407EE" w:rsidRDefault="006407EE">
      <w:pPr>
        <w:pStyle w:val="CommentText"/>
      </w:pPr>
      <w:r>
        <w:rPr>
          <w:rStyle w:val="CommentReference"/>
        </w:rPr>
        <w:annotationRef/>
      </w:r>
      <w:r>
        <w:t>9</w:t>
      </w:r>
    </w:p>
  </w:comment>
  <w:comment w:id="142" w:author="Chloe" w:date="2020-08-02T23:08:00Z" w:initials="CSS">
    <w:p w14:paraId="6D0575FE" w14:textId="4B441FFF" w:rsidR="006407EE" w:rsidRDefault="006407EE">
      <w:pPr>
        <w:pStyle w:val="CommentText"/>
      </w:pPr>
      <w:r>
        <w:rPr>
          <w:rStyle w:val="CommentReference"/>
        </w:rPr>
        <w:annotationRef/>
      </w:r>
      <w:r>
        <w:t>12</w:t>
      </w:r>
    </w:p>
  </w:comment>
  <w:comment w:id="143" w:author="Chloe" w:date="2020-08-02T23:10:00Z" w:initials="CSS">
    <w:p w14:paraId="2F4524E9" w14:textId="7B4CB576" w:rsidR="006407EE" w:rsidRDefault="006407EE">
      <w:pPr>
        <w:pStyle w:val="CommentText"/>
      </w:pPr>
      <w:r>
        <w:rPr>
          <w:rStyle w:val="CommentReference"/>
        </w:rPr>
        <w:annotationRef/>
      </w:r>
      <w:r>
        <w:t>12</w:t>
      </w:r>
    </w:p>
  </w:comment>
  <w:comment w:id="148" w:author="Chloe" w:date="2020-08-02T23:11:00Z" w:initials="CSS">
    <w:p w14:paraId="722D79E3" w14:textId="287DA2C8" w:rsidR="006407EE" w:rsidRDefault="006407EE">
      <w:pPr>
        <w:pStyle w:val="CommentText"/>
      </w:pPr>
      <w:r>
        <w:rPr>
          <w:rStyle w:val="CommentReference"/>
        </w:rPr>
        <w:annotationRef/>
      </w:r>
      <w:r>
        <w:t>14 &amp; 25</w:t>
      </w:r>
    </w:p>
  </w:comment>
  <w:comment w:id="151" w:author="Chloe" w:date="2020-08-02T22:27:00Z" w:initials="CSS">
    <w:p w14:paraId="248BC85C" w14:textId="1F14A9A3" w:rsidR="006407EE" w:rsidRDefault="006407EE">
      <w:pPr>
        <w:pStyle w:val="CommentText"/>
      </w:pPr>
      <w:r>
        <w:rPr>
          <w:rStyle w:val="CommentReference"/>
        </w:rPr>
        <w:annotationRef/>
      </w:r>
      <w:r>
        <w:t>8</w:t>
      </w:r>
    </w:p>
  </w:comment>
  <w:comment w:id="154" w:author="Chloe" w:date="2020-08-02T23:16:00Z" w:initials="CSS">
    <w:p w14:paraId="601853C6" w14:textId="250EA694" w:rsidR="006407EE" w:rsidRDefault="006407EE">
      <w:pPr>
        <w:pStyle w:val="CommentText"/>
      </w:pPr>
      <w:r>
        <w:rPr>
          <w:rStyle w:val="CommentReference"/>
        </w:rPr>
        <w:annotationRef/>
      </w:r>
      <w:r>
        <w:t>14</w:t>
      </w:r>
    </w:p>
  </w:comment>
  <w:comment w:id="155" w:author="Chloe" w:date="2020-08-02T23:17:00Z" w:initials="CSS">
    <w:p w14:paraId="12DF1FDA" w14:textId="023F2320" w:rsidR="006407EE" w:rsidRDefault="006407EE">
      <w:pPr>
        <w:pStyle w:val="CommentText"/>
      </w:pPr>
      <w:r>
        <w:rPr>
          <w:rStyle w:val="CommentReference"/>
        </w:rPr>
        <w:annotationRef/>
      </w:r>
      <w:r>
        <w:t>14</w:t>
      </w:r>
    </w:p>
  </w:comment>
  <w:comment w:id="156" w:author="Chloe" w:date="2020-08-02T23:18:00Z" w:initials="CSS">
    <w:p w14:paraId="092C09E0" w14:textId="5DADAD16" w:rsidR="006407EE" w:rsidRDefault="006407EE">
      <w:pPr>
        <w:pStyle w:val="CommentText"/>
      </w:pPr>
      <w:r>
        <w:rPr>
          <w:rStyle w:val="CommentReference"/>
        </w:rPr>
        <w:annotationRef/>
      </w:r>
      <w:r>
        <w:t>9</w:t>
      </w:r>
    </w:p>
  </w:comment>
  <w:comment w:id="157" w:author="Chloe" w:date="2020-08-02T23:19:00Z" w:initials="CSS">
    <w:p w14:paraId="6A6E82FA" w14:textId="771773D6" w:rsidR="006407EE" w:rsidRDefault="006407EE">
      <w:pPr>
        <w:pStyle w:val="CommentText"/>
      </w:pPr>
      <w:r>
        <w:rPr>
          <w:rStyle w:val="CommentReference"/>
        </w:rPr>
        <w:annotationRef/>
      </w:r>
      <w:r>
        <w:t>12</w:t>
      </w:r>
    </w:p>
  </w:comment>
  <w:comment w:id="158" w:author="Chloe" w:date="2020-08-02T23:13:00Z" w:initials="CSS">
    <w:p w14:paraId="6B0CAC67" w14:textId="053C4A3E" w:rsidR="006407EE" w:rsidRDefault="006407EE">
      <w:pPr>
        <w:pStyle w:val="CommentText"/>
      </w:pPr>
      <w:r>
        <w:rPr>
          <w:rStyle w:val="CommentReference"/>
        </w:rPr>
        <w:annotationRef/>
      </w:r>
      <w:r>
        <w:t>12</w:t>
      </w:r>
    </w:p>
  </w:comment>
  <w:comment w:id="159" w:author="Chloe" w:date="2020-08-02T23:14:00Z" w:initials="CSS">
    <w:p w14:paraId="20A635B5" w14:textId="79D5F2DB" w:rsidR="006407EE" w:rsidRDefault="006407EE">
      <w:pPr>
        <w:pStyle w:val="CommentText"/>
      </w:pPr>
      <w:r>
        <w:rPr>
          <w:rStyle w:val="CommentReference"/>
        </w:rPr>
        <w:annotationRef/>
      </w:r>
      <w:r>
        <w:t>12</w:t>
      </w:r>
    </w:p>
  </w:comment>
  <w:comment w:id="162" w:author="Chloe" w:date="2020-08-02T23:21:00Z" w:initials="CSS">
    <w:p w14:paraId="05A5BBE6" w14:textId="641F35BC" w:rsidR="006407EE" w:rsidRDefault="006407EE">
      <w:pPr>
        <w:pStyle w:val="CommentText"/>
      </w:pPr>
      <w:r>
        <w:rPr>
          <w:rStyle w:val="CommentReference"/>
        </w:rPr>
        <w:annotationRef/>
      </w:r>
      <w:r>
        <w:t>10</w:t>
      </w:r>
    </w:p>
  </w:comment>
  <w:comment w:id="167" w:author="Chloe" w:date="2020-08-02T23:21:00Z" w:initials="CSS">
    <w:p w14:paraId="7F6E6639" w14:textId="501E9CC2" w:rsidR="006407EE" w:rsidRDefault="006407EE">
      <w:pPr>
        <w:pStyle w:val="CommentText"/>
      </w:pPr>
      <w:r>
        <w:rPr>
          <w:rStyle w:val="CommentReference"/>
        </w:rPr>
        <w:annotationRef/>
      </w:r>
      <w:r>
        <w:t>14</w:t>
      </w:r>
    </w:p>
  </w:comment>
  <w:comment w:id="168" w:author="Chloe" w:date="2020-08-02T23:22:00Z" w:initials="CSS">
    <w:p w14:paraId="04BD89B2" w14:textId="56D0242C" w:rsidR="006407EE" w:rsidRDefault="006407EE">
      <w:pPr>
        <w:pStyle w:val="CommentText"/>
      </w:pPr>
      <w:r>
        <w:rPr>
          <w:rStyle w:val="CommentReference"/>
        </w:rPr>
        <w:annotationRef/>
      </w:r>
      <w:r>
        <w:t>14</w:t>
      </w:r>
    </w:p>
  </w:comment>
  <w:comment w:id="169" w:author="Chloe" w:date="2020-08-02T23:23:00Z" w:initials="CSS">
    <w:p w14:paraId="52B2C4D1" w14:textId="0CA23691" w:rsidR="006407EE" w:rsidRDefault="006407EE">
      <w:pPr>
        <w:pStyle w:val="CommentText"/>
      </w:pPr>
      <w:r>
        <w:rPr>
          <w:rStyle w:val="CommentReference"/>
        </w:rPr>
        <w:annotationRef/>
      </w:r>
      <w:r>
        <w:t>9</w:t>
      </w:r>
    </w:p>
  </w:comment>
  <w:comment w:id="170" w:author="Chloe" w:date="2020-08-02T23:15:00Z" w:initials="CSS">
    <w:p w14:paraId="43C427F4" w14:textId="25E7683D" w:rsidR="006407EE" w:rsidRDefault="006407EE">
      <w:pPr>
        <w:pStyle w:val="CommentText"/>
      </w:pPr>
      <w:r>
        <w:rPr>
          <w:rStyle w:val="CommentReference"/>
        </w:rPr>
        <w:annotationRef/>
      </w:r>
      <w:r>
        <w:t>12</w:t>
      </w:r>
    </w:p>
  </w:comment>
  <w:comment w:id="171" w:author="Chloe" w:date="2020-08-02T23:15:00Z" w:initials="CSS">
    <w:p w14:paraId="1B0510D7" w14:textId="085475BE" w:rsidR="006407EE" w:rsidRDefault="006407EE">
      <w:pPr>
        <w:pStyle w:val="CommentText"/>
      </w:pPr>
      <w:r>
        <w:rPr>
          <w:rStyle w:val="CommentReference"/>
        </w:rPr>
        <w:annotationRef/>
      </w:r>
      <w:r>
        <w:t>12</w:t>
      </w:r>
    </w:p>
  </w:comment>
  <w:comment w:id="175" w:author="Chloe" w:date="2020-08-02T23:24:00Z" w:initials="CSS">
    <w:p w14:paraId="5A8894E6" w14:textId="53D977C3" w:rsidR="006407EE" w:rsidRDefault="006407EE">
      <w:pPr>
        <w:pStyle w:val="CommentText"/>
      </w:pPr>
      <w:r>
        <w:rPr>
          <w:rStyle w:val="CommentReference"/>
        </w:rPr>
        <w:annotationRef/>
      </w:r>
      <w:r>
        <w:t>11</w:t>
      </w:r>
    </w:p>
  </w:comment>
  <w:comment w:id="182" w:author="Chloe" w:date="2020-08-02T23:26:00Z" w:initials="CSS">
    <w:p w14:paraId="2781A071" w14:textId="1F991643" w:rsidR="006407EE" w:rsidRDefault="006407EE">
      <w:pPr>
        <w:pStyle w:val="CommentText"/>
      </w:pPr>
      <w:r>
        <w:rPr>
          <w:rStyle w:val="CommentReference"/>
        </w:rPr>
        <w:annotationRef/>
      </w:r>
      <w:r>
        <w:t>11</w:t>
      </w:r>
    </w:p>
  </w:comment>
  <w:comment w:id="188" w:author="Chloe" w:date="2020-08-02T23:27:00Z" w:initials="CSS">
    <w:p w14:paraId="3FA89683" w14:textId="27F26ED3" w:rsidR="006407EE" w:rsidRDefault="006407EE">
      <w:pPr>
        <w:pStyle w:val="CommentText"/>
      </w:pPr>
      <w:r>
        <w:rPr>
          <w:rStyle w:val="CommentReference"/>
        </w:rPr>
        <w:annotationRef/>
      </w:r>
      <w:r>
        <w:t>11</w:t>
      </w:r>
    </w:p>
  </w:comment>
  <w:comment w:id="192" w:author="Chloe" w:date="2020-08-02T23:29:00Z" w:initials="CSS">
    <w:p w14:paraId="319CD362" w14:textId="68D4C872" w:rsidR="006407EE" w:rsidRDefault="006407EE">
      <w:pPr>
        <w:pStyle w:val="CommentText"/>
      </w:pPr>
      <w:r>
        <w:rPr>
          <w:rStyle w:val="CommentReference"/>
        </w:rPr>
        <w:annotationRef/>
      </w:r>
      <w:r>
        <w:t>13</w:t>
      </w:r>
    </w:p>
  </w:comment>
  <w:comment w:id="200" w:author="Chloe" w:date="2020-08-02T23:31:00Z" w:initials="CSS">
    <w:p w14:paraId="1ADA95E4" w14:textId="2BB26548" w:rsidR="006407EE" w:rsidRDefault="006407EE">
      <w:pPr>
        <w:pStyle w:val="CommentText"/>
      </w:pPr>
      <w:r>
        <w:rPr>
          <w:rStyle w:val="CommentReference"/>
        </w:rPr>
        <w:annotationRef/>
      </w:r>
      <w:r>
        <w:t>2</w:t>
      </w:r>
    </w:p>
  </w:comment>
  <w:comment w:id="266" w:author="Chloe" w:date="2020-08-02T23:32:00Z" w:initials="CSS">
    <w:p w14:paraId="2FC2BF87" w14:textId="45335628" w:rsidR="006407EE" w:rsidRDefault="006407EE">
      <w:pPr>
        <w:pStyle w:val="CommentText"/>
      </w:pPr>
      <w:r>
        <w:rPr>
          <w:rStyle w:val="CommentReference"/>
        </w:rPr>
        <w:annotationRef/>
      </w:r>
      <w:r>
        <w:t>3</w:t>
      </w:r>
    </w:p>
  </w:comment>
  <w:comment w:id="271" w:author="Chloe" w:date="2020-08-02T23:34:00Z" w:initials="CSS">
    <w:p w14:paraId="4B8E64C8" w14:textId="012F59CF" w:rsidR="006407EE" w:rsidRDefault="006407EE">
      <w:pPr>
        <w:pStyle w:val="CommentText"/>
      </w:pPr>
      <w:r>
        <w:rPr>
          <w:rStyle w:val="CommentReference"/>
        </w:rPr>
        <w:annotationRef/>
      </w:r>
      <w:r>
        <w:t>6</w:t>
      </w:r>
    </w:p>
  </w:comment>
  <w:comment w:id="278" w:author="Chloe" w:date="2020-08-02T23:35:00Z" w:initials="CSS">
    <w:p w14:paraId="482C20F5" w14:textId="22FA6D9A" w:rsidR="006407EE" w:rsidRDefault="006407EE">
      <w:pPr>
        <w:pStyle w:val="CommentText"/>
      </w:pPr>
      <w:r>
        <w:rPr>
          <w:rStyle w:val="CommentReference"/>
        </w:rPr>
        <w:annotationRef/>
      </w:r>
      <w:r>
        <w:t>9</w:t>
      </w:r>
    </w:p>
  </w:comment>
  <w:comment w:id="288" w:author="Chloe" w:date="2020-08-02T23:37:00Z" w:initials="CSS">
    <w:p w14:paraId="6E2ED82B" w14:textId="3663EC21" w:rsidR="006407EE" w:rsidRDefault="006407EE">
      <w:pPr>
        <w:pStyle w:val="CommentText"/>
      </w:pPr>
      <w:r>
        <w:rPr>
          <w:rStyle w:val="CommentReference"/>
        </w:rPr>
        <w:annotationRef/>
      </w:r>
      <w:r>
        <w:t>9</w:t>
      </w:r>
    </w:p>
  </w:comment>
  <w:comment w:id="298" w:author="Chloe" w:date="2020-08-02T23:38:00Z" w:initials="CSS">
    <w:p w14:paraId="556DC8AF" w14:textId="1F42D8A3" w:rsidR="006407EE" w:rsidRDefault="006407EE">
      <w:pPr>
        <w:pStyle w:val="CommentText"/>
      </w:pPr>
      <w:r>
        <w:rPr>
          <w:rStyle w:val="CommentReference"/>
        </w:rPr>
        <w:annotationRef/>
      </w:r>
      <w:r>
        <w:t>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947E02" w15:done="0"/>
  <w15:commentEx w15:paraId="34CEAE04" w15:done="0"/>
  <w15:commentEx w15:paraId="79711336" w15:done="0"/>
  <w15:commentEx w15:paraId="3C16FEE7" w15:done="0"/>
  <w15:commentEx w15:paraId="6F12A009" w15:done="0"/>
  <w15:commentEx w15:paraId="1B31085B" w15:done="0"/>
  <w15:commentEx w15:paraId="72A04B92" w15:done="0"/>
  <w15:commentEx w15:paraId="04614AA9" w15:done="0"/>
  <w15:commentEx w15:paraId="0C0F51A6" w15:done="0"/>
  <w15:commentEx w15:paraId="5C392FD6" w15:done="0"/>
  <w15:commentEx w15:paraId="7AE91797" w15:done="0"/>
  <w15:commentEx w15:paraId="19D7CB9D" w15:done="0"/>
  <w15:commentEx w15:paraId="5C752216" w15:done="0"/>
  <w15:commentEx w15:paraId="4ACDB297" w15:done="0"/>
  <w15:commentEx w15:paraId="1556D5B7" w15:done="0"/>
  <w15:commentEx w15:paraId="1193862B" w15:done="0"/>
  <w15:commentEx w15:paraId="17BDDC07" w15:done="0"/>
  <w15:commentEx w15:paraId="183D01AB" w15:done="0"/>
  <w15:commentEx w15:paraId="4F02316D" w15:done="0"/>
  <w15:commentEx w15:paraId="0F317F8E" w15:done="0"/>
  <w15:commentEx w15:paraId="3334CE94" w15:done="0"/>
  <w15:commentEx w15:paraId="0A53E1B8" w15:done="0"/>
  <w15:commentEx w15:paraId="2782F975" w15:done="0"/>
  <w15:commentEx w15:paraId="121AC799" w15:done="0"/>
  <w15:commentEx w15:paraId="6726755C" w15:done="0"/>
  <w15:commentEx w15:paraId="564059C2" w15:done="0"/>
  <w15:commentEx w15:paraId="57748C16" w15:done="0"/>
  <w15:commentEx w15:paraId="6A05EBCE" w15:done="0"/>
  <w15:commentEx w15:paraId="327F446A" w15:done="0"/>
  <w15:commentEx w15:paraId="5B9E2824" w15:done="0"/>
  <w15:commentEx w15:paraId="538D5E70" w15:done="0"/>
  <w15:commentEx w15:paraId="607190C9" w15:done="0"/>
  <w15:commentEx w15:paraId="6812EF8D" w15:done="0"/>
  <w15:commentEx w15:paraId="7B293527" w15:done="0"/>
  <w15:commentEx w15:paraId="60BCD3C6" w15:done="0"/>
  <w15:commentEx w15:paraId="7525AD05" w15:done="0"/>
  <w15:commentEx w15:paraId="6E581AA2" w15:done="0"/>
  <w15:commentEx w15:paraId="6D0575FE" w15:done="0"/>
  <w15:commentEx w15:paraId="2F4524E9" w15:done="0"/>
  <w15:commentEx w15:paraId="722D79E3" w15:done="0"/>
  <w15:commentEx w15:paraId="248BC85C" w15:done="0"/>
  <w15:commentEx w15:paraId="601853C6" w15:done="0"/>
  <w15:commentEx w15:paraId="12DF1FDA" w15:done="0"/>
  <w15:commentEx w15:paraId="092C09E0" w15:done="0"/>
  <w15:commentEx w15:paraId="6A6E82FA" w15:done="0"/>
  <w15:commentEx w15:paraId="6B0CAC67" w15:done="0"/>
  <w15:commentEx w15:paraId="20A635B5" w15:done="0"/>
  <w15:commentEx w15:paraId="05A5BBE6" w15:done="0"/>
  <w15:commentEx w15:paraId="7F6E6639" w15:done="0"/>
  <w15:commentEx w15:paraId="04BD89B2" w15:done="0"/>
  <w15:commentEx w15:paraId="52B2C4D1" w15:done="0"/>
  <w15:commentEx w15:paraId="43C427F4" w15:done="0"/>
  <w15:commentEx w15:paraId="1B0510D7" w15:done="0"/>
  <w15:commentEx w15:paraId="5A8894E6" w15:done="0"/>
  <w15:commentEx w15:paraId="2781A071" w15:done="0"/>
  <w15:commentEx w15:paraId="3FA89683" w15:done="0"/>
  <w15:commentEx w15:paraId="319CD362" w15:done="0"/>
  <w15:commentEx w15:paraId="1ADA95E4" w15:done="0"/>
  <w15:commentEx w15:paraId="2FC2BF87" w15:done="0"/>
  <w15:commentEx w15:paraId="4B8E64C8" w15:done="0"/>
  <w15:commentEx w15:paraId="482C20F5" w15:done="0"/>
  <w15:commentEx w15:paraId="6E2ED82B" w15:done="0"/>
  <w15:commentEx w15:paraId="556DC8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75448" w14:textId="77777777" w:rsidR="004F2FDB" w:rsidRDefault="004F2FDB" w:rsidP="00663BFC">
      <w:pPr>
        <w:spacing w:after="0" w:line="240" w:lineRule="auto"/>
      </w:pPr>
      <w:r>
        <w:separator/>
      </w:r>
    </w:p>
    <w:p w14:paraId="3E8944EB" w14:textId="77777777" w:rsidR="004F2FDB" w:rsidRDefault="004F2FDB"/>
  </w:endnote>
  <w:endnote w:type="continuationSeparator" w:id="0">
    <w:p w14:paraId="4A7BC0C1" w14:textId="77777777" w:rsidR="004F2FDB" w:rsidRDefault="004F2FDB" w:rsidP="00663BFC">
      <w:pPr>
        <w:spacing w:after="0" w:line="240" w:lineRule="auto"/>
      </w:pPr>
      <w:r>
        <w:continuationSeparator/>
      </w:r>
    </w:p>
    <w:p w14:paraId="089E93BE" w14:textId="77777777" w:rsidR="004F2FDB" w:rsidRDefault="004F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UOS Stephenson">
    <w:altName w:val="Cambria Math"/>
    <w:charset w:val="00"/>
    <w:family w:val="auto"/>
    <w:pitch w:val="variable"/>
    <w:sig w:usb0="00000001"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18163"/>
      <w:docPartObj>
        <w:docPartGallery w:val="Page Numbers (Bottom of Page)"/>
        <w:docPartUnique/>
      </w:docPartObj>
    </w:sdtPr>
    <w:sdtEndPr>
      <w:rPr>
        <w:noProof/>
      </w:rPr>
    </w:sdtEndPr>
    <w:sdtContent>
      <w:p w14:paraId="2F7E3FA0" w14:textId="0BECE27F" w:rsidR="006407EE" w:rsidRDefault="006407EE">
        <w:pPr>
          <w:pStyle w:val="Footer"/>
        </w:pPr>
        <w:r>
          <w:fldChar w:fldCharType="begin"/>
        </w:r>
        <w:r>
          <w:instrText xml:space="preserve"> PAGE   \* MERGEFORMAT </w:instrText>
        </w:r>
        <w:r>
          <w:fldChar w:fldCharType="separate"/>
        </w:r>
        <w:r w:rsidR="0045596A">
          <w:rPr>
            <w:noProof/>
          </w:rPr>
          <w:t>20</w:t>
        </w:r>
        <w:r>
          <w:rPr>
            <w:noProof/>
          </w:rPr>
          <w:fldChar w:fldCharType="end"/>
        </w:r>
      </w:p>
    </w:sdtContent>
  </w:sdt>
  <w:p w14:paraId="2FE7FFF1" w14:textId="77777777" w:rsidR="006407EE" w:rsidRDefault="00640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867658"/>
      <w:docPartObj>
        <w:docPartGallery w:val="Page Numbers (Bottom of Page)"/>
        <w:docPartUnique/>
      </w:docPartObj>
    </w:sdtPr>
    <w:sdtEndPr>
      <w:rPr>
        <w:noProof/>
      </w:rPr>
    </w:sdtEndPr>
    <w:sdtContent>
      <w:p w14:paraId="3D474C4D" w14:textId="09199BA7" w:rsidR="006407EE" w:rsidRDefault="006407EE">
        <w:pPr>
          <w:pStyle w:val="Footer"/>
          <w:jc w:val="right"/>
        </w:pPr>
        <w:r>
          <w:fldChar w:fldCharType="begin"/>
        </w:r>
        <w:r>
          <w:instrText xml:space="preserve"> PAGE   \* MERGEFORMAT </w:instrText>
        </w:r>
        <w:r>
          <w:fldChar w:fldCharType="separate"/>
        </w:r>
        <w:r w:rsidR="0045596A">
          <w:rPr>
            <w:noProof/>
          </w:rPr>
          <w:t>1</w:t>
        </w:r>
        <w:r>
          <w:rPr>
            <w:noProof/>
          </w:rPr>
          <w:fldChar w:fldCharType="end"/>
        </w:r>
      </w:p>
    </w:sdtContent>
  </w:sdt>
  <w:p w14:paraId="3C603179" w14:textId="269D2772" w:rsidR="006407EE" w:rsidRDefault="006407EE">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40703"/>
      <w:docPartObj>
        <w:docPartGallery w:val="Page Numbers (Bottom of Page)"/>
        <w:docPartUnique/>
      </w:docPartObj>
    </w:sdtPr>
    <w:sdtEndPr>
      <w:rPr>
        <w:noProof/>
      </w:rPr>
    </w:sdtEndPr>
    <w:sdtContent>
      <w:p w14:paraId="6769981F" w14:textId="4C838F6F" w:rsidR="006407EE" w:rsidRDefault="006407EE">
        <w:pPr>
          <w:pStyle w:val="Footer"/>
          <w:jc w:val="right"/>
        </w:pPr>
        <w:r>
          <w:fldChar w:fldCharType="begin"/>
        </w:r>
        <w:r>
          <w:instrText xml:space="preserve"> PAGE   \* MERGEFORMAT </w:instrText>
        </w:r>
        <w:r>
          <w:fldChar w:fldCharType="separate"/>
        </w:r>
        <w:r w:rsidR="0045596A">
          <w:rPr>
            <w:noProof/>
          </w:rPr>
          <w:t>19</w:t>
        </w:r>
        <w:r>
          <w:rPr>
            <w:noProof/>
          </w:rPr>
          <w:fldChar w:fldCharType="end"/>
        </w:r>
      </w:p>
    </w:sdtContent>
  </w:sdt>
  <w:p w14:paraId="5AE504E2" w14:textId="77777777" w:rsidR="006407EE" w:rsidRDefault="00640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27781"/>
      <w:docPartObj>
        <w:docPartGallery w:val="Page Numbers (Bottom of Page)"/>
        <w:docPartUnique/>
      </w:docPartObj>
    </w:sdtPr>
    <w:sdtEndPr>
      <w:rPr>
        <w:noProof/>
      </w:rPr>
    </w:sdtEndPr>
    <w:sdtContent>
      <w:p w14:paraId="4239D5D3" w14:textId="05CA3814" w:rsidR="006407EE" w:rsidRDefault="006407EE">
        <w:pPr>
          <w:pStyle w:val="Footer"/>
          <w:jc w:val="right"/>
        </w:pPr>
        <w:r>
          <w:fldChar w:fldCharType="begin"/>
        </w:r>
        <w:r>
          <w:instrText xml:space="preserve"> PAGE   \* MERGEFORMAT </w:instrText>
        </w:r>
        <w:r>
          <w:fldChar w:fldCharType="separate"/>
        </w:r>
        <w:r w:rsidR="0045596A">
          <w:rPr>
            <w:noProof/>
          </w:rPr>
          <w:t>85</w:t>
        </w:r>
        <w:r>
          <w:rPr>
            <w:noProof/>
          </w:rPr>
          <w:fldChar w:fldCharType="end"/>
        </w:r>
      </w:p>
    </w:sdtContent>
  </w:sdt>
  <w:p w14:paraId="3FCCDD63" w14:textId="77777777" w:rsidR="006407EE" w:rsidRDefault="006407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03707"/>
      <w:docPartObj>
        <w:docPartGallery w:val="Page Numbers (Bottom of Page)"/>
        <w:docPartUnique/>
      </w:docPartObj>
    </w:sdtPr>
    <w:sdtEndPr>
      <w:rPr>
        <w:noProof/>
      </w:rPr>
    </w:sdtEndPr>
    <w:sdtContent>
      <w:p w14:paraId="7DAB7006" w14:textId="2DEABC5E" w:rsidR="006407EE" w:rsidRDefault="006407EE">
        <w:pPr>
          <w:pStyle w:val="Footer"/>
          <w:jc w:val="right"/>
        </w:pPr>
        <w:r>
          <w:fldChar w:fldCharType="begin"/>
        </w:r>
        <w:r>
          <w:instrText xml:space="preserve"> PAGE   \* MERGEFORMAT </w:instrText>
        </w:r>
        <w:r>
          <w:fldChar w:fldCharType="separate"/>
        </w:r>
        <w:r w:rsidR="0045596A">
          <w:rPr>
            <w:noProof/>
          </w:rPr>
          <w:t>161</w:t>
        </w:r>
        <w:r>
          <w:rPr>
            <w:noProof/>
          </w:rPr>
          <w:fldChar w:fldCharType="end"/>
        </w:r>
      </w:p>
    </w:sdtContent>
  </w:sdt>
  <w:p w14:paraId="34F5933C" w14:textId="77777777" w:rsidR="006407EE" w:rsidRDefault="006407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94107"/>
      <w:docPartObj>
        <w:docPartGallery w:val="Page Numbers (Bottom of Page)"/>
        <w:docPartUnique/>
      </w:docPartObj>
    </w:sdtPr>
    <w:sdtEndPr>
      <w:rPr>
        <w:noProof/>
      </w:rPr>
    </w:sdtEndPr>
    <w:sdtContent>
      <w:p w14:paraId="3D4C6DE8" w14:textId="1CBCEBA5" w:rsidR="006407EE" w:rsidRDefault="006407EE">
        <w:pPr>
          <w:pStyle w:val="Footer"/>
          <w:jc w:val="right"/>
        </w:pPr>
        <w:r>
          <w:fldChar w:fldCharType="begin"/>
        </w:r>
        <w:r>
          <w:instrText xml:space="preserve"> PAGE   \* MERGEFORMAT </w:instrText>
        </w:r>
        <w:r>
          <w:fldChar w:fldCharType="separate"/>
        </w:r>
        <w:r w:rsidR="0045596A">
          <w:rPr>
            <w:noProof/>
          </w:rPr>
          <w:t>449</w:t>
        </w:r>
        <w:r>
          <w:rPr>
            <w:noProof/>
          </w:rPr>
          <w:fldChar w:fldCharType="end"/>
        </w:r>
      </w:p>
    </w:sdtContent>
  </w:sdt>
  <w:p w14:paraId="38212F1B" w14:textId="77777777" w:rsidR="006407EE" w:rsidRDefault="0064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E588C" w14:textId="77777777" w:rsidR="004F2FDB" w:rsidRDefault="004F2FDB" w:rsidP="00663BFC">
      <w:pPr>
        <w:spacing w:after="0" w:line="240" w:lineRule="auto"/>
      </w:pPr>
      <w:r>
        <w:separator/>
      </w:r>
    </w:p>
    <w:p w14:paraId="1647B506" w14:textId="77777777" w:rsidR="004F2FDB" w:rsidRDefault="004F2FDB"/>
  </w:footnote>
  <w:footnote w:type="continuationSeparator" w:id="0">
    <w:p w14:paraId="6FF6B6F7" w14:textId="77777777" w:rsidR="004F2FDB" w:rsidRDefault="004F2FDB" w:rsidP="00663BFC">
      <w:pPr>
        <w:spacing w:after="0" w:line="240" w:lineRule="auto"/>
      </w:pPr>
      <w:r>
        <w:continuationSeparator/>
      </w:r>
    </w:p>
    <w:p w14:paraId="66D61305" w14:textId="77777777" w:rsidR="004F2FDB" w:rsidRDefault="004F2F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5400" w14:textId="047FE894" w:rsidR="006407EE" w:rsidRDefault="006407EE" w:rsidP="004979A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4522" w14:textId="77777777" w:rsidR="006407EE" w:rsidRPr="005E5BA0" w:rsidRDefault="006407EE">
    <w:pPr>
      <w:pStyle w:val="Header"/>
      <w:jc w:val="right"/>
      <w:rPr>
        <w:rFonts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AA16" w14:textId="272CE570" w:rsidR="006407EE" w:rsidRPr="005E5BA0" w:rsidRDefault="006407EE">
    <w:pPr>
      <w:pStyle w:val="Header"/>
      <w:jc w:val="right"/>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BBF"/>
    <w:multiLevelType w:val="hybridMultilevel"/>
    <w:tmpl w:val="09569970"/>
    <w:lvl w:ilvl="0" w:tplc="448C315C">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B35F3"/>
    <w:multiLevelType w:val="hybridMultilevel"/>
    <w:tmpl w:val="C36240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8872E6"/>
    <w:multiLevelType w:val="hybridMultilevel"/>
    <w:tmpl w:val="6CE04172"/>
    <w:lvl w:ilvl="0" w:tplc="08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4667A6"/>
    <w:multiLevelType w:val="hybridMultilevel"/>
    <w:tmpl w:val="74649EF4"/>
    <w:lvl w:ilvl="0" w:tplc="08090001">
      <w:start w:val="1"/>
      <w:numFmt w:val="bullet"/>
      <w:lvlText w:val=""/>
      <w:lvlJc w:val="left"/>
      <w:pPr>
        <w:ind w:left="720" w:hanging="360"/>
      </w:pPr>
      <w:rPr>
        <w:rFonts w:ascii="Symbol" w:hAnsi="Symbol" w:hint="default"/>
      </w:rPr>
    </w:lvl>
    <w:lvl w:ilvl="1" w:tplc="B06EDBDA">
      <w:numFmt w:val="bullet"/>
      <w:lvlText w:val="-"/>
      <w:lvlJc w:val="left"/>
      <w:pPr>
        <w:ind w:left="1440" w:hanging="360"/>
      </w:pPr>
      <w:rPr>
        <w:rFonts w:ascii="Calibri" w:eastAsiaTheme="minorHAnsi" w:hAnsi="Calibri" w:cstheme="minorBidi"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F4D3D"/>
    <w:multiLevelType w:val="hybridMultilevel"/>
    <w:tmpl w:val="D90636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076CF0"/>
    <w:multiLevelType w:val="hybridMultilevel"/>
    <w:tmpl w:val="E62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B032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C7762C"/>
    <w:multiLevelType w:val="hybridMultilevel"/>
    <w:tmpl w:val="9CF4ABD6"/>
    <w:lvl w:ilvl="0" w:tplc="9516D37C">
      <w:start w:val="1"/>
      <w:numFmt w:val="decimal"/>
      <w:lvlText w:val="%1."/>
      <w:lvlJc w:val="left"/>
      <w:pPr>
        <w:ind w:left="2160" w:hanging="360"/>
      </w:pPr>
      <w:rPr>
        <w:rFonts w:hint="default"/>
      </w:r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CC51517"/>
    <w:multiLevelType w:val="hybridMultilevel"/>
    <w:tmpl w:val="016CE1CC"/>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0CCF2589"/>
    <w:multiLevelType w:val="multilevel"/>
    <w:tmpl w:val="9816FBE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A0BF6"/>
    <w:multiLevelType w:val="multilevel"/>
    <w:tmpl w:val="0409001D"/>
    <w:numStyleLink w:val="Singlepunch"/>
  </w:abstractNum>
  <w:abstractNum w:abstractNumId="11" w15:restartNumberingAfterBreak="0">
    <w:nsid w:val="0EB027FC"/>
    <w:multiLevelType w:val="hybridMultilevel"/>
    <w:tmpl w:val="6CE04172"/>
    <w:lvl w:ilvl="0" w:tplc="08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22D05EB"/>
    <w:multiLevelType w:val="hybridMultilevel"/>
    <w:tmpl w:val="EB00216E"/>
    <w:lvl w:ilvl="0" w:tplc="9516D37C">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26A2043"/>
    <w:multiLevelType w:val="hybridMultilevel"/>
    <w:tmpl w:val="B83A1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66A09"/>
    <w:multiLevelType w:val="hybridMultilevel"/>
    <w:tmpl w:val="3C944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FD274E"/>
    <w:multiLevelType w:val="hybridMultilevel"/>
    <w:tmpl w:val="0B528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244C6E"/>
    <w:multiLevelType w:val="hybridMultilevel"/>
    <w:tmpl w:val="016CE1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C5B75D3"/>
    <w:multiLevelType w:val="hybridMultilevel"/>
    <w:tmpl w:val="43F47A3E"/>
    <w:lvl w:ilvl="0" w:tplc="AE9650F6">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6B1470"/>
    <w:multiLevelType w:val="hybridMultilevel"/>
    <w:tmpl w:val="298677F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BA5CE5"/>
    <w:multiLevelType w:val="hybridMultilevel"/>
    <w:tmpl w:val="3488B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340C4"/>
    <w:multiLevelType w:val="hybridMultilevel"/>
    <w:tmpl w:val="D3FCE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3E1E74"/>
    <w:multiLevelType w:val="hybridMultilevel"/>
    <w:tmpl w:val="A6CC4F1E"/>
    <w:lvl w:ilvl="0" w:tplc="4C720A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C67199"/>
    <w:multiLevelType w:val="hybridMultilevel"/>
    <w:tmpl w:val="7E1EE296"/>
    <w:lvl w:ilvl="0" w:tplc="2E90C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FE58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3B5850"/>
    <w:multiLevelType w:val="hybridMultilevel"/>
    <w:tmpl w:val="81DC4496"/>
    <w:lvl w:ilvl="0" w:tplc="6BC86AB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D0121E"/>
    <w:multiLevelType w:val="hybridMultilevel"/>
    <w:tmpl w:val="82FA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8E1CE2"/>
    <w:multiLevelType w:val="multilevel"/>
    <w:tmpl w:val="0409001D"/>
    <w:numStyleLink w:val="Multipunch"/>
  </w:abstractNum>
  <w:abstractNum w:abstractNumId="27" w15:restartNumberingAfterBreak="0">
    <w:nsid w:val="29001076"/>
    <w:multiLevelType w:val="hybridMultilevel"/>
    <w:tmpl w:val="7570D4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A1356F6"/>
    <w:multiLevelType w:val="hybridMultilevel"/>
    <w:tmpl w:val="A816D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175FAE"/>
    <w:multiLevelType w:val="hybridMultilevel"/>
    <w:tmpl w:val="CEE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591DCE"/>
    <w:multiLevelType w:val="hybridMultilevel"/>
    <w:tmpl w:val="3296F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0C1226C"/>
    <w:multiLevelType w:val="hybridMultilevel"/>
    <w:tmpl w:val="A5E03240"/>
    <w:lvl w:ilvl="0" w:tplc="0D002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E5523B"/>
    <w:multiLevelType w:val="hybridMultilevel"/>
    <w:tmpl w:val="683881EC"/>
    <w:lvl w:ilvl="0" w:tplc="0D002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2C0BF9"/>
    <w:multiLevelType w:val="hybridMultilevel"/>
    <w:tmpl w:val="7CD096D2"/>
    <w:lvl w:ilvl="0" w:tplc="5E207A3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3D10E12"/>
    <w:multiLevelType w:val="hybridMultilevel"/>
    <w:tmpl w:val="0546CCD0"/>
    <w:lvl w:ilvl="0" w:tplc="9516D37C">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4276A8B"/>
    <w:multiLevelType w:val="hybridMultilevel"/>
    <w:tmpl w:val="4BB6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090BA1"/>
    <w:multiLevelType w:val="hybridMultilevel"/>
    <w:tmpl w:val="83422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FD1668"/>
    <w:multiLevelType w:val="hybridMultilevel"/>
    <w:tmpl w:val="88BAECE6"/>
    <w:lvl w:ilvl="0" w:tplc="5DDC49E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E058B6"/>
    <w:multiLevelType w:val="hybridMultilevel"/>
    <w:tmpl w:val="81C86C4C"/>
    <w:lvl w:ilvl="0" w:tplc="0809000F">
      <w:start w:val="1"/>
      <w:numFmt w:val="decimal"/>
      <w:lvlText w:val="%1."/>
      <w:lvlJc w:val="left"/>
      <w:pPr>
        <w:ind w:left="720" w:hanging="360"/>
      </w:pPr>
    </w:lvl>
    <w:lvl w:ilvl="1" w:tplc="1214C964">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1B0351"/>
    <w:multiLevelType w:val="hybridMultilevel"/>
    <w:tmpl w:val="C8A8497C"/>
    <w:lvl w:ilvl="0" w:tplc="B06EDB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D505E0"/>
    <w:multiLevelType w:val="multilevel"/>
    <w:tmpl w:val="2674B77C"/>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E15B22"/>
    <w:multiLevelType w:val="hybridMultilevel"/>
    <w:tmpl w:val="CAF0D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F528F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1F91EEE"/>
    <w:multiLevelType w:val="hybridMultilevel"/>
    <w:tmpl w:val="8F5AF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1617CF"/>
    <w:multiLevelType w:val="multilevel"/>
    <w:tmpl w:val="B546AC44"/>
    <w:lvl w:ilvl="0">
      <w:start w:val="5"/>
      <w:numFmt w:val="decimal"/>
      <w:lvlText w:val="%1."/>
      <w:lvlJc w:val="left"/>
      <w:pPr>
        <w:ind w:left="2160" w:hanging="360"/>
      </w:pPr>
      <w:rPr>
        <w:rFonts w:hint="default"/>
      </w:rPr>
    </w:lvl>
    <w:lvl w:ilvl="1">
      <w:start w:val="6"/>
      <w:numFmt w:val="decimal"/>
      <w:isLgl/>
      <w:lvlText w:val="%1.%2"/>
      <w:lvlJc w:val="left"/>
      <w:pPr>
        <w:ind w:left="2400" w:hanging="60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6" w15:restartNumberingAfterBreak="0">
    <w:nsid w:val="4650339F"/>
    <w:multiLevelType w:val="hybridMultilevel"/>
    <w:tmpl w:val="BE7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9748EA"/>
    <w:multiLevelType w:val="hybridMultilevel"/>
    <w:tmpl w:val="124062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6A736BE"/>
    <w:multiLevelType w:val="hybridMultilevel"/>
    <w:tmpl w:val="683881EC"/>
    <w:lvl w:ilvl="0" w:tplc="0D002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D32442"/>
    <w:multiLevelType w:val="hybridMultilevel"/>
    <w:tmpl w:val="6A06FD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841210B"/>
    <w:multiLevelType w:val="hybridMultilevel"/>
    <w:tmpl w:val="AEF69598"/>
    <w:lvl w:ilvl="0" w:tplc="91D873BE">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996CBB"/>
    <w:multiLevelType w:val="hybridMultilevel"/>
    <w:tmpl w:val="1CFC5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AFB4981"/>
    <w:multiLevelType w:val="hybridMultilevel"/>
    <w:tmpl w:val="1F00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E0C59A1"/>
    <w:multiLevelType w:val="hybridMultilevel"/>
    <w:tmpl w:val="40989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8C7B6D"/>
    <w:multiLevelType w:val="hybridMultilevel"/>
    <w:tmpl w:val="683881EC"/>
    <w:lvl w:ilvl="0" w:tplc="0D002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2CD39E6"/>
    <w:multiLevelType w:val="hybridMultilevel"/>
    <w:tmpl w:val="3670D164"/>
    <w:lvl w:ilvl="0" w:tplc="3D72907A">
      <w:start w:val="1"/>
      <w:numFmt w:val="bullet"/>
      <w:lvlText w:val=""/>
      <w:lvlJc w:val="left"/>
      <w:pPr>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0C42EF"/>
    <w:multiLevelType w:val="multilevel"/>
    <w:tmpl w:val="9816FBE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5C824B3"/>
    <w:multiLevelType w:val="hybridMultilevel"/>
    <w:tmpl w:val="3B5245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84E7D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ADC75A0"/>
    <w:multiLevelType w:val="hybridMultilevel"/>
    <w:tmpl w:val="76201404"/>
    <w:lvl w:ilvl="0" w:tplc="9516D37C">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5C1E2535"/>
    <w:multiLevelType w:val="hybridMultilevel"/>
    <w:tmpl w:val="02DA9F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0D4615"/>
    <w:multiLevelType w:val="hybridMultilevel"/>
    <w:tmpl w:val="298677F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629C4E0A"/>
    <w:multiLevelType w:val="hybridMultilevel"/>
    <w:tmpl w:val="1B44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B5001B"/>
    <w:multiLevelType w:val="hybridMultilevel"/>
    <w:tmpl w:val="1230FDC0"/>
    <w:lvl w:ilvl="0" w:tplc="43D6FE3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6D790769"/>
    <w:multiLevelType w:val="hybridMultilevel"/>
    <w:tmpl w:val="D51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FA5F05"/>
    <w:multiLevelType w:val="hybridMultilevel"/>
    <w:tmpl w:val="88BAECE6"/>
    <w:lvl w:ilvl="0" w:tplc="5DDC49E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702AD8"/>
    <w:multiLevelType w:val="hybridMultilevel"/>
    <w:tmpl w:val="D10444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B1056A3"/>
    <w:multiLevelType w:val="hybridMultilevel"/>
    <w:tmpl w:val="683881EC"/>
    <w:lvl w:ilvl="0" w:tplc="0D002F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C8F4EEE"/>
    <w:multiLevelType w:val="hybridMultilevel"/>
    <w:tmpl w:val="016CE1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C9B0823"/>
    <w:multiLevelType w:val="hybridMultilevel"/>
    <w:tmpl w:val="B90A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CE2E56"/>
    <w:multiLevelType w:val="hybridMultilevel"/>
    <w:tmpl w:val="ACB070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E642833"/>
    <w:multiLevelType w:val="multilevel"/>
    <w:tmpl w:val="08090029"/>
    <w:lvl w:ilvl="0">
      <w:start w:val="1"/>
      <w:numFmt w:val="decimal"/>
      <w:pStyle w:val="Heading1"/>
      <w:suff w:val="space"/>
      <w:lvlText w:val="Chapter %1"/>
      <w:lvlJc w:val="left"/>
      <w:pPr>
        <w:ind w:left="1985"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3" w15:restartNumberingAfterBreak="0">
    <w:nsid w:val="7F7877B3"/>
    <w:multiLevelType w:val="hybridMultilevel"/>
    <w:tmpl w:val="D90636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7F8A28CF"/>
    <w:multiLevelType w:val="hybridMultilevel"/>
    <w:tmpl w:val="16B22A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57"/>
  </w:num>
  <w:num w:numId="3">
    <w:abstractNumId w:val="40"/>
  </w:num>
  <w:num w:numId="4">
    <w:abstractNumId w:val="61"/>
  </w:num>
  <w:num w:numId="5">
    <w:abstractNumId w:val="20"/>
  </w:num>
  <w:num w:numId="6">
    <w:abstractNumId w:val="65"/>
  </w:num>
  <w:num w:numId="7">
    <w:abstractNumId w:val="3"/>
  </w:num>
  <w:num w:numId="8">
    <w:abstractNumId w:val="50"/>
  </w:num>
  <w:num w:numId="9">
    <w:abstractNumId w:val="36"/>
  </w:num>
  <w:num w:numId="10">
    <w:abstractNumId w:val="30"/>
  </w:num>
  <w:num w:numId="11">
    <w:abstractNumId w:val="13"/>
  </w:num>
  <w:num w:numId="12">
    <w:abstractNumId w:val="73"/>
  </w:num>
  <w:num w:numId="13">
    <w:abstractNumId w:val="4"/>
  </w:num>
  <w:num w:numId="14">
    <w:abstractNumId w:val="34"/>
  </w:num>
  <w:num w:numId="15">
    <w:abstractNumId w:val="14"/>
  </w:num>
  <w:num w:numId="16">
    <w:abstractNumId w:val="39"/>
  </w:num>
  <w:num w:numId="17">
    <w:abstractNumId w:val="41"/>
  </w:num>
  <w:num w:numId="18">
    <w:abstractNumId w:val="59"/>
  </w:num>
  <w:num w:numId="19">
    <w:abstractNumId w:val="49"/>
  </w:num>
  <w:num w:numId="20">
    <w:abstractNumId w:val="25"/>
  </w:num>
  <w:num w:numId="21">
    <w:abstractNumId w:val="54"/>
  </w:num>
  <w:num w:numId="22">
    <w:abstractNumId w:val="51"/>
  </w:num>
  <w:num w:numId="23">
    <w:abstractNumId w:val="70"/>
  </w:num>
  <w:num w:numId="24">
    <w:abstractNumId w:val="58"/>
  </w:num>
  <w:num w:numId="25">
    <w:abstractNumId w:val="31"/>
  </w:num>
  <w:num w:numId="26">
    <w:abstractNumId w:val="37"/>
  </w:num>
  <w:num w:numId="27">
    <w:abstractNumId w:val="46"/>
  </w:num>
  <w:num w:numId="28">
    <w:abstractNumId w:val="63"/>
  </w:num>
  <w:num w:numId="29">
    <w:abstractNumId w:val="42"/>
  </w:num>
  <w:num w:numId="30">
    <w:abstractNumId w:val="28"/>
  </w:num>
  <w:num w:numId="31">
    <w:abstractNumId w:val="15"/>
  </w:num>
  <w:num w:numId="32">
    <w:abstractNumId w:val="53"/>
  </w:num>
  <w:num w:numId="33">
    <w:abstractNumId w:val="44"/>
  </w:num>
  <w:num w:numId="34">
    <w:abstractNumId w:val="5"/>
  </w:num>
  <w:num w:numId="35">
    <w:abstractNumId w:val="19"/>
  </w:num>
  <w:num w:numId="36">
    <w:abstractNumId w:val="12"/>
  </w:num>
  <w:num w:numId="37">
    <w:abstractNumId w:val="67"/>
  </w:num>
  <w:num w:numId="38">
    <w:abstractNumId w:val="35"/>
  </w:num>
  <w:num w:numId="39">
    <w:abstractNumId w:val="7"/>
  </w:num>
  <w:num w:numId="40">
    <w:abstractNumId w:val="27"/>
  </w:num>
  <w:num w:numId="41">
    <w:abstractNumId w:val="45"/>
  </w:num>
  <w:num w:numId="42">
    <w:abstractNumId w:val="47"/>
  </w:num>
  <w:num w:numId="43">
    <w:abstractNumId w:val="60"/>
  </w:num>
  <w:num w:numId="44">
    <w:abstractNumId w:val="0"/>
  </w:num>
  <w:num w:numId="45">
    <w:abstractNumId w:val="72"/>
  </w:num>
  <w:num w:numId="46">
    <w:abstractNumId w:val="72"/>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9"/>
  </w:num>
  <w:num w:numId="50">
    <w:abstractNumId w:val="26"/>
  </w:num>
  <w:num w:numId="51">
    <w:abstractNumId w:val="52"/>
  </w:num>
  <w:num w:numId="52">
    <w:abstractNumId w:val="10"/>
  </w:num>
  <w:num w:numId="53">
    <w:abstractNumId w:val="17"/>
  </w:num>
  <w:num w:numId="54">
    <w:abstractNumId w:val="24"/>
  </w:num>
  <w:num w:numId="55">
    <w:abstractNumId w:val="38"/>
  </w:num>
  <w:num w:numId="56">
    <w:abstractNumId w:val="18"/>
  </w:num>
  <w:num w:numId="57">
    <w:abstractNumId w:val="11"/>
  </w:num>
  <w:num w:numId="58">
    <w:abstractNumId w:val="2"/>
  </w:num>
  <w:num w:numId="59">
    <w:abstractNumId w:val="21"/>
  </w:num>
  <w:num w:numId="60">
    <w:abstractNumId w:val="43"/>
  </w:num>
  <w:num w:numId="61">
    <w:abstractNumId w:val="22"/>
  </w:num>
  <w:num w:numId="62">
    <w:abstractNumId w:val="66"/>
  </w:num>
  <w:num w:numId="63">
    <w:abstractNumId w:val="23"/>
  </w:num>
  <w:num w:numId="64">
    <w:abstractNumId w:val="8"/>
  </w:num>
  <w:num w:numId="65">
    <w:abstractNumId w:val="69"/>
  </w:num>
  <w:num w:numId="66">
    <w:abstractNumId w:val="33"/>
  </w:num>
  <w:num w:numId="67">
    <w:abstractNumId w:val="1"/>
  </w:num>
  <w:num w:numId="68">
    <w:abstractNumId w:val="71"/>
  </w:num>
  <w:num w:numId="69">
    <w:abstractNumId w:val="68"/>
  </w:num>
  <w:num w:numId="70">
    <w:abstractNumId w:val="16"/>
  </w:num>
  <w:num w:numId="71">
    <w:abstractNumId w:val="55"/>
  </w:num>
  <w:num w:numId="72">
    <w:abstractNumId w:val="62"/>
  </w:num>
  <w:num w:numId="73">
    <w:abstractNumId w:val="64"/>
  </w:num>
  <w:num w:numId="74">
    <w:abstractNumId w:val="48"/>
  </w:num>
  <w:num w:numId="75">
    <w:abstractNumId w:val="32"/>
  </w:num>
  <w:num w:numId="76">
    <w:abstractNumId w:val="74"/>
  </w:num>
  <w:num w:numId="77">
    <w:abstractNumId w:val="5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loe">
    <w15:presenceInfo w15:providerId="None" w15:userId="Chl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E"/>
    <w:rsid w:val="00000175"/>
    <w:rsid w:val="00000AC7"/>
    <w:rsid w:val="00001C85"/>
    <w:rsid w:val="00004733"/>
    <w:rsid w:val="00004961"/>
    <w:rsid w:val="00006B00"/>
    <w:rsid w:val="00011741"/>
    <w:rsid w:val="000123BB"/>
    <w:rsid w:val="0001248C"/>
    <w:rsid w:val="00012EBB"/>
    <w:rsid w:val="00013D1D"/>
    <w:rsid w:val="00014111"/>
    <w:rsid w:val="00014BB2"/>
    <w:rsid w:val="00015B5B"/>
    <w:rsid w:val="00016900"/>
    <w:rsid w:val="000170BA"/>
    <w:rsid w:val="00020128"/>
    <w:rsid w:val="00021FA1"/>
    <w:rsid w:val="00023363"/>
    <w:rsid w:val="0002370C"/>
    <w:rsid w:val="00024CFD"/>
    <w:rsid w:val="0003056C"/>
    <w:rsid w:val="00030CE2"/>
    <w:rsid w:val="00032672"/>
    <w:rsid w:val="0003637E"/>
    <w:rsid w:val="00037E24"/>
    <w:rsid w:val="00041380"/>
    <w:rsid w:val="000428A4"/>
    <w:rsid w:val="0004441B"/>
    <w:rsid w:val="00046249"/>
    <w:rsid w:val="00047401"/>
    <w:rsid w:val="000513F9"/>
    <w:rsid w:val="000517DA"/>
    <w:rsid w:val="00056B71"/>
    <w:rsid w:val="00056D5F"/>
    <w:rsid w:val="00061394"/>
    <w:rsid w:val="00061811"/>
    <w:rsid w:val="0006639F"/>
    <w:rsid w:val="00071D9D"/>
    <w:rsid w:val="00074885"/>
    <w:rsid w:val="000765D5"/>
    <w:rsid w:val="0007671E"/>
    <w:rsid w:val="00077B96"/>
    <w:rsid w:val="00077D45"/>
    <w:rsid w:val="00077EE6"/>
    <w:rsid w:val="00091C43"/>
    <w:rsid w:val="00096D2F"/>
    <w:rsid w:val="00097211"/>
    <w:rsid w:val="00097590"/>
    <w:rsid w:val="000A1F88"/>
    <w:rsid w:val="000A4331"/>
    <w:rsid w:val="000A4A74"/>
    <w:rsid w:val="000A7E14"/>
    <w:rsid w:val="000B07DE"/>
    <w:rsid w:val="000B10E8"/>
    <w:rsid w:val="000B25F9"/>
    <w:rsid w:val="000B268A"/>
    <w:rsid w:val="000B625A"/>
    <w:rsid w:val="000B7FC2"/>
    <w:rsid w:val="000C0B7D"/>
    <w:rsid w:val="000C1E78"/>
    <w:rsid w:val="000C2901"/>
    <w:rsid w:val="000C534D"/>
    <w:rsid w:val="000C5A52"/>
    <w:rsid w:val="000C5B7D"/>
    <w:rsid w:val="000C648D"/>
    <w:rsid w:val="000C6F37"/>
    <w:rsid w:val="000C75A0"/>
    <w:rsid w:val="000C761D"/>
    <w:rsid w:val="000D167D"/>
    <w:rsid w:val="000D17AF"/>
    <w:rsid w:val="000D1D7A"/>
    <w:rsid w:val="000D2884"/>
    <w:rsid w:val="000D3166"/>
    <w:rsid w:val="000D5DB5"/>
    <w:rsid w:val="000E073B"/>
    <w:rsid w:val="000E090F"/>
    <w:rsid w:val="000E1A90"/>
    <w:rsid w:val="000E1DF9"/>
    <w:rsid w:val="000E2548"/>
    <w:rsid w:val="000E508C"/>
    <w:rsid w:val="000E5BEF"/>
    <w:rsid w:val="000E6E79"/>
    <w:rsid w:val="000F1279"/>
    <w:rsid w:val="000F2707"/>
    <w:rsid w:val="000F3CD8"/>
    <w:rsid w:val="000F407B"/>
    <w:rsid w:val="000F6465"/>
    <w:rsid w:val="000F7584"/>
    <w:rsid w:val="001027B1"/>
    <w:rsid w:val="001032C0"/>
    <w:rsid w:val="00103611"/>
    <w:rsid w:val="001054B9"/>
    <w:rsid w:val="00105AF6"/>
    <w:rsid w:val="0010704B"/>
    <w:rsid w:val="00110EA4"/>
    <w:rsid w:val="001117C6"/>
    <w:rsid w:val="0011321F"/>
    <w:rsid w:val="0011383A"/>
    <w:rsid w:val="001156F9"/>
    <w:rsid w:val="00115A9F"/>
    <w:rsid w:val="00122CD5"/>
    <w:rsid w:val="00123F4B"/>
    <w:rsid w:val="0012476D"/>
    <w:rsid w:val="00124CB1"/>
    <w:rsid w:val="0012583B"/>
    <w:rsid w:val="00126147"/>
    <w:rsid w:val="0012654F"/>
    <w:rsid w:val="001268B8"/>
    <w:rsid w:val="001359B7"/>
    <w:rsid w:val="00135C5A"/>
    <w:rsid w:val="00137275"/>
    <w:rsid w:val="00140AD4"/>
    <w:rsid w:val="001417D9"/>
    <w:rsid w:val="00141A00"/>
    <w:rsid w:val="00142F1A"/>
    <w:rsid w:val="00144D1E"/>
    <w:rsid w:val="001455BC"/>
    <w:rsid w:val="00145E54"/>
    <w:rsid w:val="00146F7F"/>
    <w:rsid w:val="001476BC"/>
    <w:rsid w:val="00147AEB"/>
    <w:rsid w:val="00150DE8"/>
    <w:rsid w:val="00153AD8"/>
    <w:rsid w:val="00154674"/>
    <w:rsid w:val="001607D6"/>
    <w:rsid w:val="0016094A"/>
    <w:rsid w:val="00161942"/>
    <w:rsid w:val="001647ED"/>
    <w:rsid w:val="00167720"/>
    <w:rsid w:val="00170C82"/>
    <w:rsid w:val="001724F5"/>
    <w:rsid w:val="00173051"/>
    <w:rsid w:val="001742A7"/>
    <w:rsid w:val="00174C7D"/>
    <w:rsid w:val="001751CD"/>
    <w:rsid w:val="00177AB6"/>
    <w:rsid w:val="00177CE7"/>
    <w:rsid w:val="00182B65"/>
    <w:rsid w:val="00185B7A"/>
    <w:rsid w:val="00186E37"/>
    <w:rsid w:val="00187274"/>
    <w:rsid w:val="0018754E"/>
    <w:rsid w:val="001925AB"/>
    <w:rsid w:val="001934DA"/>
    <w:rsid w:val="00193A28"/>
    <w:rsid w:val="00194B4D"/>
    <w:rsid w:val="001962F6"/>
    <w:rsid w:val="001A0398"/>
    <w:rsid w:val="001A3B87"/>
    <w:rsid w:val="001A4047"/>
    <w:rsid w:val="001A4620"/>
    <w:rsid w:val="001A4A65"/>
    <w:rsid w:val="001A55AB"/>
    <w:rsid w:val="001A5A2D"/>
    <w:rsid w:val="001A5A6A"/>
    <w:rsid w:val="001A6255"/>
    <w:rsid w:val="001A6E67"/>
    <w:rsid w:val="001A7152"/>
    <w:rsid w:val="001A7ECC"/>
    <w:rsid w:val="001B047C"/>
    <w:rsid w:val="001B10C8"/>
    <w:rsid w:val="001B135B"/>
    <w:rsid w:val="001B2B8F"/>
    <w:rsid w:val="001B3109"/>
    <w:rsid w:val="001B361B"/>
    <w:rsid w:val="001B614C"/>
    <w:rsid w:val="001B70D2"/>
    <w:rsid w:val="001C29E9"/>
    <w:rsid w:val="001C2E0D"/>
    <w:rsid w:val="001C4CA8"/>
    <w:rsid w:val="001C5844"/>
    <w:rsid w:val="001C6100"/>
    <w:rsid w:val="001D0234"/>
    <w:rsid w:val="001D1891"/>
    <w:rsid w:val="001D23B8"/>
    <w:rsid w:val="001D36B7"/>
    <w:rsid w:val="001D3BF3"/>
    <w:rsid w:val="001D3FFA"/>
    <w:rsid w:val="001D47FE"/>
    <w:rsid w:val="001D4A6C"/>
    <w:rsid w:val="001D71CC"/>
    <w:rsid w:val="001D7E1D"/>
    <w:rsid w:val="001E21F9"/>
    <w:rsid w:val="001E34B3"/>
    <w:rsid w:val="001E3731"/>
    <w:rsid w:val="001E551A"/>
    <w:rsid w:val="001E6C0D"/>
    <w:rsid w:val="001E7C75"/>
    <w:rsid w:val="001F1B49"/>
    <w:rsid w:val="001F36AE"/>
    <w:rsid w:val="001F452E"/>
    <w:rsid w:val="001F4D88"/>
    <w:rsid w:val="001F7B5D"/>
    <w:rsid w:val="00201410"/>
    <w:rsid w:val="0020383E"/>
    <w:rsid w:val="002111E4"/>
    <w:rsid w:val="0021262E"/>
    <w:rsid w:val="002137A6"/>
    <w:rsid w:val="00214A9A"/>
    <w:rsid w:val="0021584A"/>
    <w:rsid w:val="0021635E"/>
    <w:rsid w:val="00216A42"/>
    <w:rsid w:val="00216CB4"/>
    <w:rsid w:val="00220175"/>
    <w:rsid w:val="00220686"/>
    <w:rsid w:val="00223F7F"/>
    <w:rsid w:val="00224A1D"/>
    <w:rsid w:val="00224A95"/>
    <w:rsid w:val="0023061D"/>
    <w:rsid w:val="0023258D"/>
    <w:rsid w:val="00233DE8"/>
    <w:rsid w:val="00240CC7"/>
    <w:rsid w:val="002412D3"/>
    <w:rsid w:val="00241F48"/>
    <w:rsid w:val="00244654"/>
    <w:rsid w:val="00245789"/>
    <w:rsid w:val="00245A3D"/>
    <w:rsid w:val="00246617"/>
    <w:rsid w:val="00246D09"/>
    <w:rsid w:val="00246E1F"/>
    <w:rsid w:val="002512CD"/>
    <w:rsid w:val="00252E21"/>
    <w:rsid w:val="00253F8B"/>
    <w:rsid w:val="00254C61"/>
    <w:rsid w:val="00254E99"/>
    <w:rsid w:val="0025725F"/>
    <w:rsid w:val="00257BF8"/>
    <w:rsid w:val="0026038A"/>
    <w:rsid w:val="0026064C"/>
    <w:rsid w:val="00260855"/>
    <w:rsid w:val="002617DC"/>
    <w:rsid w:val="0026291D"/>
    <w:rsid w:val="00262E16"/>
    <w:rsid w:val="002650BD"/>
    <w:rsid w:val="002669D3"/>
    <w:rsid w:val="00267D94"/>
    <w:rsid w:val="002715F8"/>
    <w:rsid w:val="00273143"/>
    <w:rsid w:val="00274D37"/>
    <w:rsid w:val="00276830"/>
    <w:rsid w:val="002769DE"/>
    <w:rsid w:val="0028185A"/>
    <w:rsid w:val="002819BE"/>
    <w:rsid w:val="00285BE8"/>
    <w:rsid w:val="00285C31"/>
    <w:rsid w:val="00285D61"/>
    <w:rsid w:val="00286B61"/>
    <w:rsid w:val="00286F58"/>
    <w:rsid w:val="00291393"/>
    <w:rsid w:val="00292F99"/>
    <w:rsid w:val="00294347"/>
    <w:rsid w:val="00297E87"/>
    <w:rsid w:val="002A29D3"/>
    <w:rsid w:val="002B2DC1"/>
    <w:rsid w:val="002B4CC1"/>
    <w:rsid w:val="002B563E"/>
    <w:rsid w:val="002B5CCC"/>
    <w:rsid w:val="002B5F71"/>
    <w:rsid w:val="002C1683"/>
    <w:rsid w:val="002C3AD6"/>
    <w:rsid w:val="002C614D"/>
    <w:rsid w:val="002C6402"/>
    <w:rsid w:val="002C75D2"/>
    <w:rsid w:val="002D1FC6"/>
    <w:rsid w:val="002D5760"/>
    <w:rsid w:val="002D603D"/>
    <w:rsid w:val="002D645B"/>
    <w:rsid w:val="002E053D"/>
    <w:rsid w:val="002E19B0"/>
    <w:rsid w:val="002E261B"/>
    <w:rsid w:val="002E3034"/>
    <w:rsid w:val="002E555B"/>
    <w:rsid w:val="002F0BD6"/>
    <w:rsid w:val="002F1654"/>
    <w:rsid w:val="002F324B"/>
    <w:rsid w:val="002F70B2"/>
    <w:rsid w:val="002F7A10"/>
    <w:rsid w:val="0030093C"/>
    <w:rsid w:val="00301185"/>
    <w:rsid w:val="00304F42"/>
    <w:rsid w:val="00306721"/>
    <w:rsid w:val="00306D35"/>
    <w:rsid w:val="00313657"/>
    <w:rsid w:val="00313DB5"/>
    <w:rsid w:val="00315719"/>
    <w:rsid w:val="00317903"/>
    <w:rsid w:val="00317AFF"/>
    <w:rsid w:val="00317E5F"/>
    <w:rsid w:val="00323C3C"/>
    <w:rsid w:val="003268C4"/>
    <w:rsid w:val="0032699D"/>
    <w:rsid w:val="00327FA6"/>
    <w:rsid w:val="00330621"/>
    <w:rsid w:val="00330B05"/>
    <w:rsid w:val="00335FED"/>
    <w:rsid w:val="00337FEB"/>
    <w:rsid w:val="00340259"/>
    <w:rsid w:val="00340B9F"/>
    <w:rsid w:val="003419DA"/>
    <w:rsid w:val="00341F9C"/>
    <w:rsid w:val="003428DA"/>
    <w:rsid w:val="00343917"/>
    <w:rsid w:val="00343AEF"/>
    <w:rsid w:val="0034420E"/>
    <w:rsid w:val="00344359"/>
    <w:rsid w:val="003447C9"/>
    <w:rsid w:val="00344ABD"/>
    <w:rsid w:val="00344C58"/>
    <w:rsid w:val="00344E75"/>
    <w:rsid w:val="003474A8"/>
    <w:rsid w:val="00350233"/>
    <w:rsid w:val="00352863"/>
    <w:rsid w:val="0035358C"/>
    <w:rsid w:val="003539DC"/>
    <w:rsid w:val="00354E4A"/>
    <w:rsid w:val="003607C6"/>
    <w:rsid w:val="00360964"/>
    <w:rsid w:val="003614AE"/>
    <w:rsid w:val="00361B1F"/>
    <w:rsid w:val="00362078"/>
    <w:rsid w:val="0036281A"/>
    <w:rsid w:val="0036388C"/>
    <w:rsid w:val="00364213"/>
    <w:rsid w:val="00365155"/>
    <w:rsid w:val="003656D5"/>
    <w:rsid w:val="00365ED4"/>
    <w:rsid w:val="0036608A"/>
    <w:rsid w:val="00366ADE"/>
    <w:rsid w:val="00371F14"/>
    <w:rsid w:val="00372455"/>
    <w:rsid w:val="0037290A"/>
    <w:rsid w:val="00375F6E"/>
    <w:rsid w:val="00381852"/>
    <w:rsid w:val="003820E4"/>
    <w:rsid w:val="00386224"/>
    <w:rsid w:val="00386282"/>
    <w:rsid w:val="003874EC"/>
    <w:rsid w:val="003902F8"/>
    <w:rsid w:val="00391BAA"/>
    <w:rsid w:val="003941AA"/>
    <w:rsid w:val="003A2D21"/>
    <w:rsid w:val="003A3D66"/>
    <w:rsid w:val="003A6C3C"/>
    <w:rsid w:val="003A6E06"/>
    <w:rsid w:val="003B2481"/>
    <w:rsid w:val="003B5545"/>
    <w:rsid w:val="003C2F3A"/>
    <w:rsid w:val="003C42EE"/>
    <w:rsid w:val="003C52DD"/>
    <w:rsid w:val="003C5E3A"/>
    <w:rsid w:val="003C6D79"/>
    <w:rsid w:val="003D42D2"/>
    <w:rsid w:val="003D674B"/>
    <w:rsid w:val="003E0A98"/>
    <w:rsid w:val="003E2B88"/>
    <w:rsid w:val="003E4222"/>
    <w:rsid w:val="003E585B"/>
    <w:rsid w:val="003E5A44"/>
    <w:rsid w:val="003E687E"/>
    <w:rsid w:val="003F0CDB"/>
    <w:rsid w:val="003F2EA9"/>
    <w:rsid w:val="003F5AF9"/>
    <w:rsid w:val="003F64B9"/>
    <w:rsid w:val="003F7DFF"/>
    <w:rsid w:val="00401D34"/>
    <w:rsid w:val="00401FA0"/>
    <w:rsid w:val="0040445A"/>
    <w:rsid w:val="004051C1"/>
    <w:rsid w:val="00405B7D"/>
    <w:rsid w:val="004164D6"/>
    <w:rsid w:val="00417265"/>
    <w:rsid w:val="00417FA9"/>
    <w:rsid w:val="00420D4F"/>
    <w:rsid w:val="00421389"/>
    <w:rsid w:val="00422D06"/>
    <w:rsid w:val="00424FB6"/>
    <w:rsid w:val="00426A37"/>
    <w:rsid w:val="0042711D"/>
    <w:rsid w:val="004302F0"/>
    <w:rsid w:val="004333DD"/>
    <w:rsid w:val="004336E0"/>
    <w:rsid w:val="00434618"/>
    <w:rsid w:val="00435C78"/>
    <w:rsid w:val="00437123"/>
    <w:rsid w:val="0044051D"/>
    <w:rsid w:val="00443353"/>
    <w:rsid w:val="00445ED3"/>
    <w:rsid w:val="00447909"/>
    <w:rsid w:val="0045031E"/>
    <w:rsid w:val="00451A17"/>
    <w:rsid w:val="00452268"/>
    <w:rsid w:val="004525C3"/>
    <w:rsid w:val="0045596A"/>
    <w:rsid w:val="00461150"/>
    <w:rsid w:val="0046158B"/>
    <w:rsid w:val="00461A63"/>
    <w:rsid w:val="00462E63"/>
    <w:rsid w:val="004632BA"/>
    <w:rsid w:val="004653CE"/>
    <w:rsid w:val="00465EA5"/>
    <w:rsid w:val="00466978"/>
    <w:rsid w:val="00470AEA"/>
    <w:rsid w:val="0047124C"/>
    <w:rsid w:val="00475860"/>
    <w:rsid w:val="00482250"/>
    <w:rsid w:val="00482A11"/>
    <w:rsid w:val="00483831"/>
    <w:rsid w:val="004847BA"/>
    <w:rsid w:val="00485BA9"/>
    <w:rsid w:val="00485E1A"/>
    <w:rsid w:val="0048758F"/>
    <w:rsid w:val="004901C8"/>
    <w:rsid w:val="004924D3"/>
    <w:rsid w:val="00492A3F"/>
    <w:rsid w:val="0049362D"/>
    <w:rsid w:val="0049544F"/>
    <w:rsid w:val="004956D4"/>
    <w:rsid w:val="004956E3"/>
    <w:rsid w:val="004979A5"/>
    <w:rsid w:val="004A17E4"/>
    <w:rsid w:val="004A5019"/>
    <w:rsid w:val="004A6EE8"/>
    <w:rsid w:val="004B533F"/>
    <w:rsid w:val="004B62E7"/>
    <w:rsid w:val="004C08C1"/>
    <w:rsid w:val="004C2847"/>
    <w:rsid w:val="004C3CE6"/>
    <w:rsid w:val="004C3DFA"/>
    <w:rsid w:val="004C516B"/>
    <w:rsid w:val="004C54F0"/>
    <w:rsid w:val="004C5976"/>
    <w:rsid w:val="004C5CC7"/>
    <w:rsid w:val="004C61E4"/>
    <w:rsid w:val="004C7142"/>
    <w:rsid w:val="004D06ED"/>
    <w:rsid w:val="004D0A56"/>
    <w:rsid w:val="004D1109"/>
    <w:rsid w:val="004D4739"/>
    <w:rsid w:val="004D62A7"/>
    <w:rsid w:val="004E0430"/>
    <w:rsid w:val="004E2EED"/>
    <w:rsid w:val="004E47A5"/>
    <w:rsid w:val="004E76A9"/>
    <w:rsid w:val="004F27B4"/>
    <w:rsid w:val="004F2FDB"/>
    <w:rsid w:val="004F3005"/>
    <w:rsid w:val="004F4542"/>
    <w:rsid w:val="004F5D5E"/>
    <w:rsid w:val="004F5E29"/>
    <w:rsid w:val="004F75DE"/>
    <w:rsid w:val="00500A8A"/>
    <w:rsid w:val="005016CB"/>
    <w:rsid w:val="00501CFA"/>
    <w:rsid w:val="00503F28"/>
    <w:rsid w:val="0050576E"/>
    <w:rsid w:val="00506829"/>
    <w:rsid w:val="00506DA2"/>
    <w:rsid w:val="00510ECA"/>
    <w:rsid w:val="005118C7"/>
    <w:rsid w:val="00512B0F"/>
    <w:rsid w:val="005161A2"/>
    <w:rsid w:val="00520CCE"/>
    <w:rsid w:val="005215A3"/>
    <w:rsid w:val="00522302"/>
    <w:rsid w:val="005262E8"/>
    <w:rsid w:val="005315B7"/>
    <w:rsid w:val="005318F6"/>
    <w:rsid w:val="005319F7"/>
    <w:rsid w:val="005352B4"/>
    <w:rsid w:val="00536D84"/>
    <w:rsid w:val="0053778C"/>
    <w:rsid w:val="005432CC"/>
    <w:rsid w:val="00544BEF"/>
    <w:rsid w:val="00546743"/>
    <w:rsid w:val="00546C6B"/>
    <w:rsid w:val="0054724C"/>
    <w:rsid w:val="00547E89"/>
    <w:rsid w:val="0055082E"/>
    <w:rsid w:val="005515EA"/>
    <w:rsid w:val="0055551C"/>
    <w:rsid w:val="00555718"/>
    <w:rsid w:val="00555B7C"/>
    <w:rsid w:val="00555C45"/>
    <w:rsid w:val="00557369"/>
    <w:rsid w:val="0056536F"/>
    <w:rsid w:val="00570278"/>
    <w:rsid w:val="00571E44"/>
    <w:rsid w:val="005731FC"/>
    <w:rsid w:val="00577BF5"/>
    <w:rsid w:val="00583C18"/>
    <w:rsid w:val="00584A06"/>
    <w:rsid w:val="00585A11"/>
    <w:rsid w:val="0059040F"/>
    <w:rsid w:val="0059207F"/>
    <w:rsid w:val="005922FD"/>
    <w:rsid w:val="00592AA4"/>
    <w:rsid w:val="00592C38"/>
    <w:rsid w:val="0059381D"/>
    <w:rsid w:val="005A0ACE"/>
    <w:rsid w:val="005A318B"/>
    <w:rsid w:val="005A7DC6"/>
    <w:rsid w:val="005B08FE"/>
    <w:rsid w:val="005B0FEF"/>
    <w:rsid w:val="005B1758"/>
    <w:rsid w:val="005B2800"/>
    <w:rsid w:val="005B5BF9"/>
    <w:rsid w:val="005B79F7"/>
    <w:rsid w:val="005C0327"/>
    <w:rsid w:val="005C08BF"/>
    <w:rsid w:val="005C0A45"/>
    <w:rsid w:val="005C5D5B"/>
    <w:rsid w:val="005C6053"/>
    <w:rsid w:val="005C6706"/>
    <w:rsid w:val="005C7F23"/>
    <w:rsid w:val="005D1F03"/>
    <w:rsid w:val="005D2853"/>
    <w:rsid w:val="005D2A1D"/>
    <w:rsid w:val="005D3027"/>
    <w:rsid w:val="005D430A"/>
    <w:rsid w:val="005D4738"/>
    <w:rsid w:val="005D49F4"/>
    <w:rsid w:val="005E272C"/>
    <w:rsid w:val="005E2DD2"/>
    <w:rsid w:val="005E3E2E"/>
    <w:rsid w:val="005E438D"/>
    <w:rsid w:val="005E6D02"/>
    <w:rsid w:val="005E7FB3"/>
    <w:rsid w:val="005F181E"/>
    <w:rsid w:val="005F3E4E"/>
    <w:rsid w:val="005F5558"/>
    <w:rsid w:val="005F6293"/>
    <w:rsid w:val="005F79F6"/>
    <w:rsid w:val="0060127C"/>
    <w:rsid w:val="00601467"/>
    <w:rsid w:val="006054AE"/>
    <w:rsid w:val="006054BF"/>
    <w:rsid w:val="0060566C"/>
    <w:rsid w:val="00605A36"/>
    <w:rsid w:val="00606B76"/>
    <w:rsid w:val="0061459D"/>
    <w:rsid w:val="0061482C"/>
    <w:rsid w:val="0061557C"/>
    <w:rsid w:val="00616734"/>
    <w:rsid w:val="00616EE3"/>
    <w:rsid w:val="006221E9"/>
    <w:rsid w:val="00622BBE"/>
    <w:rsid w:val="006242FB"/>
    <w:rsid w:val="0062638B"/>
    <w:rsid w:val="0062721E"/>
    <w:rsid w:val="00627AB0"/>
    <w:rsid w:val="00632CAF"/>
    <w:rsid w:val="00632CFE"/>
    <w:rsid w:val="0063348E"/>
    <w:rsid w:val="00635DE7"/>
    <w:rsid w:val="0063799B"/>
    <w:rsid w:val="006407D4"/>
    <w:rsid w:val="006407EE"/>
    <w:rsid w:val="006411CB"/>
    <w:rsid w:val="0064440E"/>
    <w:rsid w:val="006444D6"/>
    <w:rsid w:val="00644709"/>
    <w:rsid w:val="00645B55"/>
    <w:rsid w:val="00645D91"/>
    <w:rsid w:val="0065163F"/>
    <w:rsid w:val="00651CA1"/>
    <w:rsid w:val="00652A82"/>
    <w:rsid w:val="00654558"/>
    <w:rsid w:val="00654DE7"/>
    <w:rsid w:val="006561CB"/>
    <w:rsid w:val="00656509"/>
    <w:rsid w:val="00656F0F"/>
    <w:rsid w:val="0066278A"/>
    <w:rsid w:val="00662C83"/>
    <w:rsid w:val="0066386D"/>
    <w:rsid w:val="00663BFC"/>
    <w:rsid w:val="00663FDE"/>
    <w:rsid w:val="00665D8C"/>
    <w:rsid w:val="006663E4"/>
    <w:rsid w:val="00672D1C"/>
    <w:rsid w:val="00672D5A"/>
    <w:rsid w:val="006739FD"/>
    <w:rsid w:val="0067618E"/>
    <w:rsid w:val="006766C2"/>
    <w:rsid w:val="00676CAB"/>
    <w:rsid w:val="00683CB4"/>
    <w:rsid w:val="006864C2"/>
    <w:rsid w:val="00694354"/>
    <w:rsid w:val="006945BA"/>
    <w:rsid w:val="00696152"/>
    <w:rsid w:val="00697B21"/>
    <w:rsid w:val="006A1900"/>
    <w:rsid w:val="006A2085"/>
    <w:rsid w:val="006A34A8"/>
    <w:rsid w:val="006A5049"/>
    <w:rsid w:val="006A5B28"/>
    <w:rsid w:val="006B073E"/>
    <w:rsid w:val="006B3274"/>
    <w:rsid w:val="006B5C6B"/>
    <w:rsid w:val="006B6E30"/>
    <w:rsid w:val="006C01ED"/>
    <w:rsid w:val="006C218E"/>
    <w:rsid w:val="006C59A6"/>
    <w:rsid w:val="006C7043"/>
    <w:rsid w:val="006D2299"/>
    <w:rsid w:val="006D33BA"/>
    <w:rsid w:val="006D5A15"/>
    <w:rsid w:val="006D6A45"/>
    <w:rsid w:val="006D7F06"/>
    <w:rsid w:val="006E1FF9"/>
    <w:rsid w:val="006E281C"/>
    <w:rsid w:val="006E4ED7"/>
    <w:rsid w:val="006E6BCC"/>
    <w:rsid w:val="006F2867"/>
    <w:rsid w:val="006F2AAA"/>
    <w:rsid w:val="006F33A7"/>
    <w:rsid w:val="006F3D33"/>
    <w:rsid w:val="006F4801"/>
    <w:rsid w:val="006F6BE1"/>
    <w:rsid w:val="006F71DD"/>
    <w:rsid w:val="0070237A"/>
    <w:rsid w:val="00711051"/>
    <w:rsid w:val="007164F7"/>
    <w:rsid w:val="00721036"/>
    <w:rsid w:val="00722565"/>
    <w:rsid w:val="00724164"/>
    <w:rsid w:val="007245DF"/>
    <w:rsid w:val="00724F44"/>
    <w:rsid w:val="00725D4D"/>
    <w:rsid w:val="00726388"/>
    <w:rsid w:val="00726BF9"/>
    <w:rsid w:val="00732F1C"/>
    <w:rsid w:val="00737CAE"/>
    <w:rsid w:val="00740BFA"/>
    <w:rsid w:val="0074268A"/>
    <w:rsid w:val="0074495A"/>
    <w:rsid w:val="00744A82"/>
    <w:rsid w:val="00751174"/>
    <w:rsid w:val="00751603"/>
    <w:rsid w:val="00754D64"/>
    <w:rsid w:val="00755EAB"/>
    <w:rsid w:val="00756473"/>
    <w:rsid w:val="0075705A"/>
    <w:rsid w:val="007624BE"/>
    <w:rsid w:val="00762B4E"/>
    <w:rsid w:val="00763550"/>
    <w:rsid w:val="00763B76"/>
    <w:rsid w:val="007654DB"/>
    <w:rsid w:val="00770CB3"/>
    <w:rsid w:val="00771B3D"/>
    <w:rsid w:val="007735A9"/>
    <w:rsid w:val="007779D3"/>
    <w:rsid w:val="00780C28"/>
    <w:rsid w:val="0078163A"/>
    <w:rsid w:val="00781C89"/>
    <w:rsid w:val="00783067"/>
    <w:rsid w:val="00783E09"/>
    <w:rsid w:val="00784FD1"/>
    <w:rsid w:val="0078616A"/>
    <w:rsid w:val="0079184C"/>
    <w:rsid w:val="00792D29"/>
    <w:rsid w:val="007944D4"/>
    <w:rsid w:val="007A1AE5"/>
    <w:rsid w:val="007A532E"/>
    <w:rsid w:val="007A5F30"/>
    <w:rsid w:val="007A73AD"/>
    <w:rsid w:val="007B3C0E"/>
    <w:rsid w:val="007B4612"/>
    <w:rsid w:val="007B7750"/>
    <w:rsid w:val="007C0175"/>
    <w:rsid w:val="007C03B0"/>
    <w:rsid w:val="007C2230"/>
    <w:rsid w:val="007C5941"/>
    <w:rsid w:val="007D0602"/>
    <w:rsid w:val="007D3FAA"/>
    <w:rsid w:val="007D633C"/>
    <w:rsid w:val="007D75FF"/>
    <w:rsid w:val="007E1449"/>
    <w:rsid w:val="007E207F"/>
    <w:rsid w:val="007E20CD"/>
    <w:rsid w:val="007E4890"/>
    <w:rsid w:val="007E4937"/>
    <w:rsid w:val="007E5597"/>
    <w:rsid w:val="007E67BA"/>
    <w:rsid w:val="007E6849"/>
    <w:rsid w:val="007E691C"/>
    <w:rsid w:val="007E6F49"/>
    <w:rsid w:val="007F03B7"/>
    <w:rsid w:val="007F43B3"/>
    <w:rsid w:val="007F65F4"/>
    <w:rsid w:val="00806BC5"/>
    <w:rsid w:val="00807876"/>
    <w:rsid w:val="0081094D"/>
    <w:rsid w:val="008111F5"/>
    <w:rsid w:val="00811FDA"/>
    <w:rsid w:val="0081213A"/>
    <w:rsid w:val="00814383"/>
    <w:rsid w:val="008143D2"/>
    <w:rsid w:val="00815DC7"/>
    <w:rsid w:val="00817860"/>
    <w:rsid w:val="00817A09"/>
    <w:rsid w:val="00823FE5"/>
    <w:rsid w:val="00831CCA"/>
    <w:rsid w:val="0083479A"/>
    <w:rsid w:val="0083512D"/>
    <w:rsid w:val="008404E3"/>
    <w:rsid w:val="00840AAD"/>
    <w:rsid w:val="00843E7E"/>
    <w:rsid w:val="00845D91"/>
    <w:rsid w:val="0084608E"/>
    <w:rsid w:val="00853FD9"/>
    <w:rsid w:val="0085447A"/>
    <w:rsid w:val="008549B5"/>
    <w:rsid w:val="00854B39"/>
    <w:rsid w:val="00855EE1"/>
    <w:rsid w:val="00856806"/>
    <w:rsid w:val="00857376"/>
    <w:rsid w:val="00857F64"/>
    <w:rsid w:val="00864664"/>
    <w:rsid w:val="00864A70"/>
    <w:rsid w:val="00865B3A"/>
    <w:rsid w:val="0086619D"/>
    <w:rsid w:val="00866FEA"/>
    <w:rsid w:val="0087001D"/>
    <w:rsid w:val="00870E20"/>
    <w:rsid w:val="00871D9F"/>
    <w:rsid w:val="00872217"/>
    <w:rsid w:val="0087323F"/>
    <w:rsid w:val="008778B1"/>
    <w:rsid w:val="00880F20"/>
    <w:rsid w:val="00881D71"/>
    <w:rsid w:val="00881DD5"/>
    <w:rsid w:val="00881F7F"/>
    <w:rsid w:val="00883D49"/>
    <w:rsid w:val="00885A86"/>
    <w:rsid w:val="0088671F"/>
    <w:rsid w:val="00886FF4"/>
    <w:rsid w:val="008873FB"/>
    <w:rsid w:val="00891B34"/>
    <w:rsid w:val="00891F1E"/>
    <w:rsid w:val="008924B2"/>
    <w:rsid w:val="008927E3"/>
    <w:rsid w:val="008931B4"/>
    <w:rsid w:val="00893A97"/>
    <w:rsid w:val="008A2809"/>
    <w:rsid w:val="008A65F7"/>
    <w:rsid w:val="008A7246"/>
    <w:rsid w:val="008B082F"/>
    <w:rsid w:val="008B28C6"/>
    <w:rsid w:val="008B2A20"/>
    <w:rsid w:val="008B3AA3"/>
    <w:rsid w:val="008B4F79"/>
    <w:rsid w:val="008B52AC"/>
    <w:rsid w:val="008B7738"/>
    <w:rsid w:val="008C28EE"/>
    <w:rsid w:val="008C4747"/>
    <w:rsid w:val="008D2B2D"/>
    <w:rsid w:val="008D4424"/>
    <w:rsid w:val="008D4504"/>
    <w:rsid w:val="008D687C"/>
    <w:rsid w:val="008D799C"/>
    <w:rsid w:val="008E0C1C"/>
    <w:rsid w:val="008E0EDB"/>
    <w:rsid w:val="008E0F5B"/>
    <w:rsid w:val="008E1CAB"/>
    <w:rsid w:val="008E208F"/>
    <w:rsid w:val="008E3912"/>
    <w:rsid w:val="008E3B36"/>
    <w:rsid w:val="008E62DF"/>
    <w:rsid w:val="008F0D1A"/>
    <w:rsid w:val="008F22CA"/>
    <w:rsid w:val="008F2B17"/>
    <w:rsid w:val="008F7D23"/>
    <w:rsid w:val="00902E3F"/>
    <w:rsid w:val="0090340D"/>
    <w:rsid w:val="009047D2"/>
    <w:rsid w:val="00910843"/>
    <w:rsid w:val="00911BC2"/>
    <w:rsid w:val="00916EEA"/>
    <w:rsid w:val="0092261F"/>
    <w:rsid w:val="00922B96"/>
    <w:rsid w:val="00922E8D"/>
    <w:rsid w:val="00923BF8"/>
    <w:rsid w:val="00925850"/>
    <w:rsid w:val="00926342"/>
    <w:rsid w:val="009267CB"/>
    <w:rsid w:val="0092681C"/>
    <w:rsid w:val="00926BDC"/>
    <w:rsid w:val="00926E5A"/>
    <w:rsid w:val="00927002"/>
    <w:rsid w:val="00927313"/>
    <w:rsid w:val="00930E7C"/>
    <w:rsid w:val="0093261C"/>
    <w:rsid w:val="00932C38"/>
    <w:rsid w:val="00934D0C"/>
    <w:rsid w:val="00936939"/>
    <w:rsid w:val="0094074B"/>
    <w:rsid w:val="00945CCE"/>
    <w:rsid w:val="0094657A"/>
    <w:rsid w:val="00950E84"/>
    <w:rsid w:val="009534DF"/>
    <w:rsid w:val="009537E3"/>
    <w:rsid w:val="00954DD1"/>
    <w:rsid w:val="00955F61"/>
    <w:rsid w:val="00956C23"/>
    <w:rsid w:val="00957911"/>
    <w:rsid w:val="009618EC"/>
    <w:rsid w:val="009621D9"/>
    <w:rsid w:val="00965D31"/>
    <w:rsid w:val="0096655F"/>
    <w:rsid w:val="00971D1A"/>
    <w:rsid w:val="009755A4"/>
    <w:rsid w:val="009755D2"/>
    <w:rsid w:val="009760B6"/>
    <w:rsid w:val="00976C8F"/>
    <w:rsid w:val="00976DA3"/>
    <w:rsid w:val="00977FE7"/>
    <w:rsid w:val="009805C6"/>
    <w:rsid w:val="00981DD9"/>
    <w:rsid w:val="009834FA"/>
    <w:rsid w:val="00985D66"/>
    <w:rsid w:val="009873E6"/>
    <w:rsid w:val="00987943"/>
    <w:rsid w:val="009925A8"/>
    <w:rsid w:val="0099263B"/>
    <w:rsid w:val="00992A39"/>
    <w:rsid w:val="0099536F"/>
    <w:rsid w:val="00997D65"/>
    <w:rsid w:val="009A0882"/>
    <w:rsid w:val="009A2887"/>
    <w:rsid w:val="009A29DA"/>
    <w:rsid w:val="009A63E8"/>
    <w:rsid w:val="009A68A0"/>
    <w:rsid w:val="009B07BF"/>
    <w:rsid w:val="009B0813"/>
    <w:rsid w:val="009B1F40"/>
    <w:rsid w:val="009B26FF"/>
    <w:rsid w:val="009B2A47"/>
    <w:rsid w:val="009B4A25"/>
    <w:rsid w:val="009B4B46"/>
    <w:rsid w:val="009B60C3"/>
    <w:rsid w:val="009C013F"/>
    <w:rsid w:val="009C2DF8"/>
    <w:rsid w:val="009C6C48"/>
    <w:rsid w:val="009D2144"/>
    <w:rsid w:val="009D2376"/>
    <w:rsid w:val="009E06DB"/>
    <w:rsid w:val="009E2252"/>
    <w:rsid w:val="009E4FC9"/>
    <w:rsid w:val="009E523E"/>
    <w:rsid w:val="009E6D1A"/>
    <w:rsid w:val="009F0973"/>
    <w:rsid w:val="009F308A"/>
    <w:rsid w:val="009F55C6"/>
    <w:rsid w:val="009F55F4"/>
    <w:rsid w:val="009F576D"/>
    <w:rsid w:val="009F6381"/>
    <w:rsid w:val="009F68F8"/>
    <w:rsid w:val="009F6E92"/>
    <w:rsid w:val="009F7196"/>
    <w:rsid w:val="00A00EC8"/>
    <w:rsid w:val="00A06548"/>
    <w:rsid w:val="00A069AD"/>
    <w:rsid w:val="00A10813"/>
    <w:rsid w:val="00A1146F"/>
    <w:rsid w:val="00A11DDB"/>
    <w:rsid w:val="00A12C4C"/>
    <w:rsid w:val="00A1578A"/>
    <w:rsid w:val="00A17363"/>
    <w:rsid w:val="00A174BE"/>
    <w:rsid w:val="00A201E6"/>
    <w:rsid w:val="00A2105F"/>
    <w:rsid w:val="00A2432A"/>
    <w:rsid w:val="00A24F79"/>
    <w:rsid w:val="00A26A08"/>
    <w:rsid w:val="00A2762A"/>
    <w:rsid w:val="00A325C7"/>
    <w:rsid w:val="00A33676"/>
    <w:rsid w:val="00A34CCD"/>
    <w:rsid w:val="00A357BF"/>
    <w:rsid w:val="00A4032D"/>
    <w:rsid w:val="00A4260F"/>
    <w:rsid w:val="00A42A1E"/>
    <w:rsid w:val="00A42D75"/>
    <w:rsid w:val="00A44121"/>
    <w:rsid w:val="00A4428C"/>
    <w:rsid w:val="00A47064"/>
    <w:rsid w:val="00A50EB1"/>
    <w:rsid w:val="00A52467"/>
    <w:rsid w:val="00A544DC"/>
    <w:rsid w:val="00A60B63"/>
    <w:rsid w:val="00A61494"/>
    <w:rsid w:val="00A62BA6"/>
    <w:rsid w:val="00A63FB2"/>
    <w:rsid w:val="00A65070"/>
    <w:rsid w:val="00A657CA"/>
    <w:rsid w:val="00A65E63"/>
    <w:rsid w:val="00A705BE"/>
    <w:rsid w:val="00A7084C"/>
    <w:rsid w:val="00A70DB0"/>
    <w:rsid w:val="00A732CB"/>
    <w:rsid w:val="00A75800"/>
    <w:rsid w:val="00A84021"/>
    <w:rsid w:val="00A8426F"/>
    <w:rsid w:val="00A90A7B"/>
    <w:rsid w:val="00A90DC8"/>
    <w:rsid w:val="00A91C6F"/>
    <w:rsid w:val="00A927EF"/>
    <w:rsid w:val="00A93A59"/>
    <w:rsid w:val="00A94CD1"/>
    <w:rsid w:val="00A952C6"/>
    <w:rsid w:val="00A965A5"/>
    <w:rsid w:val="00A96C6D"/>
    <w:rsid w:val="00A96E13"/>
    <w:rsid w:val="00A97F7E"/>
    <w:rsid w:val="00AA0525"/>
    <w:rsid w:val="00AA79F5"/>
    <w:rsid w:val="00AA7DC6"/>
    <w:rsid w:val="00AB0392"/>
    <w:rsid w:val="00AB3804"/>
    <w:rsid w:val="00AB4C9B"/>
    <w:rsid w:val="00AB4EC4"/>
    <w:rsid w:val="00AB5FD6"/>
    <w:rsid w:val="00AB66DF"/>
    <w:rsid w:val="00AC0EC7"/>
    <w:rsid w:val="00AC1A54"/>
    <w:rsid w:val="00AC2389"/>
    <w:rsid w:val="00AC6C25"/>
    <w:rsid w:val="00AD0C2D"/>
    <w:rsid w:val="00AD1F14"/>
    <w:rsid w:val="00AD2B93"/>
    <w:rsid w:val="00AD4A16"/>
    <w:rsid w:val="00AD5563"/>
    <w:rsid w:val="00AD5C8D"/>
    <w:rsid w:val="00AD6863"/>
    <w:rsid w:val="00AE3BA0"/>
    <w:rsid w:val="00AE6765"/>
    <w:rsid w:val="00AE7014"/>
    <w:rsid w:val="00AE7C65"/>
    <w:rsid w:val="00AF20F9"/>
    <w:rsid w:val="00AF3866"/>
    <w:rsid w:val="00AF4D41"/>
    <w:rsid w:val="00AF4EF7"/>
    <w:rsid w:val="00AF6E06"/>
    <w:rsid w:val="00B0154C"/>
    <w:rsid w:val="00B02D56"/>
    <w:rsid w:val="00B04EEA"/>
    <w:rsid w:val="00B0573A"/>
    <w:rsid w:val="00B117FD"/>
    <w:rsid w:val="00B11BB0"/>
    <w:rsid w:val="00B151B7"/>
    <w:rsid w:val="00B15884"/>
    <w:rsid w:val="00B15E8E"/>
    <w:rsid w:val="00B162B3"/>
    <w:rsid w:val="00B17C7A"/>
    <w:rsid w:val="00B212D9"/>
    <w:rsid w:val="00B23505"/>
    <w:rsid w:val="00B254B9"/>
    <w:rsid w:val="00B272AF"/>
    <w:rsid w:val="00B27E25"/>
    <w:rsid w:val="00B30A94"/>
    <w:rsid w:val="00B328B8"/>
    <w:rsid w:val="00B33F1A"/>
    <w:rsid w:val="00B34BFF"/>
    <w:rsid w:val="00B34C5F"/>
    <w:rsid w:val="00B371E1"/>
    <w:rsid w:val="00B373F5"/>
    <w:rsid w:val="00B42813"/>
    <w:rsid w:val="00B43471"/>
    <w:rsid w:val="00B43A94"/>
    <w:rsid w:val="00B44049"/>
    <w:rsid w:val="00B469D5"/>
    <w:rsid w:val="00B472E6"/>
    <w:rsid w:val="00B473AD"/>
    <w:rsid w:val="00B47931"/>
    <w:rsid w:val="00B47958"/>
    <w:rsid w:val="00B50346"/>
    <w:rsid w:val="00B507A2"/>
    <w:rsid w:val="00B52D51"/>
    <w:rsid w:val="00B542A7"/>
    <w:rsid w:val="00B55FD0"/>
    <w:rsid w:val="00B566F6"/>
    <w:rsid w:val="00B57FED"/>
    <w:rsid w:val="00B6013E"/>
    <w:rsid w:val="00B609BE"/>
    <w:rsid w:val="00B61293"/>
    <w:rsid w:val="00B6170A"/>
    <w:rsid w:val="00B621EF"/>
    <w:rsid w:val="00B7045C"/>
    <w:rsid w:val="00B738EC"/>
    <w:rsid w:val="00B73A3B"/>
    <w:rsid w:val="00B77E74"/>
    <w:rsid w:val="00B81FE1"/>
    <w:rsid w:val="00B82F33"/>
    <w:rsid w:val="00B83D8C"/>
    <w:rsid w:val="00B854C2"/>
    <w:rsid w:val="00B855B8"/>
    <w:rsid w:val="00B8565D"/>
    <w:rsid w:val="00B8587E"/>
    <w:rsid w:val="00B90FAA"/>
    <w:rsid w:val="00B920D4"/>
    <w:rsid w:val="00B93088"/>
    <w:rsid w:val="00B93C96"/>
    <w:rsid w:val="00BA05C7"/>
    <w:rsid w:val="00BA1B3C"/>
    <w:rsid w:val="00BA3AB9"/>
    <w:rsid w:val="00BA47BB"/>
    <w:rsid w:val="00BA4BB2"/>
    <w:rsid w:val="00BA5FB0"/>
    <w:rsid w:val="00BA6ECC"/>
    <w:rsid w:val="00BA74BC"/>
    <w:rsid w:val="00BB2600"/>
    <w:rsid w:val="00BB2E8F"/>
    <w:rsid w:val="00BC14E9"/>
    <w:rsid w:val="00BC24E2"/>
    <w:rsid w:val="00BC4F60"/>
    <w:rsid w:val="00BC59F5"/>
    <w:rsid w:val="00BC5E1D"/>
    <w:rsid w:val="00BC62A6"/>
    <w:rsid w:val="00BC6AF2"/>
    <w:rsid w:val="00BD19E0"/>
    <w:rsid w:val="00BD4C60"/>
    <w:rsid w:val="00BD5895"/>
    <w:rsid w:val="00BD59CA"/>
    <w:rsid w:val="00BE17AE"/>
    <w:rsid w:val="00BE3A78"/>
    <w:rsid w:val="00BE3B3B"/>
    <w:rsid w:val="00BE59F4"/>
    <w:rsid w:val="00BE6401"/>
    <w:rsid w:val="00BF0088"/>
    <w:rsid w:val="00BF5DA1"/>
    <w:rsid w:val="00BF7265"/>
    <w:rsid w:val="00C0032B"/>
    <w:rsid w:val="00C01243"/>
    <w:rsid w:val="00C01CFF"/>
    <w:rsid w:val="00C045A9"/>
    <w:rsid w:val="00C0552C"/>
    <w:rsid w:val="00C067C0"/>
    <w:rsid w:val="00C10224"/>
    <w:rsid w:val="00C12C1F"/>
    <w:rsid w:val="00C148AF"/>
    <w:rsid w:val="00C15D60"/>
    <w:rsid w:val="00C16553"/>
    <w:rsid w:val="00C206E7"/>
    <w:rsid w:val="00C21835"/>
    <w:rsid w:val="00C230E9"/>
    <w:rsid w:val="00C238B8"/>
    <w:rsid w:val="00C24111"/>
    <w:rsid w:val="00C25729"/>
    <w:rsid w:val="00C27AFE"/>
    <w:rsid w:val="00C308AE"/>
    <w:rsid w:val="00C31046"/>
    <w:rsid w:val="00C32266"/>
    <w:rsid w:val="00C324D3"/>
    <w:rsid w:val="00C34DD9"/>
    <w:rsid w:val="00C35512"/>
    <w:rsid w:val="00C40509"/>
    <w:rsid w:val="00C44C06"/>
    <w:rsid w:val="00C44FE0"/>
    <w:rsid w:val="00C46197"/>
    <w:rsid w:val="00C5333C"/>
    <w:rsid w:val="00C5413E"/>
    <w:rsid w:val="00C564C3"/>
    <w:rsid w:val="00C6118B"/>
    <w:rsid w:val="00C61C5F"/>
    <w:rsid w:val="00C62955"/>
    <w:rsid w:val="00C62DBA"/>
    <w:rsid w:val="00C659B4"/>
    <w:rsid w:val="00C66A65"/>
    <w:rsid w:val="00C66E3D"/>
    <w:rsid w:val="00C66F02"/>
    <w:rsid w:val="00C67784"/>
    <w:rsid w:val="00C70336"/>
    <w:rsid w:val="00C703AE"/>
    <w:rsid w:val="00C7532A"/>
    <w:rsid w:val="00C75F35"/>
    <w:rsid w:val="00C81BB2"/>
    <w:rsid w:val="00C83631"/>
    <w:rsid w:val="00C85223"/>
    <w:rsid w:val="00C864F7"/>
    <w:rsid w:val="00C86E5F"/>
    <w:rsid w:val="00C875C1"/>
    <w:rsid w:val="00C87637"/>
    <w:rsid w:val="00C87FAB"/>
    <w:rsid w:val="00C94279"/>
    <w:rsid w:val="00C9497D"/>
    <w:rsid w:val="00C9600B"/>
    <w:rsid w:val="00C9622E"/>
    <w:rsid w:val="00CA1F02"/>
    <w:rsid w:val="00CA2778"/>
    <w:rsid w:val="00CA2F14"/>
    <w:rsid w:val="00CA3EE4"/>
    <w:rsid w:val="00CA44F3"/>
    <w:rsid w:val="00CA5620"/>
    <w:rsid w:val="00CB0704"/>
    <w:rsid w:val="00CB3918"/>
    <w:rsid w:val="00CB3A2D"/>
    <w:rsid w:val="00CB46FC"/>
    <w:rsid w:val="00CB78E1"/>
    <w:rsid w:val="00CB7B03"/>
    <w:rsid w:val="00CC3FB0"/>
    <w:rsid w:val="00CD00E1"/>
    <w:rsid w:val="00CD1244"/>
    <w:rsid w:val="00CD1CCA"/>
    <w:rsid w:val="00CD2D77"/>
    <w:rsid w:val="00CD4C07"/>
    <w:rsid w:val="00CD7E04"/>
    <w:rsid w:val="00CE04C8"/>
    <w:rsid w:val="00CE3C7B"/>
    <w:rsid w:val="00CE4F16"/>
    <w:rsid w:val="00CE607C"/>
    <w:rsid w:val="00CE63CD"/>
    <w:rsid w:val="00CE6829"/>
    <w:rsid w:val="00CE6A44"/>
    <w:rsid w:val="00CF1786"/>
    <w:rsid w:val="00CF2555"/>
    <w:rsid w:val="00CF62D1"/>
    <w:rsid w:val="00CF6C8C"/>
    <w:rsid w:val="00CF6E00"/>
    <w:rsid w:val="00CF7C01"/>
    <w:rsid w:val="00D00559"/>
    <w:rsid w:val="00D00DFE"/>
    <w:rsid w:val="00D02706"/>
    <w:rsid w:val="00D031DD"/>
    <w:rsid w:val="00D03483"/>
    <w:rsid w:val="00D07DA4"/>
    <w:rsid w:val="00D10C08"/>
    <w:rsid w:val="00D16D59"/>
    <w:rsid w:val="00D1749D"/>
    <w:rsid w:val="00D210D8"/>
    <w:rsid w:val="00D22C2A"/>
    <w:rsid w:val="00D23786"/>
    <w:rsid w:val="00D247AC"/>
    <w:rsid w:val="00D25108"/>
    <w:rsid w:val="00D25C5F"/>
    <w:rsid w:val="00D26BE9"/>
    <w:rsid w:val="00D2705A"/>
    <w:rsid w:val="00D32B5F"/>
    <w:rsid w:val="00D32D5F"/>
    <w:rsid w:val="00D3309A"/>
    <w:rsid w:val="00D358C3"/>
    <w:rsid w:val="00D41630"/>
    <w:rsid w:val="00D41F9C"/>
    <w:rsid w:val="00D42F10"/>
    <w:rsid w:val="00D431AC"/>
    <w:rsid w:val="00D43215"/>
    <w:rsid w:val="00D43710"/>
    <w:rsid w:val="00D441F4"/>
    <w:rsid w:val="00D44673"/>
    <w:rsid w:val="00D45A29"/>
    <w:rsid w:val="00D45DF6"/>
    <w:rsid w:val="00D46A29"/>
    <w:rsid w:val="00D47B58"/>
    <w:rsid w:val="00D50016"/>
    <w:rsid w:val="00D5176F"/>
    <w:rsid w:val="00D535FE"/>
    <w:rsid w:val="00D55CB6"/>
    <w:rsid w:val="00D55E9B"/>
    <w:rsid w:val="00D570F5"/>
    <w:rsid w:val="00D6029C"/>
    <w:rsid w:val="00D61712"/>
    <w:rsid w:val="00D669D1"/>
    <w:rsid w:val="00D66C4F"/>
    <w:rsid w:val="00D70E2E"/>
    <w:rsid w:val="00D71711"/>
    <w:rsid w:val="00D71BC9"/>
    <w:rsid w:val="00D7359F"/>
    <w:rsid w:val="00D749FA"/>
    <w:rsid w:val="00D7582E"/>
    <w:rsid w:val="00D77D2E"/>
    <w:rsid w:val="00D80B4D"/>
    <w:rsid w:val="00D81745"/>
    <w:rsid w:val="00D84B90"/>
    <w:rsid w:val="00D84BB3"/>
    <w:rsid w:val="00D85950"/>
    <w:rsid w:val="00D85E17"/>
    <w:rsid w:val="00D86072"/>
    <w:rsid w:val="00D87252"/>
    <w:rsid w:val="00D90974"/>
    <w:rsid w:val="00D91364"/>
    <w:rsid w:val="00D947F2"/>
    <w:rsid w:val="00D9584B"/>
    <w:rsid w:val="00D96CFF"/>
    <w:rsid w:val="00DA04A4"/>
    <w:rsid w:val="00DA0FAC"/>
    <w:rsid w:val="00DA126E"/>
    <w:rsid w:val="00DA2259"/>
    <w:rsid w:val="00DA2A8A"/>
    <w:rsid w:val="00DA3FBB"/>
    <w:rsid w:val="00DA6509"/>
    <w:rsid w:val="00DA7C27"/>
    <w:rsid w:val="00DB05A8"/>
    <w:rsid w:val="00DB143E"/>
    <w:rsid w:val="00DB51E0"/>
    <w:rsid w:val="00DB6B40"/>
    <w:rsid w:val="00DB71EE"/>
    <w:rsid w:val="00DB723F"/>
    <w:rsid w:val="00DC1909"/>
    <w:rsid w:val="00DC421F"/>
    <w:rsid w:val="00DC693D"/>
    <w:rsid w:val="00DC6A05"/>
    <w:rsid w:val="00DC6E5C"/>
    <w:rsid w:val="00DD4E40"/>
    <w:rsid w:val="00DD76B8"/>
    <w:rsid w:val="00DE0366"/>
    <w:rsid w:val="00DE058E"/>
    <w:rsid w:val="00DE1ABB"/>
    <w:rsid w:val="00DE2175"/>
    <w:rsid w:val="00DE247B"/>
    <w:rsid w:val="00DE25A3"/>
    <w:rsid w:val="00DE2DFA"/>
    <w:rsid w:val="00DE45A3"/>
    <w:rsid w:val="00DE47D8"/>
    <w:rsid w:val="00DE4D71"/>
    <w:rsid w:val="00DF0DD7"/>
    <w:rsid w:val="00DF693F"/>
    <w:rsid w:val="00DF7066"/>
    <w:rsid w:val="00E0206A"/>
    <w:rsid w:val="00E027C8"/>
    <w:rsid w:val="00E0491E"/>
    <w:rsid w:val="00E071BF"/>
    <w:rsid w:val="00E11D19"/>
    <w:rsid w:val="00E12024"/>
    <w:rsid w:val="00E12031"/>
    <w:rsid w:val="00E13C53"/>
    <w:rsid w:val="00E14242"/>
    <w:rsid w:val="00E1468E"/>
    <w:rsid w:val="00E161D6"/>
    <w:rsid w:val="00E17398"/>
    <w:rsid w:val="00E2033D"/>
    <w:rsid w:val="00E22872"/>
    <w:rsid w:val="00E24FCA"/>
    <w:rsid w:val="00E26805"/>
    <w:rsid w:val="00E270EA"/>
    <w:rsid w:val="00E275BB"/>
    <w:rsid w:val="00E27B9F"/>
    <w:rsid w:val="00E3009D"/>
    <w:rsid w:val="00E30E12"/>
    <w:rsid w:val="00E30E56"/>
    <w:rsid w:val="00E319ED"/>
    <w:rsid w:val="00E35568"/>
    <w:rsid w:val="00E35AFD"/>
    <w:rsid w:val="00E3747D"/>
    <w:rsid w:val="00E426A7"/>
    <w:rsid w:val="00E43464"/>
    <w:rsid w:val="00E4537E"/>
    <w:rsid w:val="00E45BAC"/>
    <w:rsid w:val="00E46B47"/>
    <w:rsid w:val="00E47303"/>
    <w:rsid w:val="00E50129"/>
    <w:rsid w:val="00E512D0"/>
    <w:rsid w:val="00E51AD3"/>
    <w:rsid w:val="00E51CA8"/>
    <w:rsid w:val="00E54767"/>
    <w:rsid w:val="00E556A1"/>
    <w:rsid w:val="00E561C9"/>
    <w:rsid w:val="00E6188B"/>
    <w:rsid w:val="00E61BB1"/>
    <w:rsid w:val="00E6229B"/>
    <w:rsid w:val="00E62A60"/>
    <w:rsid w:val="00E702AF"/>
    <w:rsid w:val="00E71D4C"/>
    <w:rsid w:val="00E75414"/>
    <w:rsid w:val="00E75EB5"/>
    <w:rsid w:val="00E76839"/>
    <w:rsid w:val="00E76C5E"/>
    <w:rsid w:val="00E776BF"/>
    <w:rsid w:val="00E80855"/>
    <w:rsid w:val="00E82346"/>
    <w:rsid w:val="00E837C7"/>
    <w:rsid w:val="00E9216A"/>
    <w:rsid w:val="00E9430A"/>
    <w:rsid w:val="00E964DF"/>
    <w:rsid w:val="00EA0DC7"/>
    <w:rsid w:val="00EA1254"/>
    <w:rsid w:val="00EA235C"/>
    <w:rsid w:val="00EA27CB"/>
    <w:rsid w:val="00EA3E7F"/>
    <w:rsid w:val="00EA68AE"/>
    <w:rsid w:val="00EA7029"/>
    <w:rsid w:val="00EB215F"/>
    <w:rsid w:val="00EB3089"/>
    <w:rsid w:val="00EB3116"/>
    <w:rsid w:val="00EB5A5C"/>
    <w:rsid w:val="00EB7E57"/>
    <w:rsid w:val="00EC2186"/>
    <w:rsid w:val="00EC47BB"/>
    <w:rsid w:val="00EC69D8"/>
    <w:rsid w:val="00EC7588"/>
    <w:rsid w:val="00ED00AE"/>
    <w:rsid w:val="00ED2BCD"/>
    <w:rsid w:val="00ED3A1D"/>
    <w:rsid w:val="00ED63E7"/>
    <w:rsid w:val="00ED6F16"/>
    <w:rsid w:val="00EE13BD"/>
    <w:rsid w:val="00EE1731"/>
    <w:rsid w:val="00EE51AA"/>
    <w:rsid w:val="00EE5D41"/>
    <w:rsid w:val="00EE5DEF"/>
    <w:rsid w:val="00EE7D58"/>
    <w:rsid w:val="00EF0464"/>
    <w:rsid w:val="00EF09AE"/>
    <w:rsid w:val="00EF0E47"/>
    <w:rsid w:val="00EF1E77"/>
    <w:rsid w:val="00EF2F62"/>
    <w:rsid w:val="00EF466B"/>
    <w:rsid w:val="00EF63C3"/>
    <w:rsid w:val="00EF7BA1"/>
    <w:rsid w:val="00F039A0"/>
    <w:rsid w:val="00F0400D"/>
    <w:rsid w:val="00F0545D"/>
    <w:rsid w:val="00F07FE8"/>
    <w:rsid w:val="00F10268"/>
    <w:rsid w:val="00F1233C"/>
    <w:rsid w:val="00F14A11"/>
    <w:rsid w:val="00F15990"/>
    <w:rsid w:val="00F163C8"/>
    <w:rsid w:val="00F20CDF"/>
    <w:rsid w:val="00F21E86"/>
    <w:rsid w:val="00F239D8"/>
    <w:rsid w:val="00F24922"/>
    <w:rsid w:val="00F30688"/>
    <w:rsid w:val="00F36397"/>
    <w:rsid w:val="00F36635"/>
    <w:rsid w:val="00F37914"/>
    <w:rsid w:val="00F37D54"/>
    <w:rsid w:val="00F40392"/>
    <w:rsid w:val="00F411C8"/>
    <w:rsid w:val="00F41F6A"/>
    <w:rsid w:val="00F426F3"/>
    <w:rsid w:val="00F42A10"/>
    <w:rsid w:val="00F43840"/>
    <w:rsid w:val="00F45D21"/>
    <w:rsid w:val="00F46459"/>
    <w:rsid w:val="00F4729C"/>
    <w:rsid w:val="00F51188"/>
    <w:rsid w:val="00F51F47"/>
    <w:rsid w:val="00F52805"/>
    <w:rsid w:val="00F54C3C"/>
    <w:rsid w:val="00F55236"/>
    <w:rsid w:val="00F55DBF"/>
    <w:rsid w:val="00F57C32"/>
    <w:rsid w:val="00F609D3"/>
    <w:rsid w:val="00F61FAD"/>
    <w:rsid w:val="00F62976"/>
    <w:rsid w:val="00F635D4"/>
    <w:rsid w:val="00F643A3"/>
    <w:rsid w:val="00F65466"/>
    <w:rsid w:val="00F67668"/>
    <w:rsid w:val="00F67ABB"/>
    <w:rsid w:val="00F709CE"/>
    <w:rsid w:val="00F7217B"/>
    <w:rsid w:val="00F744CC"/>
    <w:rsid w:val="00F763C4"/>
    <w:rsid w:val="00F766E0"/>
    <w:rsid w:val="00F80DBA"/>
    <w:rsid w:val="00F821B4"/>
    <w:rsid w:val="00F84B96"/>
    <w:rsid w:val="00F855BB"/>
    <w:rsid w:val="00F91623"/>
    <w:rsid w:val="00F922AB"/>
    <w:rsid w:val="00F922AD"/>
    <w:rsid w:val="00F92345"/>
    <w:rsid w:val="00F9509C"/>
    <w:rsid w:val="00F9600D"/>
    <w:rsid w:val="00FA3C03"/>
    <w:rsid w:val="00FA45F0"/>
    <w:rsid w:val="00FA5DE9"/>
    <w:rsid w:val="00FA751D"/>
    <w:rsid w:val="00FB04B0"/>
    <w:rsid w:val="00FB0767"/>
    <w:rsid w:val="00FB352E"/>
    <w:rsid w:val="00FB5049"/>
    <w:rsid w:val="00FC1183"/>
    <w:rsid w:val="00FC1731"/>
    <w:rsid w:val="00FC3736"/>
    <w:rsid w:val="00FC5C80"/>
    <w:rsid w:val="00FC603E"/>
    <w:rsid w:val="00FC7270"/>
    <w:rsid w:val="00FD2798"/>
    <w:rsid w:val="00FD2A1D"/>
    <w:rsid w:val="00FD311B"/>
    <w:rsid w:val="00FD5292"/>
    <w:rsid w:val="00FE01F0"/>
    <w:rsid w:val="00FE0CDF"/>
    <w:rsid w:val="00FE184A"/>
    <w:rsid w:val="00FE4931"/>
    <w:rsid w:val="00FE72C3"/>
    <w:rsid w:val="00FF5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162A1"/>
  <w15:docId w15:val="{EE141824-54FA-4E5F-9180-F375D77A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051"/>
    <w:pPr>
      <w:spacing w:line="480" w:lineRule="auto"/>
      <w:jc w:val="both"/>
    </w:pPr>
    <w:rPr>
      <w:rFonts w:ascii="Arial" w:hAnsi="Arial"/>
      <w:sz w:val="24"/>
    </w:rPr>
  </w:style>
  <w:style w:type="paragraph" w:styleId="Heading1">
    <w:name w:val="heading 1"/>
    <w:basedOn w:val="Normal"/>
    <w:next w:val="Normal"/>
    <w:link w:val="Heading1Char"/>
    <w:uiPriority w:val="9"/>
    <w:qFormat/>
    <w:rsid w:val="007E6849"/>
    <w:pPr>
      <w:numPr>
        <w:numId w:val="46"/>
      </w:numPr>
      <w:outlineLvl w:val="0"/>
    </w:pPr>
    <w:rPr>
      <w:rFonts w:cs="Arial"/>
      <w:b/>
      <w:sz w:val="32"/>
      <w:szCs w:val="32"/>
    </w:rPr>
  </w:style>
  <w:style w:type="paragraph" w:styleId="Heading2">
    <w:name w:val="heading 2"/>
    <w:basedOn w:val="Normal"/>
    <w:next w:val="Normal"/>
    <w:link w:val="Heading2Char"/>
    <w:uiPriority w:val="9"/>
    <w:unhideWhenUsed/>
    <w:qFormat/>
    <w:rsid w:val="001054B9"/>
    <w:pPr>
      <w:numPr>
        <w:ilvl w:val="1"/>
        <w:numId w:val="46"/>
      </w:numPr>
      <w:outlineLvl w:val="1"/>
    </w:pPr>
    <w:rPr>
      <w:rFonts w:cs="Arial"/>
      <w:b/>
      <w:sz w:val="28"/>
      <w:szCs w:val="24"/>
    </w:rPr>
  </w:style>
  <w:style w:type="paragraph" w:styleId="Heading3">
    <w:name w:val="heading 3"/>
    <w:basedOn w:val="Normal"/>
    <w:next w:val="Normal"/>
    <w:link w:val="Heading3Char"/>
    <w:uiPriority w:val="9"/>
    <w:unhideWhenUsed/>
    <w:qFormat/>
    <w:rsid w:val="0002370C"/>
    <w:pPr>
      <w:numPr>
        <w:ilvl w:val="2"/>
        <w:numId w:val="46"/>
      </w:numPr>
      <w:outlineLvl w:val="2"/>
    </w:pPr>
    <w:rPr>
      <w:rFonts w:cs="Arial"/>
      <w:b/>
      <w:i/>
      <w:szCs w:val="24"/>
    </w:rPr>
  </w:style>
  <w:style w:type="paragraph" w:styleId="Heading4">
    <w:name w:val="heading 4"/>
    <w:basedOn w:val="Normal"/>
    <w:next w:val="Normal"/>
    <w:link w:val="Heading4Char"/>
    <w:uiPriority w:val="9"/>
    <w:unhideWhenUsed/>
    <w:qFormat/>
    <w:rsid w:val="00386282"/>
    <w:pPr>
      <w:numPr>
        <w:ilvl w:val="3"/>
        <w:numId w:val="46"/>
      </w:numPr>
      <w:spacing w:before="200" w:after="0"/>
      <w:jc w:val="left"/>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1925AB"/>
    <w:pPr>
      <w:numPr>
        <w:ilvl w:val="4"/>
        <w:numId w:val="46"/>
      </w:numPr>
      <w:spacing w:before="200" w:after="0" w:line="276" w:lineRule="auto"/>
      <w:jc w:val="left"/>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925AB"/>
    <w:pPr>
      <w:numPr>
        <w:ilvl w:val="5"/>
        <w:numId w:val="46"/>
      </w:numPr>
      <w:spacing w:after="0" w:line="271" w:lineRule="auto"/>
      <w:jc w:val="left"/>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925AB"/>
    <w:pPr>
      <w:numPr>
        <w:ilvl w:val="6"/>
        <w:numId w:val="46"/>
      </w:numPr>
      <w:spacing w:after="0" w:line="276" w:lineRule="auto"/>
      <w:jc w:val="left"/>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925AB"/>
    <w:pPr>
      <w:numPr>
        <w:ilvl w:val="7"/>
        <w:numId w:val="46"/>
      </w:numPr>
      <w:spacing w:after="0" w:line="276" w:lineRule="auto"/>
      <w:jc w:val="lef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25AB"/>
    <w:pPr>
      <w:numPr>
        <w:ilvl w:val="8"/>
        <w:numId w:val="46"/>
      </w:numPr>
      <w:spacing w:after="0" w:line="276" w:lineRule="auto"/>
      <w:jc w:val="lef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FE"/>
    <w:rPr>
      <w:rFonts w:ascii="Tahoma" w:hAnsi="Tahoma" w:cs="Tahoma"/>
      <w:sz w:val="16"/>
      <w:szCs w:val="16"/>
    </w:rPr>
  </w:style>
  <w:style w:type="character" w:customStyle="1" w:styleId="Heading1Char">
    <w:name w:val="Heading 1 Char"/>
    <w:basedOn w:val="DefaultParagraphFont"/>
    <w:link w:val="Heading1"/>
    <w:uiPriority w:val="9"/>
    <w:rsid w:val="007E6849"/>
    <w:rPr>
      <w:rFonts w:ascii="Arial" w:hAnsi="Arial" w:cs="Arial"/>
      <w:b/>
      <w:sz w:val="32"/>
      <w:szCs w:val="32"/>
    </w:rPr>
  </w:style>
  <w:style w:type="paragraph" w:styleId="TOCHeading">
    <w:name w:val="TOC Heading"/>
    <w:basedOn w:val="Heading1"/>
    <w:next w:val="Normal"/>
    <w:uiPriority w:val="39"/>
    <w:unhideWhenUsed/>
    <w:qFormat/>
    <w:rsid w:val="008B3AA3"/>
    <w:pPr>
      <w:spacing w:line="259" w:lineRule="auto"/>
      <w:outlineLvl w:val="9"/>
    </w:pPr>
    <w:rPr>
      <w:lang w:val="en-US" w:eastAsia="en-US"/>
    </w:rPr>
  </w:style>
  <w:style w:type="character" w:styleId="Hyperlink">
    <w:name w:val="Hyperlink"/>
    <w:basedOn w:val="DefaultParagraphFont"/>
    <w:uiPriority w:val="99"/>
    <w:unhideWhenUsed/>
    <w:rsid w:val="008B3AA3"/>
    <w:rPr>
      <w:color w:val="5F5F5F" w:themeColor="hyperlink"/>
      <w:u w:val="single"/>
    </w:rPr>
  </w:style>
  <w:style w:type="paragraph" w:styleId="ListParagraph">
    <w:name w:val="List Paragraph"/>
    <w:basedOn w:val="Normal"/>
    <w:uiPriority w:val="34"/>
    <w:qFormat/>
    <w:rsid w:val="008B3AA3"/>
    <w:pPr>
      <w:spacing w:after="160" w:line="25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8B3AA3"/>
    <w:rPr>
      <w:sz w:val="16"/>
      <w:szCs w:val="16"/>
    </w:rPr>
  </w:style>
  <w:style w:type="paragraph" w:styleId="CommentText">
    <w:name w:val="annotation text"/>
    <w:basedOn w:val="Normal"/>
    <w:link w:val="CommentTextChar"/>
    <w:uiPriority w:val="99"/>
    <w:unhideWhenUsed/>
    <w:rsid w:val="008B3AA3"/>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B3AA3"/>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B3AA3"/>
    <w:rPr>
      <w:b/>
      <w:bCs/>
    </w:rPr>
  </w:style>
  <w:style w:type="character" w:customStyle="1" w:styleId="CommentSubjectChar">
    <w:name w:val="Comment Subject Char"/>
    <w:basedOn w:val="CommentTextChar"/>
    <w:link w:val="CommentSubject"/>
    <w:uiPriority w:val="99"/>
    <w:semiHidden/>
    <w:rsid w:val="008B3AA3"/>
    <w:rPr>
      <w:rFonts w:eastAsiaTheme="minorHAnsi"/>
      <w:b/>
      <w:bCs/>
      <w:sz w:val="20"/>
      <w:szCs w:val="20"/>
      <w:lang w:eastAsia="en-US"/>
    </w:rPr>
  </w:style>
  <w:style w:type="table" w:styleId="TableGrid">
    <w:name w:val="Table Grid"/>
    <w:basedOn w:val="TableNormal"/>
    <w:uiPriority w:val="59"/>
    <w:rsid w:val="008B3A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3AA3"/>
    <w:pPr>
      <w:spacing w:line="240" w:lineRule="auto"/>
    </w:pPr>
    <w:rPr>
      <w:rFonts w:eastAsiaTheme="minorHAnsi"/>
      <w:b/>
      <w:bCs/>
      <w:color w:val="DDDDDD" w:themeColor="accent1"/>
      <w:sz w:val="18"/>
      <w:szCs w:val="18"/>
      <w:lang w:eastAsia="en-US"/>
    </w:rPr>
  </w:style>
  <w:style w:type="paragraph" w:styleId="NormalWeb">
    <w:name w:val="Normal (Web)"/>
    <w:basedOn w:val="Normal"/>
    <w:uiPriority w:val="99"/>
    <w:unhideWhenUsed/>
    <w:rsid w:val="008B3AA3"/>
    <w:pPr>
      <w:spacing w:before="100" w:beforeAutospacing="1" w:after="100" w:afterAutospacing="1" w:line="240" w:lineRule="auto"/>
    </w:pPr>
    <w:rPr>
      <w:rFonts w:ascii="Times New Roman" w:hAnsi="Times New Roman" w:cs="Times New Roman"/>
      <w:szCs w:val="24"/>
    </w:rPr>
  </w:style>
  <w:style w:type="character" w:styleId="FollowedHyperlink">
    <w:name w:val="FollowedHyperlink"/>
    <w:basedOn w:val="DefaultParagraphFont"/>
    <w:uiPriority w:val="99"/>
    <w:semiHidden/>
    <w:unhideWhenUsed/>
    <w:rsid w:val="008B3AA3"/>
    <w:rPr>
      <w:color w:val="919191" w:themeColor="followedHyperlink"/>
      <w:u w:val="single"/>
    </w:rPr>
  </w:style>
  <w:style w:type="paragraph" w:styleId="Revision">
    <w:name w:val="Revision"/>
    <w:hidden/>
    <w:uiPriority w:val="99"/>
    <w:semiHidden/>
    <w:rsid w:val="008B3AA3"/>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1054B9"/>
    <w:rPr>
      <w:rFonts w:ascii="Arial" w:hAnsi="Arial" w:cs="Arial"/>
      <w:b/>
      <w:sz w:val="28"/>
      <w:szCs w:val="24"/>
    </w:rPr>
  </w:style>
  <w:style w:type="paragraph" w:styleId="TOC1">
    <w:name w:val="toc 1"/>
    <w:basedOn w:val="Normal"/>
    <w:next w:val="Normal"/>
    <w:autoRedefine/>
    <w:uiPriority w:val="39"/>
    <w:unhideWhenUsed/>
    <w:rsid w:val="009C2DF8"/>
    <w:pPr>
      <w:tabs>
        <w:tab w:val="right" w:leader="dot" w:pos="8188"/>
      </w:tabs>
      <w:spacing w:before="240" w:after="12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8B3AA3"/>
    <w:pPr>
      <w:spacing w:before="120" w:after="0"/>
      <w:ind w:left="240"/>
      <w:jc w:val="left"/>
    </w:pPr>
    <w:rPr>
      <w:rFonts w:asciiTheme="minorHAnsi" w:hAnsiTheme="minorHAnsi" w:cstheme="minorHAnsi"/>
      <w:i/>
      <w:iCs/>
      <w:sz w:val="20"/>
      <w:szCs w:val="20"/>
    </w:rPr>
  </w:style>
  <w:style w:type="character" w:customStyle="1" w:styleId="Heading3Char">
    <w:name w:val="Heading 3 Char"/>
    <w:basedOn w:val="DefaultParagraphFont"/>
    <w:link w:val="Heading3"/>
    <w:uiPriority w:val="9"/>
    <w:rsid w:val="0002370C"/>
    <w:rPr>
      <w:rFonts w:ascii="Arial" w:hAnsi="Arial" w:cs="Arial"/>
      <w:b/>
      <w:i/>
      <w:sz w:val="24"/>
      <w:szCs w:val="24"/>
    </w:rPr>
  </w:style>
  <w:style w:type="paragraph" w:styleId="TOC3">
    <w:name w:val="toc 3"/>
    <w:basedOn w:val="Normal"/>
    <w:next w:val="Normal"/>
    <w:autoRedefine/>
    <w:uiPriority w:val="39"/>
    <w:unhideWhenUsed/>
    <w:rsid w:val="00663BFC"/>
    <w:pPr>
      <w:spacing w:after="0"/>
      <w:ind w:left="480"/>
      <w:jc w:val="left"/>
    </w:pPr>
    <w:rPr>
      <w:rFonts w:asciiTheme="minorHAnsi" w:hAnsiTheme="minorHAnsi" w:cstheme="minorHAnsi"/>
      <w:sz w:val="20"/>
      <w:szCs w:val="20"/>
    </w:rPr>
  </w:style>
  <w:style w:type="paragraph" w:styleId="Header">
    <w:name w:val="header"/>
    <w:basedOn w:val="Normal"/>
    <w:link w:val="HeaderChar"/>
    <w:uiPriority w:val="99"/>
    <w:unhideWhenUsed/>
    <w:rsid w:val="00663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BFC"/>
    <w:rPr>
      <w:rFonts w:ascii="Arial" w:hAnsi="Arial"/>
      <w:sz w:val="24"/>
    </w:rPr>
  </w:style>
  <w:style w:type="paragraph" w:styleId="Footer">
    <w:name w:val="footer"/>
    <w:basedOn w:val="Normal"/>
    <w:link w:val="FooterChar"/>
    <w:uiPriority w:val="99"/>
    <w:unhideWhenUsed/>
    <w:rsid w:val="00663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BFC"/>
    <w:rPr>
      <w:rFonts w:ascii="Arial" w:hAnsi="Arial"/>
      <w:sz w:val="24"/>
    </w:rPr>
  </w:style>
  <w:style w:type="character" w:customStyle="1" w:styleId="nowrap1">
    <w:name w:val="nowrap1"/>
    <w:basedOn w:val="DefaultParagraphFont"/>
    <w:rsid w:val="003A6E06"/>
  </w:style>
  <w:style w:type="table" w:customStyle="1" w:styleId="Calendar1">
    <w:name w:val="Calendar 1"/>
    <w:basedOn w:val="TableNormal"/>
    <w:uiPriority w:val="99"/>
    <w:qFormat/>
    <w:rsid w:val="003A6E06"/>
    <w:pPr>
      <w:spacing w:after="0" w:line="240" w:lineRule="auto"/>
    </w:pPr>
    <w:rPr>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3A6E06"/>
    <w:pPr>
      <w:tabs>
        <w:tab w:val="decimal" w:pos="360"/>
      </w:tabs>
    </w:pPr>
    <w:rPr>
      <w:rFonts w:cs="Times New Roman"/>
      <w:sz w:val="22"/>
      <w:lang w:val="en-US" w:eastAsia="en-US"/>
    </w:rPr>
  </w:style>
  <w:style w:type="paragraph" w:styleId="FootnoteText">
    <w:name w:val="footnote text"/>
    <w:basedOn w:val="Normal"/>
    <w:link w:val="FootnoteTextChar"/>
    <w:uiPriority w:val="99"/>
    <w:unhideWhenUsed/>
    <w:rsid w:val="003A6E06"/>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3A6E06"/>
    <w:rPr>
      <w:rFonts w:ascii="Arial" w:hAnsi="Arial" w:cs="Times New Roman"/>
      <w:sz w:val="20"/>
      <w:szCs w:val="20"/>
      <w:lang w:val="en-US" w:eastAsia="en-US"/>
    </w:rPr>
  </w:style>
  <w:style w:type="character" w:styleId="SubtleEmphasis">
    <w:name w:val="Subtle Emphasis"/>
    <w:basedOn w:val="DefaultParagraphFont"/>
    <w:uiPriority w:val="19"/>
    <w:qFormat/>
    <w:rsid w:val="003A6E06"/>
    <w:rPr>
      <w:i/>
      <w:iCs/>
    </w:rPr>
  </w:style>
  <w:style w:type="table" w:styleId="LightShading-Accent1">
    <w:name w:val="Light Shading Accent 1"/>
    <w:basedOn w:val="TableNormal"/>
    <w:uiPriority w:val="60"/>
    <w:rsid w:val="003A6E06"/>
    <w:pPr>
      <w:spacing w:after="0" w:line="240" w:lineRule="auto"/>
    </w:pPr>
    <w:rPr>
      <w:color w:val="A5A5A5" w:themeColor="accent1" w:themeShade="BF"/>
      <w:lang w:val="en-US" w:eastAsia="en-US"/>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customStyle="1" w:styleId="Appendix">
    <w:name w:val="Appendix"/>
    <w:basedOn w:val="Normal"/>
    <w:link w:val="AppendixChar"/>
    <w:qFormat/>
    <w:rsid w:val="003A6E06"/>
    <w:rPr>
      <w:rFonts w:asciiTheme="minorBidi" w:hAnsiTheme="minorBidi"/>
      <w:sz w:val="22"/>
      <w:szCs w:val="24"/>
      <w:lang w:val="en-US" w:eastAsia="zh-CN"/>
    </w:rPr>
  </w:style>
  <w:style w:type="character" w:customStyle="1" w:styleId="AppendixChar">
    <w:name w:val="Appendix Char"/>
    <w:basedOn w:val="DefaultParagraphFont"/>
    <w:link w:val="Appendix"/>
    <w:rsid w:val="003A6E06"/>
    <w:rPr>
      <w:rFonts w:asciiTheme="minorBidi" w:hAnsiTheme="minorBidi"/>
      <w:szCs w:val="24"/>
      <w:lang w:val="en-US" w:eastAsia="zh-CN"/>
    </w:rPr>
  </w:style>
  <w:style w:type="character" w:styleId="FootnoteReference">
    <w:name w:val="footnote reference"/>
    <w:basedOn w:val="DefaultParagraphFont"/>
    <w:uiPriority w:val="99"/>
    <w:semiHidden/>
    <w:unhideWhenUsed/>
    <w:rsid w:val="003A6E06"/>
    <w:rPr>
      <w:vertAlign w:val="superscript"/>
    </w:rPr>
  </w:style>
  <w:style w:type="paragraph" w:customStyle="1" w:styleId="Body">
    <w:name w:val="Body"/>
    <w:rsid w:val="003A6E06"/>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Heading4Char">
    <w:name w:val="Heading 4 Char"/>
    <w:basedOn w:val="DefaultParagraphFont"/>
    <w:link w:val="Heading4"/>
    <w:uiPriority w:val="9"/>
    <w:rsid w:val="00386282"/>
    <w:rPr>
      <w:rFonts w:ascii="Arial" w:eastAsiaTheme="majorEastAsia" w:hAnsi="Arial" w:cstheme="majorBidi"/>
      <w:bCs/>
      <w:i/>
      <w:iCs/>
      <w:sz w:val="24"/>
    </w:rPr>
  </w:style>
  <w:style w:type="character" w:customStyle="1" w:styleId="Heading5Char">
    <w:name w:val="Heading 5 Char"/>
    <w:basedOn w:val="DefaultParagraphFont"/>
    <w:link w:val="Heading5"/>
    <w:uiPriority w:val="9"/>
    <w:semiHidden/>
    <w:rsid w:val="001925A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925A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25A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25A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25A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25AB"/>
    <w:pPr>
      <w:pBdr>
        <w:bottom w:val="single" w:sz="4" w:space="1" w:color="auto"/>
      </w:pBdr>
      <w:spacing w:line="240" w:lineRule="auto"/>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925A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25AB"/>
    <w:pPr>
      <w:spacing w:after="600" w:line="276" w:lineRule="auto"/>
      <w:jc w:val="left"/>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925AB"/>
    <w:rPr>
      <w:rFonts w:asciiTheme="majorHAnsi" w:eastAsiaTheme="majorEastAsia" w:hAnsiTheme="majorHAnsi" w:cstheme="majorBidi"/>
      <w:i/>
      <w:iCs/>
      <w:spacing w:val="13"/>
      <w:sz w:val="24"/>
      <w:szCs w:val="24"/>
    </w:rPr>
  </w:style>
  <w:style w:type="character" w:styleId="Strong">
    <w:name w:val="Strong"/>
    <w:uiPriority w:val="22"/>
    <w:qFormat/>
    <w:rsid w:val="001925AB"/>
    <w:rPr>
      <w:b/>
      <w:bCs/>
    </w:rPr>
  </w:style>
  <w:style w:type="character" w:styleId="Emphasis">
    <w:name w:val="Emphasis"/>
    <w:uiPriority w:val="20"/>
    <w:qFormat/>
    <w:rsid w:val="001925AB"/>
    <w:rPr>
      <w:b/>
      <w:bCs/>
      <w:i/>
      <w:iCs/>
      <w:spacing w:val="10"/>
      <w:bdr w:val="none" w:sz="0" w:space="0" w:color="auto"/>
      <w:shd w:val="clear" w:color="auto" w:fill="auto"/>
    </w:rPr>
  </w:style>
  <w:style w:type="paragraph" w:styleId="NoSpacing">
    <w:name w:val="No Spacing"/>
    <w:basedOn w:val="Normal"/>
    <w:uiPriority w:val="1"/>
    <w:qFormat/>
    <w:rsid w:val="001925AB"/>
    <w:pPr>
      <w:spacing w:after="0" w:line="240" w:lineRule="auto"/>
      <w:jc w:val="left"/>
    </w:pPr>
    <w:rPr>
      <w:rFonts w:asciiTheme="minorHAnsi" w:hAnsiTheme="minorHAnsi"/>
      <w:sz w:val="22"/>
    </w:rPr>
  </w:style>
  <w:style w:type="paragraph" w:styleId="Quote">
    <w:name w:val="Quote"/>
    <w:basedOn w:val="Normal"/>
    <w:next w:val="Normal"/>
    <w:link w:val="QuoteChar"/>
    <w:uiPriority w:val="29"/>
    <w:qFormat/>
    <w:rsid w:val="001925AB"/>
    <w:pPr>
      <w:spacing w:before="200" w:after="0" w:line="276" w:lineRule="auto"/>
      <w:ind w:left="360" w:right="360"/>
      <w:jc w:val="left"/>
    </w:pPr>
    <w:rPr>
      <w:rFonts w:asciiTheme="minorHAnsi" w:hAnsiTheme="minorHAnsi"/>
      <w:i/>
      <w:iCs/>
      <w:sz w:val="22"/>
    </w:rPr>
  </w:style>
  <w:style w:type="character" w:customStyle="1" w:styleId="QuoteChar">
    <w:name w:val="Quote Char"/>
    <w:basedOn w:val="DefaultParagraphFont"/>
    <w:link w:val="Quote"/>
    <w:uiPriority w:val="29"/>
    <w:rsid w:val="001925AB"/>
    <w:rPr>
      <w:i/>
      <w:iCs/>
    </w:rPr>
  </w:style>
  <w:style w:type="paragraph" w:styleId="IntenseQuote">
    <w:name w:val="Intense Quote"/>
    <w:basedOn w:val="Normal"/>
    <w:next w:val="Normal"/>
    <w:link w:val="IntenseQuoteChar"/>
    <w:uiPriority w:val="30"/>
    <w:qFormat/>
    <w:rsid w:val="001925AB"/>
    <w:pPr>
      <w:pBdr>
        <w:bottom w:val="single" w:sz="4" w:space="1" w:color="auto"/>
      </w:pBdr>
      <w:spacing w:before="200" w:after="280" w:line="276" w:lineRule="auto"/>
      <w:ind w:left="1008" w:right="1152"/>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925AB"/>
    <w:rPr>
      <w:b/>
      <w:bCs/>
      <w:i/>
      <w:iCs/>
    </w:rPr>
  </w:style>
  <w:style w:type="character" w:styleId="IntenseEmphasis">
    <w:name w:val="Intense Emphasis"/>
    <w:uiPriority w:val="21"/>
    <w:qFormat/>
    <w:rsid w:val="001925AB"/>
    <w:rPr>
      <w:b/>
      <w:bCs/>
    </w:rPr>
  </w:style>
  <w:style w:type="character" w:styleId="SubtleReference">
    <w:name w:val="Subtle Reference"/>
    <w:uiPriority w:val="31"/>
    <w:qFormat/>
    <w:rsid w:val="001925AB"/>
    <w:rPr>
      <w:smallCaps/>
    </w:rPr>
  </w:style>
  <w:style w:type="character" w:styleId="IntenseReference">
    <w:name w:val="Intense Reference"/>
    <w:uiPriority w:val="32"/>
    <w:qFormat/>
    <w:rsid w:val="001925AB"/>
    <w:rPr>
      <w:smallCaps/>
      <w:spacing w:val="5"/>
      <w:u w:val="single"/>
    </w:rPr>
  </w:style>
  <w:style w:type="character" w:styleId="BookTitle">
    <w:name w:val="Book Title"/>
    <w:uiPriority w:val="33"/>
    <w:qFormat/>
    <w:rsid w:val="001925AB"/>
    <w:rPr>
      <w:i/>
      <w:iCs/>
      <w:smallCaps/>
      <w:spacing w:val="5"/>
    </w:rPr>
  </w:style>
  <w:style w:type="paragraph" w:styleId="HTMLPreformatted">
    <w:name w:val="HTML Preformatted"/>
    <w:basedOn w:val="Normal"/>
    <w:link w:val="HTMLPreformattedChar"/>
    <w:uiPriority w:val="99"/>
    <w:semiHidden/>
    <w:unhideWhenUsed/>
    <w:rsid w:val="00AD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2B93"/>
    <w:rPr>
      <w:rFonts w:ascii="Courier New" w:eastAsia="Times New Roman" w:hAnsi="Courier New" w:cs="Courier New"/>
      <w:sz w:val="20"/>
      <w:szCs w:val="20"/>
    </w:rPr>
  </w:style>
  <w:style w:type="paragraph" w:styleId="TOC4">
    <w:name w:val="toc 4"/>
    <w:basedOn w:val="Normal"/>
    <w:next w:val="Normal"/>
    <w:autoRedefine/>
    <w:uiPriority w:val="39"/>
    <w:unhideWhenUsed/>
    <w:rsid w:val="00AE7014"/>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AE7014"/>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AE7014"/>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AE701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AE701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AE7014"/>
    <w:pPr>
      <w:spacing w:after="0"/>
      <w:ind w:left="1920"/>
      <w:jc w:val="left"/>
    </w:pPr>
    <w:rPr>
      <w:rFonts w:asciiTheme="minorHAnsi" w:hAnsiTheme="minorHAnsi" w:cstheme="minorHAnsi"/>
      <w:sz w:val="20"/>
      <w:szCs w:val="20"/>
    </w:rPr>
  </w:style>
  <w:style w:type="numbering" w:customStyle="1" w:styleId="NoList1">
    <w:name w:val="No List1"/>
    <w:next w:val="NoList"/>
    <w:uiPriority w:val="99"/>
    <w:semiHidden/>
    <w:unhideWhenUsed/>
    <w:rsid w:val="008F22CA"/>
  </w:style>
  <w:style w:type="table" w:customStyle="1" w:styleId="TableGrid1">
    <w:name w:val="Table Grid1"/>
    <w:basedOn w:val="TableNormal"/>
    <w:next w:val="TableGrid"/>
    <w:uiPriority w:val="39"/>
    <w:rsid w:val="008F22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3E585B"/>
  </w:style>
  <w:style w:type="character" w:customStyle="1" w:styleId="sr-only">
    <w:name w:val="sr-only"/>
    <w:basedOn w:val="DefaultParagraphFont"/>
    <w:rsid w:val="003E585B"/>
  </w:style>
  <w:style w:type="character" w:customStyle="1" w:styleId="text">
    <w:name w:val="text"/>
    <w:basedOn w:val="DefaultParagraphFont"/>
    <w:rsid w:val="003E585B"/>
  </w:style>
  <w:style w:type="character" w:customStyle="1" w:styleId="author-ref">
    <w:name w:val="author-ref"/>
    <w:basedOn w:val="DefaultParagraphFont"/>
    <w:rsid w:val="003E585B"/>
  </w:style>
  <w:style w:type="character" w:customStyle="1" w:styleId="titleauthoretc">
    <w:name w:val="titleauthoretc"/>
    <w:basedOn w:val="DefaultParagraphFont"/>
    <w:rsid w:val="003E585B"/>
  </w:style>
  <w:style w:type="table" w:customStyle="1" w:styleId="TableGrid11">
    <w:name w:val="Table Grid11"/>
    <w:basedOn w:val="TableNormal"/>
    <w:next w:val="TableGrid"/>
    <w:uiPriority w:val="39"/>
    <w:rsid w:val="009665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96655F"/>
    <w:pPr>
      <w:tabs>
        <w:tab w:val="center" w:pos="4513"/>
        <w:tab w:val="right" w:pos="9026"/>
      </w:tabs>
      <w:spacing w:after="0" w:line="240" w:lineRule="auto"/>
    </w:pPr>
    <w:rPr>
      <w:rFonts w:eastAsia="Calibri"/>
      <w:lang w:eastAsia="en-US"/>
    </w:rPr>
  </w:style>
  <w:style w:type="numbering" w:customStyle="1" w:styleId="NoList2">
    <w:name w:val="No List2"/>
    <w:next w:val="NoList"/>
    <w:uiPriority w:val="99"/>
    <w:semiHidden/>
    <w:unhideWhenUsed/>
    <w:rsid w:val="00F51F47"/>
  </w:style>
  <w:style w:type="paragraph" w:customStyle="1" w:styleId="Heading41">
    <w:name w:val="Heading 41"/>
    <w:basedOn w:val="Normal"/>
    <w:next w:val="Normal"/>
    <w:uiPriority w:val="9"/>
    <w:unhideWhenUsed/>
    <w:qFormat/>
    <w:rsid w:val="00F51F47"/>
    <w:pPr>
      <w:spacing w:before="200" w:after="0"/>
      <w:jc w:val="left"/>
      <w:outlineLvl w:val="3"/>
    </w:pPr>
    <w:rPr>
      <w:rFonts w:eastAsia="SimSun" w:cs="Times New Roman"/>
      <w:bCs/>
      <w:i/>
      <w:iCs/>
    </w:rPr>
  </w:style>
  <w:style w:type="paragraph" w:customStyle="1" w:styleId="Heading51">
    <w:name w:val="Heading 51"/>
    <w:basedOn w:val="Normal"/>
    <w:next w:val="Normal"/>
    <w:uiPriority w:val="9"/>
    <w:semiHidden/>
    <w:unhideWhenUsed/>
    <w:qFormat/>
    <w:rsid w:val="00F51F47"/>
    <w:pPr>
      <w:spacing w:before="200" w:after="0" w:line="276" w:lineRule="auto"/>
      <w:jc w:val="left"/>
      <w:outlineLvl w:val="4"/>
    </w:pPr>
    <w:rPr>
      <w:rFonts w:ascii="Cambria" w:eastAsia="SimSun" w:hAnsi="Cambria" w:cs="Times New Roman"/>
      <w:b/>
      <w:bCs/>
      <w:color w:val="7F7F7F"/>
      <w:sz w:val="22"/>
    </w:rPr>
  </w:style>
  <w:style w:type="paragraph" w:customStyle="1" w:styleId="Heading61">
    <w:name w:val="Heading 61"/>
    <w:basedOn w:val="Normal"/>
    <w:next w:val="Normal"/>
    <w:uiPriority w:val="9"/>
    <w:semiHidden/>
    <w:unhideWhenUsed/>
    <w:qFormat/>
    <w:rsid w:val="00F51F47"/>
    <w:pPr>
      <w:spacing w:after="0" w:line="271" w:lineRule="auto"/>
      <w:jc w:val="left"/>
      <w:outlineLvl w:val="5"/>
    </w:pPr>
    <w:rPr>
      <w:rFonts w:ascii="Cambria" w:eastAsia="SimSun" w:hAnsi="Cambria" w:cs="Times New Roman"/>
      <w:b/>
      <w:bCs/>
      <w:i/>
      <w:iCs/>
      <w:color w:val="7F7F7F"/>
      <w:sz w:val="22"/>
    </w:rPr>
  </w:style>
  <w:style w:type="paragraph" w:customStyle="1" w:styleId="Heading71">
    <w:name w:val="Heading 71"/>
    <w:basedOn w:val="Normal"/>
    <w:next w:val="Normal"/>
    <w:uiPriority w:val="9"/>
    <w:semiHidden/>
    <w:unhideWhenUsed/>
    <w:qFormat/>
    <w:rsid w:val="00F51F47"/>
    <w:pPr>
      <w:spacing w:after="0" w:line="276" w:lineRule="auto"/>
      <w:jc w:val="left"/>
      <w:outlineLvl w:val="6"/>
    </w:pPr>
    <w:rPr>
      <w:rFonts w:ascii="Cambria" w:eastAsia="SimSun" w:hAnsi="Cambria" w:cs="Times New Roman"/>
      <w:i/>
      <w:iCs/>
      <w:sz w:val="22"/>
    </w:rPr>
  </w:style>
  <w:style w:type="paragraph" w:customStyle="1" w:styleId="Heading81">
    <w:name w:val="Heading 81"/>
    <w:basedOn w:val="Normal"/>
    <w:next w:val="Normal"/>
    <w:uiPriority w:val="9"/>
    <w:semiHidden/>
    <w:unhideWhenUsed/>
    <w:qFormat/>
    <w:rsid w:val="00F51F47"/>
    <w:pPr>
      <w:spacing w:after="0" w:line="276" w:lineRule="auto"/>
      <w:jc w:val="left"/>
      <w:outlineLvl w:val="7"/>
    </w:pPr>
    <w:rPr>
      <w:rFonts w:ascii="Cambria" w:eastAsia="SimSun" w:hAnsi="Cambria" w:cs="Times New Roman"/>
      <w:sz w:val="20"/>
      <w:szCs w:val="20"/>
    </w:rPr>
  </w:style>
  <w:style w:type="paragraph" w:customStyle="1" w:styleId="Heading91">
    <w:name w:val="Heading 91"/>
    <w:basedOn w:val="Normal"/>
    <w:next w:val="Normal"/>
    <w:uiPriority w:val="9"/>
    <w:semiHidden/>
    <w:unhideWhenUsed/>
    <w:qFormat/>
    <w:rsid w:val="00F51F47"/>
    <w:pPr>
      <w:spacing w:after="0" w:line="276" w:lineRule="auto"/>
      <w:jc w:val="left"/>
      <w:outlineLvl w:val="8"/>
    </w:pPr>
    <w:rPr>
      <w:rFonts w:ascii="Cambria" w:eastAsia="SimSun" w:hAnsi="Cambria" w:cs="Times New Roman"/>
      <w:i/>
      <w:iCs/>
      <w:spacing w:val="5"/>
      <w:sz w:val="20"/>
      <w:szCs w:val="20"/>
    </w:rPr>
  </w:style>
  <w:style w:type="numbering" w:customStyle="1" w:styleId="NoList11">
    <w:name w:val="No List11"/>
    <w:next w:val="NoList"/>
    <w:uiPriority w:val="99"/>
    <w:semiHidden/>
    <w:unhideWhenUsed/>
    <w:rsid w:val="00F51F47"/>
  </w:style>
  <w:style w:type="character" w:customStyle="1" w:styleId="Hyperlink1">
    <w:name w:val="Hyperlink1"/>
    <w:basedOn w:val="DefaultParagraphFont"/>
    <w:uiPriority w:val="99"/>
    <w:unhideWhenUsed/>
    <w:rsid w:val="00F51F47"/>
    <w:rPr>
      <w:color w:val="0000FF"/>
      <w:u w:val="single"/>
    </w:rPr>
  </w:style>
  <w:style w:type="paragraph" w:customStyle="1" w:styleId="ListParagraph1">
    <w:name w:val="List Paragraph1"/>
    <w:basedOn w:val="Normal"/>
    <w:next w:val="ListParagraph"/>
    <w:uiPriority w:val="34"/>
    <w:qFormat/>
    <w:rsid w:val="00F51F47"/>
    <w:pPr>
      <w:spacing w:after="160" w:line="256" w:lineRule="auto"/>
      <w:ind w:left="720"/>
      <w:contextualSpacing/>
    </w:pPr>
    <w:rPr>
      <w:rFonts w:eastAsia="Calibri"/>
      <w:lang w:eastAsia="en-US"/>
    </w:rPr>
  </w:style>
  <w:style w:type="paragraph" w:customStyle="1" w:styleId="CommentText1">
    <w:name w:val="Comment Text1"/>
    <w:basedOn w:val="Normal"/>
    <w:next w:val="CommentText"/>
    <w:uiPriority w:val="99"/>
    <w:unhideWhenUsed/>
    <w:rsid w:val="00F51F47"/>
    <w:pPr>
      <w:spacing w:after="160" w:line="240" w:lineRule="auto"/>
    </w:pPr>
    <w:rPr>
      <w:rFonts w:ascii="Calibri" w:eastAsia="Calibri" w:hAnsi="Calibri"/>
      <w:sz w:val="20"/>
      <w:szCs w:val="20"/>
      <w:lang w:eastAsia="en-US"/>
    </w:rPr>
  </w:style>
  <w:style w:type="character" w:customStyle="1" w:styleId="CommentTextChar1">
    <w:name w:val="Comment Text Char1"/>
    <w:basedOn w:val="DefaultParagraphFont"/>
    <w:uiPriority w:val="99"/>
    <w:semiHidden/>
    <w:rsid w:val="00F51F47"/>
    <w:rPr>
      <w:sz w:val="20"/>
      <w:szCs w:val="20"/>
    </w:rPr>
  </w:style>
  <w:style w:type="table" w:customStyle="1" w:styleId="TableGrid12">
    <w:name w:val="Table Grid12"/>
    <w:basedOn w:val="TableNormal"/>
    <w:next w:val="TableGrid"/>
    <w:uiPriority w:val="39"/>
    <w:rsid w:val="00F51F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F51F47"/>
    <w:pPr>
      <w:spacing w:line="240" w:lineRule="auto"/>
    </w:pPr>
    <w:rPr>
      <w:rFonts w:eastAsia="Calibri"/>
      <w:b/>
      <w:bCs/>
      <w:color w:val="4F81BD"/>
      <w:sz w:val="18"/>
      <w:szCs w:val="18"/>
      <w:lang w:eastAsia="en-US"/>
    </w:rPr>
  </w:style>
  <w:style w:type="character" w:customStyle="1" w:styleId="FollowedHyperlink1">
    <w:name w:val="FollowedHyperlink1"/>
    <w:basedOn w:val="DefaultParagraphFont"/>
    <w:uiPriority w:val="99"/>
    <w:semiHidden/>
    <w:unhideWhenUsed/>
    <w:rsid w:val="00F51F47"/>
    <w:rPr>
      <w:color w:val="800080"/>
      <w:u w:val="single"/>
    </w:rPr>
  </w:style>
  <w:style w:type="paragraph" w:customStyle="1" w:styleId="Revision1">
    <w:name w:val="Revision1"/>
    <w:next w:val="Revision"/>
    <w:hidden/>
    <w:uiPriority w:val="99"/>
    <w:semiHidden/>
    <w:rsid w:val="00F51F47"/>
    <w:pPr>
      <w:spacing w:after="0" w:line="240" w:lineRule="auto"/>
    </w:pPr>
    <w:rPr>
      <w:rFonts w:eastAsia="Calibri"/>
      <w:lang w:eastAsia="en-US"/>
    </w:rPr>
  </w:style>
  <w:style w:type="paragraph" w:customStyle="1" w:styleId="TOC11">
    <w:name w:val="TOC 11"/>
    <w:basedOn w:val="Normal"/>
    <w:next w:val="Normal"/>
    <w:autoRedefine/>
    <w:uiPriority w:val="39"/>
    <w:unhideWhenUsed/>
    <w:rsid w:val="00F51F47"/>
    <w:pPr>
      <w:spacing w:before="240" w:after="120"/>
      <w:jc w:val="left"/>
    </w:pPr>
    <w:rPr>
      <w:rFonts w:ascii="Calibri" w:eastAsia="SimSun" w:hAnsi="Calibri" w:cs="Calibri"/>
      <w:b/>
      <w:bCs/>
      <w:sz w:val="20"/>
      <w:szCs w:val="20"/>
    </w:rPr>
  </w:style>
  <w:style w:type="paragraph" w:customStyle="1" w:styleId="TOC21">
    <w:name w:val="TOC 21"/>
    <w:basedOn w:val="Normal"/>
    <w:next w:val="Normal"/>
    <w:autoRedefine/>
    <w:uiPriority w:val="39"/>
    <w:unhideWhenUsed/>
    <w:rsid w:val="00F51F47"/>
    <w:pPr>
      <w:spacing w:before="120" w:after="0"/>
      <w:ind w:left="240"/>
      <w:jc w:val="left"/>
    </w:pPr>
    <w:rPr>
      <w:rFonts w:ascii="Calibri" w:eastAsia="SimSun" w:hAnsi="Calibri" w:cs="Calibri"/>
      <w:i/>
      <w:iCs/>
      <w:sz w:val="20"/>
      <w:szCs w:val="20"/>
    </w:rPr>
  </w:style>
  <w:style w:type="paragraph" w:customStyle="1" w:styleId="TOC31">
    <w:name w:val="TOC 31"/>
    <w:basedOn w:val="Normal"/>
    <w:next w:val="Normal"/>
    <w:autoRedefine/>
    <w:uiPriority w:val="39"/>
    <w:unhideWhenUsed/>
    <w:rsid w:val="00F51F47"/>
    <w:pPr>
      <w:spacing w:after="0"/>
      <w:ind w:left="480"/>
      <w:jc w:val="left"/>
    </w:pPr>
    <w:rPr>
      <w:rFonts w:ascii="Calibri" w:eastAsia="SimSun" w:hAnsi="Calibri" w:cs="Calibri"/>
      <w:sz w:val="20"/>
      <w:szCs w:val="20"/>
    </w:rPr>
  </w:style>
  <w:style w:type="table" w:customStyle="1" w:styleId="Calendar11">
    <w:name w:val="Calendar 11"/>
    <w:basedOn w:val="TableNormal"/>
    <w:uiPriority w:val="99"/>
    <w:qFormat/>
    <w:rsid w:val="00F51F47"/>
    <w:pPr>
      <w:spacing w:after="0" w:line="240" w:lineRule="auto"/>
    </w:pPr>
    <w:rPr>
      <w:rFonts w:eastAsia="SimSun"/>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
    <w:name w:val="Light Shading - Accent 11"/>
    <w:basedOn w:val="TableNormal"/>
    <w:next w:val="LightShading-Accent1"/>
    <w:uiPriority w:val="60"/>
    <w:rsid w:val="00F51F47"/>
    <w:pPr>
      <w:spacing w:after="0" w:line="240" w:lineRule="auto"/>
    </w:pPr>
    <w:rPr>
      <w:rFonts w:eastAsia="SimSu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le1">
    <w:name w:val="Title1"/>
    <w:basedOn w:val="Normal"/>
    <w:next w:val="Normal"/>
    <w:uiPriority w:val="10"/>
    <w:qFormat/>
    <w:rsid w:val="00F51F47"/>
    <w:pPr>
      <w:pBdr>
        <w:bottom w:val="single" w:sz="4" w:space="1" w:color="auto"/>
      </w:pBdr>
      <w:spacing w:line="240" w:lineRule="auto"/>
      <w:contextualSpacing/>
      <w:jc w:val="left"/>
    </w:pPr>
    <w:rPr>
      <w:rFonts w:ascii="Cambria" w:eastAsia="SimSun" w:hAnsi="Cambria" w:cs="Times New Roman"/>
      <w:spacing w:val="5"/>
      <w:sz w:val="52"/>
      <w:szCs w:val="52"/>
    </w:rPr>
  </w:style>
  <w:style w:type="paragraph" w:customStyle="1" w:styleId="Subtitle1">
    <w:name w:val="Subtitle1"/>
    <w:basedOn w:val="Normal"/>
    <w:next w:val="Normal"/>
    <w:uiPriority w:val="11"/>
    <w:qFormat/>
    <w:rsid w:val="00F51F47"/>
    <w:pPr>
      <w:spacing w:after="600" w:line="276" w:lineRule="auto"/>
      <w:jc w:val="left"/>
    </w:pPr>
    <w:rPr>
      <w:rFonts w:ascii="Cambria" w:eastAsia="SimSun" w:hAnsi="Cambria" w:cs="Times New Roman"/>
      <w:i/>
      <w:iCs/>
      <w:spacing w:val="13"/>
      <w:szCs w:val="24"/>
    </w:rPr>
  </w:style>
  <w:style w:type="paragraph" w:customStyle="1" w:styleId="NoSpacing1">
    <w:name w:val="No Spacing1"/>
    <w:basedOn w:val="Normal"/>
    <w:next w:val="NoSpacing"/>
    <w:uiPriority w:val="1"/>
    <w:qFormat/>
    <w:rsid w:val="00F51F47"/>
    <w:pPr>
      <w:spacing w:after="0" w:line="240" w:lineRule="auto"/>
      <w:jc w:val="left"/>
    </w:pPr>
    <w:rPr>
      <w:rFonts w:ascii="Calibri" w:eastAsia="SimSun" w:hAnsi="Calibri"/>
      <w:sz w:val="22"/>
    </w:rPr>
  </w:style>
  <w:style w:type="paragraph" w:customStyle="1" w:styleId="Quote1">
    <w:name w:val="Quote1"/>
    <w:basedOn w:val="Normal"/>
    <w:next w:val="Normal"/>
    <w:uiPriority w:val="29"/>
    <w:qFormat/>
    <w:rsid w:val="00F51F47"/>
    <w:pPr>
      <w:spacing w:before="200" w:after="0" w:line="276" w:lineRule="auto"/>
      <w:ind w:left="360" w:right="360"/>
      <w:jc w:val="left"/>
    </w:pPr>
    <w:rPr>
      <w:rFonts w:ascii="Calibri" w:eastAsia="SimSun" w:hAnsi="Calibri"/>
      <w:i/>
      <w:iCs/>
      <w:sz w:val="22"/>
    </w:rPr>
  </w:style>
  <w:style w:type="paragraph" w:customStyle="1" w:styleId="IntenseQuote1">
    <w:name w:val="Intense Quote1"/>
    <w:basedOn w:val="Normal"/>
    <w:next w:val="Normal"/>
    <w:uiPriority w:val="30"/>
    <w:qFormat/>
    <w:rsid w:val="00F51F47"/>
    <w:pPr>
      <w:pBdr>
        <w:bottom w:val="single" w:sz="4" w:space="1" w:color="auto"/>
      </w:pBdr>
      <w:spacing w:before="200" w:after="280" w:line="276" w:lineRule="auto"/>
      <w:ind w:left="1008" w:right="1152"/>
    </w:pPr>
    <w:rPr>
      <w:rFonts w:ascii="Calibri" w:eastAsia="SimSun" w:hAnsi="Calibri"/>
      <w:b/>
      <w:bCs/>
      <w:i/>
      <w:iCs/>
      <w:sz w:val="22"/>
    </w:rPr>
  </w:style>
  <w:style w:type="paragraph" w:customStyle="1" w:styleId="TOC41">
    <w:name w:val="TOC 41"/>
    <w:basedOn w:val="Normal"/>
    <w:next w:val="Normal"/>
    <w:autoRedefine/>
    <w:uiPriority w:val="39"/>
    <w:unhideWhenUsed/>
    <w:rsid w:val="00F51F47"/>
    <w:pPr>
      <w:spacing w:after="0"/>
      <w:ind w:left="720"/>
      <w:jc w:val="left"/>
    </w:pPr>
    <w:rPr>
      <w:rFonts w:ascii="Calibri" w:eastAsia="SimSun" w:hAnsi="Calibri" w:cs="Calibri"/>
      <w:sz w:val="20"/>
      <w:szCs w:val="20"/>
    </w:rPr>
  </w:style>
  <w:style w:type="paragraph" w:customStyle="1" w:styleId="TOC51">
    <w:name w:val="TOC 51"/>
    <w:basedOn w:val="Normal"/>
    <w:next w:val="Normal"/>
    <w:autoRedefine/>
    <w:uiPriority w:val="39"/>
    <w:unhideWhenUsed/>
    <w:rsid w:val="00F51F47"/>
    <w:pPr>
      <w:spacing w:after="0"/>
      <w:ind w:left="960"/>
      <w:jc w:val="left"/>
    </w:pPr>
    <w:rPr>
      <w:rFonts w:ascii="Calibri" w:eastAsia="SimSun" w:hAnsi="Calibri" w:cs="Calibri"/>
      <w:sz w:val="20"/>
      <w:szCs w:val="20"/>
    </w:rPr>
  </w:style>
  <w:style w:type="paragraph" w:customStyle="1" w:styleId="TOC61">
    <w:name w:val="TOC 61"/>
    <w:basedOn w:val="Normal"/>
    <w:next w:val="Normal"/>
    <w:autoRedefine/>
    <w:uiPriority w:val="39"/>
    <w:unhideWhenUsed/>
    <w:rsid w:val="00F51F47"/>
    <w:pPr>
      <w:spacing w:after="0"/>
      <w:ind w:left="1200"/>
      <w:jc w:val="left"/>
    </w:pPr>
    <w:rPr>
      <w:rFonts w:ascii="Calibri" w:eastAsia="SimSun" w:hAnsi="Calibri" w:cs="Calibri"/>
      <w:sz w:val="20"/>
      <w:szCs w:val="20"/>
    </w:rPr>
  </w:style>
  <w:style w:type="paragraph" w:customStyle="1" w:styleId="TOC71">
    <w:name w:val="TOC 71"/>
    <w:basedOn w:val="Normal"/>
    <w:next w:val="Normal"/>
    <w:autoRedefine/>
    <w:uiPriority w:val="39"/>
    <w:unhideWhenUsed/>
    <w:rsid w:val="00F51F47"/>
    <w:pPr>
      <w:spacing w:after="0"/>
      <w:ind w:left="1440"/>
      <w:jc w:val="left"/>
    </w:pPr>
    <w:rPr>
      <w:rFonts w:ascii="Calibri" w:eastAsia="SimSun" w:hAnsi="Calibri" w:cs="Calibri"/>
      <w:sz w:val="20"/>
      <w:szCs w:val="20"/>
    </w:rPr>
  </w:style>
  <w:style w:type="paragraph" w:customStyle="1" w:styleId="TOC81">
    <w:name w:val="TOC 81"/>
    <w:basedOn w:val="Normal"/>
    <w:next w:val="Normal"/>
    <w:autoRedefine/>
    <w:uiPriority w:val="39"/>
    <w:unhideWhenUsed/>
    <w:rsid w:val="00F51F47"/>
    <w:pPr>
      <w:spacing w:after="0"/>
      <w:ind w:left="1680"/>
      <w:jc w:val="left"/>
    </w:pPr>
    <w:rPr>
      <w:rFonts w:ascii="Calibri" w:eastAsia="SimSun" w:hAnsi="Calibri" w:cs="Calibri"/>
      <w:sz w:val="20"/>
      <w:szCs w:val="20"/>
    </w:rPr>
  </w:style>
  <w:style w:type="paragraph" w:customStyle="1" w:styleId="TOC91">
    <w:name w:val="TOC 91"/>
    <w:basedOn w:val="Normal"/>
    <w:next w:val="Normal"/>
    <w:autoRedefine/>
    <w:uiPriority w:val="39"/>
    <w:unhideWhenUsed/>
    <w:rsid w:val="00F51F47"/>
    <w:pPr>
      <w:spacing w:after="0"/>
      <w:ind w:left="1920"/>
      <w:jc w:val="left"/>
    </w:pPr>
    <w:rPr>
      <w:rFonts w:ascii="Calibri" w:eastAsia="SimSun" w:hAnsi="Calibri" w:cs="Calibri"/>
      <w:sz w:val="20"/>
      <w:szCs w:val="20"/>
    </w:rPr>
  </w:style>
  <w:style w:type="numbering" w:customStyle="1" w:styleId="NoList111">
    <w:name w:val="No List111"/>
    <w:next w:val="NoList"/>
    <w:uiPriority w:val="99"/>
    <w:semiHidden/>
    <w:unhideWhenUsed/>
    <w:rsid w:val="00F51F47"/>
  </w:style>
  <w:style w:type="table" w:customStyle="1" w:styleId="TableGrid111">
    <w:name w:val="Table Grid111"/>
    <w:basedOn w:val="TableNormal"/>
    <w:next w:val="TableGrid"/>
    <w:uiPriority w:val="39"/>
    <w:rsid w:val="00F51F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1F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next w:val="LightShading-Accent1"/>
    <w:uiPriority w:val="60"/>
    <w:semiHidden/>
    <w:unhideWhenUsed/>
    <w:rsid w:val="00F51F47"/>
    <w:pPr>
      <w:spacing w:after="0" w:line="240" w:lineRule="auto"/>
    </w:pPr>
    <w:rPr>
      <w:rFonts w:eastAsia="Calibri"/>
      <w:color w:val="2E74B5"/>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F51F4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F51F47"/>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F51F47"/>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F51F47"/>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F51F47"/>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F51F47"/>
    <w:rPr>
      <w:rFonts w:ascii="Calibri Light" w:eastAsia="Times New Roman" w:hAnsi="Calibri Light" w:cs="Times New Roman"/>
      <w:i/>
      <w:iCs/>
      <w:color w:val="272727"/>
      <w:sz w:val="21"/>
      <w:szCs w:val="21"/>
    </w:rPr>
  </w:style>
  <w:style w:type="character" w:customStyle="1" w:styleId="TitleChar1">
    <w:name w:val="Title Char1"/>
    <w:basedOn w:val="DefaultParagraphFont"/>
    <w:uiPriority w:val="10"/>
    <w:rsid w:val="00F51F47"/>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F51F47"/>
    <w:rPr>
      <w:rFonts w:eastAsia="Times New Roman"/>
      <w:color w:val="5A5A5A"/>
      <w:spacing w:val="15"/>
    </w:rPr>
  </w:style>
  <w:style w:type="character" w:customStyle="1" w:styleId="QuoteChar1">
    <w:name w:val="Quote Char1"/>
    <w:basedOn w:val="DefaultParagraphFont"/>
    <w:uiPriority w:val="29"/>
    <w:rsid w:val="00F51F47"/>
    <w:rPr>
      <w:i/>
      <w:iCs/>
      <w:color w:val="404040"/>
    </w:rPr>
  </w:style>
  <w:style w:type="character" w:customStyle="1" w:styleId="IntenseQuoteChar1">
    <w:name w:val="Intense Quote Char1"/>
    <w:basedOn w:val="DefaultParagraphFont"/>
    <w:uiPriority w:val="30"/>
    <w:rsid w:val="00F51F47"/>
    <w:rPr>
      <w:i/>
      <w:iCs/>
      <w:color w:val="5B9BD5"/>
    </w:rPr>
  </w:style>
  <w:style w:type="table" w:customStyle="1" w:styleId="PlainTable21">
    <w:name w:val="Plain Table 21"/>
    <w:basedOn w:val="TableNormal"/>
    <w:uiPriority w:val="42"/>
    <w:rsid w:val="00BF5DA1"/>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48758F"/>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285D61"/>
    <w:pPr>
      <w:spacing w:after="0"/>
    </w:pPr>
  </w:style>
  <w:style w:type="paragraph" w:customStyle="1" w:styleId="Captions">
    <w:name w:val="Captions"/>
    <w:basedOn w:val="Normal"/>
    <w:link w:val="CaptionsChar"/>
    <w:qFormat/>
    <w:rsid w:val="003941AA"/>
    <w:pPr>
      <w:spacing w:line="240" w:lineRule="auto"/>
    </w:pPr>
  </w:style>
  <w:style w:type="character" w:customStyle="1" w:styleId="CaptionsChar">
    <w:name w:val="Captions Char"/>
    <w:basedOn w:val="DefaultParagraphFont"/>
    <w:link w:val="Captions"/>
    <w:rsid w:val="003941AA"/>
    <w:rPr>
      <w:rFonts w:ascii="Arial" w:hAnsi="Arial"/>
      <w:sz w:val="24"/>
    </w:rPr>
  </w:style>
  <w:style w:type="character" w:styleId="LineNumber">
    <w:name w:val="line number"/>
    <w:basedOn w:val="DefaultParagraphFont"/>
    <w:uiPriority w:val="99"/>
    <w:semiHidden/>
    <w:unhideWhenUsed/>
    <w:rsid w:val="00B34C5F"/>
  </w:style>
  <w:style w:type="table" w:customStyle="1" w:styleId="QQuestionTable">
    <w:name w:val="QQuestionTable"/>
    <w:uiPriority w:val="99"/>
    <w:qFormat/>
    <w:rsid w:val="00DA2259"/>
    <w:pPr>
      <w:spacing w:after="0" w:line="240" w:lineRule="auto"/>
      <w:jc w:val="center"/>
    </w:pPr>
    <w:rPr>
      <w:sz w:val="20"/>
      <w:szCs w:val="20"/>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DA2259"/>
    <w:pPr>
      <w:spacing w:after="0" w:line="240" w:lineRule="auto"/>
      <w:jc w:val="center"/>
    </w:pPr>
    <w:rPr>
      <w:sz w:val="20"/>
      <w:szCs w:val="20"/>
      <w:lang w:val="en-US" w:eastAsia="en-US"/>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DA2259"/>
    <w:pPr>
      <w:spacing w:after="0" w:line="240" w:lineRule="auto"/>
      <w:jc w:val="center"/>
    </w:pPr>
    <w:rPr>
      <w:lang w:val="en-US" w:eastAsia="en-US"/>
    </w:rPr>
    <w:tblPr>
      <w:tblCellMar>
        <w:top w:w="0" w:type="dxa"/>
        <w:left w:w="0" w:type="dxa"/>
        <w:bottom w:w="0" w:type="dxa"/>
        <w:right w:w="0" w:type="dxa"/>
      </w:tblCellMar>
    </w:tblPr>
  </w:style>
  <w:style w:type="numbering" w:customStyle="1" w:styleId="Multipunch">
    <w:name w:val="Multi punch"/>
    <w:rsid w:val="00DA2259"/>
    <w:pPr>
      <w:numPr>
        <w:numId w:val="49"/>
      </w:numPr>
    </w:pPr>
  </w:style>
  <w:style w:type="numbering" w:customStyle="1" w:styleId="Singlepunch">
    <w:name w:val="Single punch"/>
    <w:rsid w:val="00DA2259"/>
    <w:pPr>
      <w:numPr>
        <w:numId w:val="51"/>
      </w:numPr>
    </w:pPr>
  </w:style>
  <w:style w:type="paragraph" w:customStyle="1" w:styleId="QuestionSeparator">
    <w:name w:val="QuestionSeparator"/>
    <w:basedOn w:val="Normal"/>
    <w:qFormat/>
    <w:rsid w:val="00DA2259"/>
    <w:pPr>
      <w:pBdr>
        <w:top w:val="dashed" w:sz="8" w:space="0" w:color="CCCCCC"/>
      </w:pBdr>
      <w:spacing w:before="120" w:after="120" w:line="120" w:lineRule="auto"/>
      <w:jc w:val="left"/>
    </w:pPr>
    <w:rPr>
      <w:rFonts w:asciiTheme="minorHAnsi" w:hAnsiTheme="minorHAnsi"/>
      <w:sz w:val="22"/>
      <w:lang w:val="en-US" w:eastAsia="en-US"/>
    </w:rPr>
  </w:style>
  <w:style w:type="paragraph" w:customStyle="1" w:styleId="TextEntryLine">
    <w:name w:val="TextEntryLine"/>
    <w:basedOn w:val="Normal"/>
    <w:qFormat/>
    <w:rsid w:val="00DA2259"/>
    <w:pPr>
      <w:spacing w:before="240" w:after="0" w:line="240" w:lineRule="auto"/>
      <w:jc w:val="left"/>
    </w:pPr>
    <w:rPr>
      <w:rFonts w:asciiTheme="minorHAnsi" w:hAnsiTheme="minorHAnsi"/>
      <w:sz w:val="22"/>
      <w:lang w:val="en-US" w:eastAsia="en-US"/>
    </w:rPr>
  </w:style>
  <w:style w:type="paragraph" w:styleId="BodyText">
    <w:name w:val="Body Text"/>
    <w:basedOn w:val="Normal"/>
    <w:link w:val="BodyTextChar"/>
    <w:rsid w:val="00C31046"/>
    <w:pPr>
      <w:spacing w:after="120" w:line="240" w:lineRule="auto"/>
      <w:jc w:val="left"/>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C31046"/>
    <w:rPr>
      <w:rFonts w:ascii="Times New Roman" w:eastAsia="Times New Roman" w:hAnsi="Times New Roman" w:cs="Times New Roman"/>
      <w:sz w:val="20"/>
      <w:szCs w:val="20"/>
      <w:lang w:eastAsia="en-US"/>
    </w:rPr>
  </w:style>
  <w:style w:type="paragraph" w:customStyle="1" w:styleId="oh">
    <w:name w:val="oh"/>
    <w:basedOn w:val="Normal"/>
    <w:rsid w:val="00C31046"/>
    <w:pPr>
      <w:spacing w:after="0" w:line="240" w:lineRule="auto"/>
    </w:pPr>
    <w:rPr>
      <w:rFonts w:ascii="Helvetica" w:eastAsia="Times New Roman" w:hAnsi="Helvetica" w:cs="Times New Roman"/>
      <w:b/>
      <w:sz w:val="28"/>
      <w:szCs w:val="20"/>
      <w:lang w:eastAsia="en-US"/>
    </w:rPr>
  </w:style>
  <w:style w:type="paragraph" w:customStyle="1" w:styleId="BlockEndLabel">
    <w:name w:val="BlockEndLabel"/>
    <w:basedOn w:val="Normal"/>
    <w:qFormat/>
    <w:rsid w:val="00462E63"/>
    <w:pPr>
      <w:spacing w:before="120" w:after="0" w:line="240" w:lineRule="auto"/>
      <w:jc w:val="left"/>
    </w:pPr>
    <w:rPr>
      <w:rFonts w:asciiTheme="minorHAnsi" w:hAnsiTheme="minorHAnsi"/>
      <w:b/>
      <w:color w:val="CCCCCC"/>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8535">
      <w:bodyDiv w:val="1"/>
      <w:marLeft w:val="0"/>
      <w:marRight w:val="0"/>
      <w:marTop w:val="0"/>
      <w:marBottom w:val="0"/>
      <w:divBdr>
        <w:top w:val="none" w:sz="0" w:space="0" w:color="auto"/>
        <w:left w:val="none" w:sz="0" w:space="0" w:color="auto"/>
        <w:bottom w:val="none" w:sz="0" w:space="0" w:color="auto"/>
        <w:right w:val="none" w:sz="0" w:space="0" w:color="auto"/>
      </w:divBdr>
    </w:div>
    <w:div w:id="97407379">
      <w:bodyDiv w:val="1"/>
      <w:marLeft w:val="0"/>
      <w:marRight w:val="0"/>
      <w:marTop w:val="0"/>
      <w:marBottom w:val="0"/>
      <w:divBdr>
        <w:top w:val="none" w:sz="0" w:space="0" w:color="auto"/>
        <w:left w:val="none" w:sz="0" w:space="0" w:color="auto"/>
        <w:bottom w:val="none" w:sz="0" w:space="0" w:color="auto"/>
        <w:right w:val="none" w:sz="0" w:space="0" w:color="auto"/>
      </w:divBdr>
      <w:divsChild>
        <w:div w:id="1332833011">
          <w:marLeft w:val="0"/>
          <w:marRight w:val="0"/>
          <w:marTop w:val="0"/>
          <w:marBottom w:val="0"/>
          <w:divBdr>
            <w:top w:val="none" w:sz="0" w:space="0" w:color="auto"/>
            <w:left w:val="none" w:sz="0" w:space="0" w:color="auto"/>
            <w:bottom w:val="none" w:sz="0" w:space="0" w:color="auto"/>
            <w:right w:val="none" w:sz="0" w:space="0" w:color="auto"/>
          </w:divBdr>
        </w:div>
      </w:divsChild>
    </w:div>
    <w:div w:id="232816212">
      <w:bodyDiv w:val="1"/>
      <w:marLeft w:val="0"/>
      <w:marRight w:val="0"/>
      <w:marTop w:val="0"/>
      <w:marBottom w:val="0"/>
      <w:divBdr>
        <w:top w:val="none" w:sz="0" w:space="0" w:color="auto"/>
        <w:left w:val="none" w:sz="0" w:space="0" w:color="auto"/>
        <w:bottom w:val="none" w:sz="0" w:space="0" w:color="auto"/>
        <w:right w:val="none" w:sz="0" w:space="0" w:color="auto"/>
      </w:divBdr>
    </w:div>
    <w:div w:id="412046625">
      <w:bodyDiv w:val="1"/>
      <w:marLeft w:val="0"/>
      <w:marRight w:val="0"/>
      <w:marTop w:val="0"/>
      <w:marBottom w:val="0"/>
      <w:divBdr>
        <w:top w:val="none" w:sz="0" w:space="0" w:color="auto"/>
        <w:left w:val="none" w:sz="0" w:space="0" w:color="auto"/>
        <w:bottom w:val="none" w:sz="0" w:space="0" w:color="auto"/>
        <w:right w:val="none" w:sz="0" w:space="0" w:color="auto"/>
      </w:divBdr>
    </w:div>
    <w:div w:id="445544043">
      <w:bodyDiv w:val="1"/>
      <w:marLeft w:val="0"/>
      <w:marRight w:val="0"/>
      <w:marTop w:val="0"/>
      <w:marBottom w:val="0"/>
      <w:divBdr>
        <w:top w:val="none" w:sz="0" w:space="0" w:color="auto"/>
        <w:left w:val="none" w:sz="0" w:space="0" w:color="auto"/>
        <w:bottom w:val="none" w:sz="0" w:space="0" w:color="auto"/>
        <w:right w:val="none" w:sz="0" w:space="0" w:color="auto"/>
      </w:divBdr>
    </w:div>
    <w:div w:id="623124020">
      <w:bodyDiv w:val="1"/>
      <w:marLeft w:val="0"/>
      <w:marRight w:val="0"/>
      <w:marTop w:val="0"/>
      <w:marBottom w:val="0"/>
      <w:divBdr>
        <w:top w:val="none" w:sz="0" w:space="0" w:color="auto"/>
        <w:left w:val="none" w:sz="0" w:space="0" w:color="auto"/>
        <w:bottom w:val="none" w:sz="0" w:space="0" w:color="auto"/>
        <w:right w:val="none" w:sz="0" w:space="0" w:color="auto"/>
      </w:divBdr>
      <w:divsChild>
        <w:div w:id="1806510801">
          <w:marLeft w:val="0"/>
          <w:marRight w:val="0"/>
          <w:marTop w:val="0"/>
          <w:marBottom w:val="120"/>
          <w:divBdr>
            <w:top w:val="none" w:sz="0" w:space="0" w:color="auto"/>
            <w:left w:val="none" w:sz="0" w:space="0" w:color="auto"/>
            <w:bottom w:val="none" w:sz="0" w:space="0" w:color="auto"/>
            <w:right w:val="none" w:sz="0" w:space="0" w:color="auto"/>
          </w:divBdr>
          <w:divsChild>
            <w:div w:id="238058130">
              <w:marLeft w:val="0"/>
              <w:marRight w:val="0"/>
              <w:marTop w:val="0"/>
              <w:marBottom w:val="0"/>
              <w:divBdr>
                <w:top w:val="none" w:sz="0" w:space="0" w:color="auto"/>
                <w:left w:val="none" w:sz="0" w:space="0" w:color="auto"/>
                <w:bottom w:val="none" w:sz="0" w:space="0" w:color="auto"/>
                <w:right w:val="none" w:sz="0" w:space="0" w:color="auto"/>
              </w:divBdr>
              <w:divsChild>
                <w:div w:id="1098869177">
                  <w:marLeft w:val="0"/>
                  <w:marRight w:val="0"/>
                  <w:marTop w:val="0"/>
                  <w:marBottom w:val="0"/>
                  <w:divBdr>
                    <w:top w:val="none" w:sz="0" w:space="0" w:color="auto"/>
                    <w:left w:val="none" w:sz="0" w:space="0" w:color="auto"/>
                    <w:bottom w:val="none" w:sz="0" w:space="0" w:color="auto"/>
                    <w:right w:val="none" w:sz="0" w:space="0" w:color="auto"/>
                  </w:divBdr>
                  <w:divsChild>
                    <w:div w:id="16269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3314">
      <w:bodyDiv w:val="1"/>
      <w:marLeft w:val="0"/>
      <w:marRight w:val="0"/>
      <w:marTop w:val="0"/>
      <w:marBottom w:val="0"/>
      <w:divBdr>
        <w:top w:val="none" w:sz="0" w:space="0" w:color="auto"/>
        <w:left w:val="none" w:sz="0" w:space="0" w:color="auto"/>
        <w:bottom w:val="none" w:sz="0" w:space="0" w:color="auto"/>
        <w:right w:val="none" w:sz="0" w:space="0" w:color="auto"/>
      </w:divBdr>
    </w:div>
    <w:div w:id="880937584">
      <w:bodyDiv w:val="1"/>
      <w:marLeft w:val="0"/>
      <w:marRight w:val="0"/>
      <w:marTop w:val="0"/>
      <w:marBottom w:val="0"/>
      <w:divBdr>
        <w:top w:val="none" w:sz="0" w:space="0" w:color="auto"/>
        <w:left w:val="none" w:sz="0" w:space="0" w:color="auto"/>
        <w:bottom w:val="none" w:sz="0" w:space="0" w:color="auto"/>
        <w:right w:val="none" w:sz="0" w:space="0" w:color="auto"/>
      </w:divBdr>
    </w:div>
    <w:div w:id="1013267930">
      <w:bodyDiv w:val="1"/>
      <w:marLeft w:val="0"/>
      <w:marRight w:val="0"/>
      <w:marTop w:val="0"/>
      <w:marBottom w:val="0"/>
      <w:divBdr>
        <w:top w:val="none" w:sz="0" w:space="0" w:color="auto"/>
        <w:left w:val="none" w:sz="0" w:space="0" w:color="auto"/>
        <w:bottom w:val="none" w:sz="0" w:space="0" w:color="auto"/>
        <w:right w:val="none" w:sz="0" w:space="0" w:color="auto"/>
      </w:divBdr>
    </w:div>
    <w:div w:id="1033731742">
      <w:bodyDiv w:val="1"/>
      <w:marLeft w:val="0"/>
      <w:marRight w:val="0"/>
      <w:marTop w:val="0"/>
      <w:marBottom w:val="0"/>
      <w:divBdr>
        <w:top w:val="none" w:sz="0" w:space="0" w:color="auto"/>
        <w:left w:val="none" w:sz="0" w:space="0" w:color="auto"/>
        <w:bottom w:val="none" w:sz="0" w:space="0" w:color="auto"/>
        <w:right w:val="none" w:sz="0" w:space="0" w:color="auto"/>
      </w:divBdr>
    </w:div>
    <w:div w:id="1037706599">
      <w:bodyDiv w:val="1"/>
      <w:marLeft w:val="0"/>
      <w:marRight w:val="0"/>
      <w:marTop w:val="0"/>
      <w:marBottom w:val="0"/>
      <w:divBdr>
        <w:top w:val="none" w:sz="0" w:space="0" w:color="auto"/>
        <w:left w:val="none" w:sz="0" w:space="0" w:color="auto"/>
        <w:bottom w:val="none" w:sz="0" w:space="0" w:color="auto"/>
        <w:right w:val="none" w:sz="0" w:space="0" w:color="auto"/>
      </w:divBdr>
    </w:div>
    <w:div w:id="1053626385">
      <w:bodyDiv w:val="1"/>
      <w:marLeft w:val="0"/>
      <w:marRight w:val="0"/>
      <w:marTop w:val="0"/>
      <w:marBottom w:val="0"/>
      <w:divBdr>
        <w:top w:val="none" w:sz="0" w:space="0" w:color="auto"/>
        <w:left w:val="none" w:sz="0" w:space="0" w:color="auto"/>
        <w:bottom w:val="none" w:sz="0" w:space="0" w:color="auto"/>
        <w:right w:val="none" w:sz="0" w:space="0" w:color="auto"/>
      </w:divBdr>
      <w:divsChild>
        <w:div w:id="512455856">
          <w:marLeft w:val="0"/>
          <w:marRight w:val="0"/>
          <w:marTop w:val="0"/>
          <w:marBottom w:val="0"/>
          <w:divBdr>
            <w:top w:val="none" w:sz="0" w:space="0" w:color="auto"/>
            <w:left w:val="none" w:sz="0" w:space="0" w:color="auto"/>
            <w:bottom w:val="none" w:sz="0" w:space="0" w:color="auto"/>
            <w:right w:val="none" w:sz="0" w:space="0" w:color="auto"/>
          </w:divBdr>
        </w:div>
      </w:divsChild>
    </w:div>
    <w:div w:id="1245257962">
      <w:bodyDiv w:val="1"/>
      <w:marLeft w:val="0"/>
      <w:marRight w:val="0"/>
      <w:marTop w:val="0"/>
      <w:marBottom w:val="0"/>
      <w:divBdr>
        <w:top w:val="none" w:sz="0" w:space="0" w:color="auto"/>
        <w:left w:val="none" w:sz="0" w:space="0" w:color="auto"/>
        <w:bottom w:val="none" w:sz="0" w:space="0" w:color="auto"/>
        <w:right w:val="none" w:sz="0" w:space="0" w:color="auto"/>
      </w:divBdr>
      <w:divsChild>
        <w:div w:id="2068141059">
          <w:marLeft w:val="0"/>
          <w:marRight w:val="0"/>
          <w:marTop w:val="0"/>
          <w:marBottom w:val="0"/>
          <w:divBdr>
            <w:top w:val="none" w:sz="0" w:space="0" w:color="auto"/>
            <w:left w:val="none" w:sz="0" w:space="0" w:color="auto"/>
            <w:bottom w:val="none" w:sz="0" w:space="0" w:color="auto"/>
            <w:right w:val="none" w:sz="0" w:space="0" w:color="auto"/>
          </w:divBdr>
        </w:div>
        <w:div w:id="205726547">
          <w:marLeft w:val="0"/>
          <w:marRight w:val="0"/>
          <w:marTop w:val="0"/>
          <w:marBottom w:val="0"/>
          <w:divBdr>
            <w:top w:val="none" w:sz="0" w:space="0" w:color="auto"/>
            <w:left w:val="none" w:sz="0" w:space="0" w:color="auto"/>
            <w:bottom w:val="none" w:sz="0" w:space="0" w:color="auto"/>
            <w:right w:val="none" w:sz="0" w:space="0" w:color="auto"/>
          </w:divBdr>
        </w:div>
      </w:divsChild>
    </w:div>
    <w:div w:id="1555582580">
      <w:bodyDiv w:val="1"/>
      <w:marLeft w:val="0"/>
      <w:marRight w:val="0"/>
      <w:marTop w:val="0"/>
      <w:marBottom w:val="0"/>
      <w:divBdr>
        <w:top w:val="none" w:sz="0" w:space="0" w:color="auto"/>
        <w:left w:val="none" w:sz="0" w:space="0" w:color="auto"/>
        <w:bottom w:val="none" w:sz="0" w:space="0" w:color="auto"/>
        <w:right w:val="none" w:sz="0" w:space="0" w:color="auto"/>
      </w:divBdr>
    </w:div>
    <w:div w:id="1621064553">
      <w:bodyDiv w:val="1"/>
      <w:marLeft w:val="0"/>
      <w:marRight w:val="0"/>
      <w:marTop w:val="0"/>
      <w:marBottom w:val="0"/>
      <w:divBdr>
        <w:top w:val="none" w:sz="0" w:space="0" w:color="auto"/>
        <w:left w:val="none" w:sz="0" w:space="0" w:color="auto"/>
        <w:bottom w:val="none" w:sz="0" w:space="0" w:color="auto"/>
        <w:right w:val="none" w:sz="0" w:space="0" w:color="auto"/>
      </w:divBdr>
    </w:div>
    <w:div w:id="1799301492">
      <w:bodyDiv w:val="1"/>
      <w:marLeft w:val="0"/>
      <w:marRight w:val="0"/>
      <w:marTop w:val="0"/>
      <w:marBottom w:val="0"/>
      <w:divBdr>
        <w:top w:val="none" w:sz="0" w:space="0" w:color="auto"/>
        <w:left w:val="none" w:sz="0" w:space="0" w:color="auto"/>
        <w:bottom w:val="none" w:sz="0" w:space="0" w:color="auto"/>
        <w:right w:val="none" w:sz="0" w:space="0" w:color="auto"/>
      </w:divBdr>
      <w:divsChild>
        <w:div w:id="2011367921">
          <w:marLeft w:val="0"/>
          <w:marRight w:val="0"/>
          <w:marTop w:val="0"/>
          <w:marBottom w:val="0"/>
          <w:divBdr>
            <w:top w:val="none" w:sz="0" w:space="0" w:color="auto"/>
            <w:left w:val="none" w:sz="0" w:space="0" w:color="auto"/>
            <w:bottom w:val="none" w:sz="0" w:space="0" w:color="auto"/>
            <w:right w:val="none" w:sz="0" w:space="0" w:color="auto"/>
          </w:divBdr>
        </w:div>
      </w:divsChild>
    </w:div>
    <w:div w:id="1847134412">
      <w:bodyDiv w:val="1"/>
      <w:marLeft w:val="0"/>
      <w:marRight w:val="0"/>
      <w:marTop w:val="0"/>
      <w:marBottom w:val="0"/>
      <w:divBdr>
        <w:top w:val="none" w:sz="0" w:space="0" w:color="auto"/>
        <w:left w:val="none" w:sz="0" w:space="0" w:color="auto"/>
        <w:bottom w:val="none" w:sz="0" w:space="0" w:color="auto"/>
        <w:right w:val="none" w:sz="0" w:space="0" w:color="auto"/>
      </w:divBdr>
      <w:divsChild>
        <w:div w:id="352153113">
          <w:marLeft w:val="0"/>
          <w:marRight w:val="0"/>
          <w:marTop w:val="0"/>
          <w:marBottom w:val="120"/>
          <w:divBdr>
            <w:top w:val="none" w:sz="0" w:space="0" w:color="auto"/>
            <w:left w:val="none" w:sz="0" w:space="0" w:color="auto"/>
            <w:bottom w:val="none" w:sz="0" w:space="0" w:color="auto"/>
            <w:right w:val="none" w:sz="0" w:space="0" w:color="auto"/>
          </w:divBdr>
          <w:divsChild>
            <w:div w:id="1642078387">
              <w:marLeft w:val="0"/>
              <w:marRight w:val="0"/>
              <w:marTop w:val="0"/>
              <w:marBottom w:val="0"/>
              <w:divBdr>
                <w:top w:val="none" w:sz="0" w:space="0" w:color="auto"/>
                <w:left w:val="none" w:sz="0" w:space="0" w:color="auto"/>
                <w:bottom w:val="none" w:sz="0" w:space="0" w:color="auto"/>
                <w:right w:val="none" w:sz="0" w:space="0" w:color="auto"/>
              </w:divBdr>
              <w:divsChild>
                <w:div w:id="304437310">
                  <w:marLeft w:val="0"/>
                  <w:marRight w:val="0"/>
                  <w:marTop w:val="0"/>
                  <w:marBottom w:val="0"/>
                  <w:divBdr>
                    <w:top w:val="none" w:sz="0" w:space="0" w:color="auto"/>
                    <w:left w:val="none" w:sz="0" w:space="0" w:color="auto"/>
                    <w:bottom w:val="none" w:sz="0" w:space="0" w:color="auto"/>
                    <w:right w:val="none" w:sz="0" w:space="0" w:color="auto"/>
                  </w:divBdr>
                  <w:divsChild>
                    <w:div w:id="1885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chart" Target="charts/chart2.xml"/><Relationship Id="rId26" Type="http://schemas.openxmlformats.org/officeDocument/2006/relationships/header" Target="header2.xml"/><Relationship Id="rId39" Type="http://schemas.openxmlformats.org/officeDocument/2006/relationships/hyperlink" Target="mailto:g.hardy@sheffield.ac.uk"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mailto:g.waller@sheffield.ac.uk" TargetMode="External"/><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5.xml"/><Relationship Id="rId25" Type="http://schemas.openxmlformats.org/officeDocument/2006/relationships/chart" Target="charts/chart7.xml"/><Relationship Id="rId33" Type="http://schemas.openxmlformats.org/officeDocument/2006/relationships/hyperlink" Target="mailto:crsimpson-southward1@sheffield.ac.uk" TargetMode="External"/><Relationship Id="rId38" Type="http://schemas.openxmlformats.org/officeDocument/2006/relationships/hyperlink" Target="mailto:g.waller@sheffield.ac.uk" TargetMode="External"/><Relationship Id="rId46" Type="http://schemas.openxmlformats.org/officeDocument/2006/relationships/hyperlink" Target="mailto:g.hardy@sheffield.ac.uk"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hyperlink" Target="http://www.handbook.cochrane.org" TargetMode="External"/><Relationship Id="rId41" Type="http://schemas.openxmlformats.org/officeDocument/2006/relationships/hyperlink" Target="mailto:g.waller@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6.xml"/><Relationship Id="rId32" Type="http://schemas.openxmlformats.org/officeDocument/2006/relationships/hyperlink" Target="mailto:G.Waller@sheffield.ac.uk" TargetMode="External"/><Relationship Id="rId37" Type="http://schemas.openxmlformats.org/officeDocument/2006/relationships/hyperlink" Target="mailto:crsimpson-southward1@sheffield.ac.uk" TargetMode="External"/><Relationship Id="rId40" Type="http://schemas.openxmlformats.org/officeDocument/2006/relationships/hyperlink" Target="mailto:t.webb@sheffield.ac.uk" TargetMode="External"/><Relationship Id="rId45" Type="http://schemas.openxmlformats.org/officeDocument/2006/relationships/hyperlink" Target="mailto:g.waller@sheffield.ac.uk"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5.xml"/><Relationship Id="rId28" Type="http://schemas.openxmlformats.org/officeDocument/2006/relationships/hyperlink" Target="https://www.babcp.com/Accreditation/Supervision.aspx"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3.xml"/><Relationship Id="rId31" Type="http://schemas.openxmlformats.org/officeDocument/2006/relationships/header" Target="header3.xml"/><Relationship Id="rId44" Type="http://schemas.openxmlformats.org/officeDocument/2006/relationships/hyperlink" Target="mailto:crsimpson-southward1@sheffield.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6.xml"/><Relationship Id="rId30" Type="http://schemas.openxmlformats.org/officeDocument/2006/relationships/hyperlink" Target="http://www.iapt.nhs.uk/silo/files/interpersonal-psychotherapy-for-depression-ipt-competency-framework.pdf" TargetMode="External"/><Relationship Id="rId35" Type="http://schemas.openxmlformats.org/officeDocument/2006/relationships/hyperlink" Target="mailto:g.hardy@sheffield.ac.uk" TargetMode="External"/><Relationship Id="rId43" Type="http://schemas.openxmlformats.org/officeDocument/2006/relationships/hyperlink" Target="mailto:G.Waller@sheffield.ac.uk" TargetMode="External"/><Relationship Id="rId48" Type="http://schemas.microsoft.com/office/2011/relationships/people" Target="peop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strRef>
              <c:f>Sheet3!$B$3:$B$8</c:f>
              <c:strCache>
                <c:ptCount val="6"/>
                <c:pt idx="0">
                  <c:v>1960s</c:v>
                </c:pt>
                <c:pt idx="1">
                  <c:v>1970s</c:v>
                </c:pt>
                <c:pt idx="2">
                  <c:v>1980s</c:v>
                </c:pt>
                <c:pt idx="3">
                  <c:v>1990s</c:v>
                </c:pt>
                <c:pt idx="4">
                  <c:v>2000s</c:v>
                </c:pt>
                <c:pt idx="5">
                  <c:v>2010s</c:v>
                </c:pt>
              </c:strCache>
            </c:strRef>
          </c:cat>
          <c:val>
            <c:numRef>
              <c:f>Sheet3!$C$3:$C$8</c:f>
              <c:numCache>
                <c:formatCode>General</c:formatCode>
                <c:ptCount val="6"/>
                <c:pt idx="0">
                  <c:v>1</c:v>
                </c:pt>
                <c:pt idx="1">
                  <c:v>6</c:v>
                </c:pt>
                <c:pt idx="2">
                  <c:v>18</c:v>
                </c:pt>
                <c:pt idx="3">
                  <c:v>17</c:v>
                </c:pt>
                <c:pt idx="4">
                  <c:v>9</c:v>
                </c:pt>
                <c:pt idx="5">
                  <c:v>1</c:v>
                </c:pt>
              </c:numCache>
            </c:numRef>
          </c:val>
          <c:extLst>
            <c:ext xmlns:c16="http://schemas.microsoft.com/office/drawing/2014/chart" uri="{C3380CC4-5D6E-409C-BE32-E72D297353CC}">
              <c16:uniqueId val="{00000000-9F80-4ED0-A07D-300BD476C6E7}"/>
            </c:ext>
          </c:extLst>
        </c:ser>
        <c:dLbls>
          <c:showLegendKey val="0"/>
          <c:showVal val="0"/>
          <c:showCatName val="0"/>
          <c:showSerName val="0"/>
          <c:showPercent val="0"/>
          <c:showBubbleSize val="0"/>
        </c:dLbls>
        <c:gapWidth val="219"/>
        <c:overlap val="-27"/>
        <c:axId val="2137205784"/>
        <c:axId val="2137211672"/>
      </c:barChart>
      <c:catAx>
        <c:axId val="2137205784"/>
        <c:scaling>
          <c:orientation val="minMax"/>
        </c:scaling>
        <c:delete val="0"/>
        <c:axPos val="b"/>
        <c:title>
          <c:tx>
            <c:rich>
              <a:bodyPr/>
              <a:lstStyle/>
              <a:p>
                <a:pPr>
                  <a:defRPr/>
                </a:pPr>
                <a:r>
                  <a:rPr lang="en-US"/>
                  <a:t>Decade</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37211672"/>
        <c:crosses val="autoZero"/>
        <c:auto val="1"/>
        <c:lblAlgn val="ctr"/>
        <c:lblOffset val="100"/>
        <c:noMultiLvlLbl val="0"/>
      </c:catAx>
      <c:valAx>
        <c:axId val="2137211672"/>
        <c:scaling>
          <c:orientation val="minMax"/>
        </c:scaling>
        <c:delete val="0"/>
        <c:axPos val="l"/>
        <c:title>
          <c:tx>
            <c:rich>
              <a:bodyPr rot="-5400000" vert="horz"/>
              <a:lstStyle/>
              <a:p>
                <a:pPr>
                  <a:defRPr/>
                </a:pPr>
                <a:r>
                  <a:rPr lang="en-GB"/>
                  <a:t>Number of new models</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213720578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152898548417395E-2"/>
          <c:y val="0.16180604906336166"/>
          <c:w val="0.36561939816156219"/>
          <c:h val="0.80179389492345565"/>
        </c:manualLayout>
      </c:layout>
      <c:bubbleChart>
        <c:varyColors val="0"/>
        <c:ser>
          <c:idx val="2"/>
          <c:order val="0"/>
          <c:tx>
            <c:v>Combined Effect Size PI</c:v>
          </c:tx>
          <c:spPr>
            <a:ln w="25400">
              <a:noFill/>
            </a:ln>
          </c:spPr>
          <c:invertIfNegative val="0"/>
          <c:dLbls>
            <c:delete val="1"/>
          </c:dLbls>
          <c:xVal>
            <c:numRef>
              <c:f>'Forest Plot'!$B$10</c:f>
              <c:numCache>
                <c:formatCode>0.00</c:formatCode>
                <c:ptCount val="1"/>
                <c:pt idx="0">
                  <c:v>0.22334601800398624</c:v>
                </c:pt>
              </c:numCache>
            </c:numRef>
          </c:xVal>
          <c:yVal>
            <c:numRef>
              <c:f>Calculations!$U$2</c:f>
              <c:numCache>
                <c:formatCode>0</c:formatCode>
                <c:ptCount val="1"/>
                <c:pt idx="0">
                  <c:v>9</c:v>
                </c:pt>
              </c:numCache>
            </c:numRef>
          </c:yVal>
          <c:bubbleSize>
            <c:numRef>
              <c:f>Calculations!$U$7</c:f>
              <c:numCache>
                <c:formatCode>0.00</c:formatCode>
                <c:ptCount val="1"/>
                <c:pt idx="0">
                  <c:v>0.15695017756875604</c:v>
                </c:pt>
              </c:numCache>
            </c:numRef>
          </c:bubbleSize>
          <c:bubble3D val="0"/>
          <c:extLst>
            <c:ext xmlns:c16="http://schemas.microsoft.com/office/drawing/2014/chart" uri="{C3380CC4-5D6E-409C-BE32-E72D297353CC}">
              <c16:uniqueId val="{00000000-DCA1-47A5-8F7D-E2C812DB615A}"/>
            </c:ext>
          </c:extLst>
        </c:ser>
        <c:ser>
          <c:idx val="0"/>
          <c:order val="1"/>
          <c:tx>
            <c:strRef>
              <c:f>'Forest Plot'!$F$1</c:f>
              <c:strCache>
                <c:ptCount val="1"/>
                <c:pt idx="0">
                  <c:v>Effect size</c:v>
                </c:pt>
              </c:strCache>
            </c:strRef>
          </c:tx>
          <c:spPr>
            <a:noFill/>
            <a:ln>
              <a:solidFill>
                <a:schemeClr val="tx1"/>
              </a:solidFill>
            </a:ln>
          </c:spPr>
          <c:invertIfNegative val="0"/>
          <c:dLbls>
            <c:dLbl>
              <c:idx val="0"/>
              <c:layout>
                <c:manualLayout>
                  <c:x val="7.7838983744495549E-2"/>
                  <c:y val="-5.6407942238267152E-3"/>
                </c:manualLayout>
              </c:layout>
              <c:tx>
                <c:rich>
                  <a:bodyPr wrap="square" lIns="38100" tIns="19050" rIns="38100" bIns="19050" anchor="ctr">
                    <a:noAutofit/>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Bambling et al.</a:t>
                    </a:r>
                    <a:r>
                      <a:rPr lang="en-US" baseline="0">
                        <a:latin typeface="Arial" panose="020B0604020202020204" pitchFamily="34" charset="0"/>
                        <a:cs typeface="Arial" panose="020B0604020202020204" pitchFamily="34" charset="0"/>
                      </a:rPr>
                      <a:t> (2006) </a:t>
                    </a:r>
                    <a:r>
                      <a:rPr lang="en-US" i="1" baseline="0">
                        <a:latin typeface="Arial" panose="020B0604020202020204" pitchFamily="34" charset="0"/>
                        <a:cs typeface="Arial" panose="020B0604020202020204" pitchFamily="34" charset="0"/>
                      </a:rPr>
                      <a:t>g</a:t>
                    </a:r>
                    <a:r>
                      <a:rPr lang="en-US" baseline="0">
                        <a:latin typeface="Arial" panose="020B0604020202020204" pitchFamily="34" charset="0"/>
                        <a:cs typeface="Arial" panose="020B0604020202020204" pitchFamily="34" charset="0"/>
                      </a:rPr>
                      <a:t> = 1.01 [0.69, 1.33]</a:t>
                    </a:r>
                    <a:endParaRPr lang="en-US">
                      <a:latin typeface="Arial" panose="020B0604020202020204" pitchFamily="34" charset="0"/>
                      <a:cs typeface="Arial" panose="020B0604020202020204" pitchFamily="34" charset="0"/>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53155172131550077"/>
                      <c:h val="6.3639529264618092E-2"/>
                    </c:manualLayout>
                  </c15:layout>
                </c:ext>
                <c:ext xmlns:c16="http://schemas.microsoft.com/office/drawing/2014/chart" uri="{C3380CC4-5D6E-409C-BE32-E72D297353CC}">
                  <c16:uniqueId val="{00000001-DCA1-47A5-8F7D-E2C812DB615A}"/>
                </c:ext>
              </c:extLst>
            </c:dLbl>
            <c:dLbl>
              <c:idx val="1"/>
              <c:layout>
                <c:manualLayout>
                  <c:x val="0.1267947535664071"/>
                  <c:y val="0"/>
                </c:manualLayout>
              </c:layout>
              <c:tx>
                <c:rich>
                  <a:bodyPr/>
                  <a:lstStyle/>
                  <a:p>
                    <a:r>
                      <a:rPr lang="en-US">
                        <a:latin typeface="Arial" panose="020B0604020202020204" pitchFamily="34" charset="0"/>
                        <a:cs typeface="Arial" panose="020B0604020202020204" pitchFamily="34" charset="0"/>
                      </a:rPr>
                      <a:t>Bradshaw et al.</a:t>
                    </a:r>
                    <a:r>
                      <a:rPr lang="en-US" baseline="0">
                        <a:latin typeface="Arial" panose="020B0604020202020204" pitchFamily="34" charset="0"/>
                        <a:cs typeface="Arial" panose="020B0604020202020204" pitchFamily="34" charset="0"/>
                      </a:rPr>
                      <a:t> (2007),</a:t>
                    </a:r>
                    <a:r>
                      <a:rPr lang="en-US" i="1" baseline="0">
                        <a:latin typeface="Arial" panose="020B0604020202020204" pitchFamily="34" charset="0"/>
                        <a:cs typeface="Arial" panose="020B0604020202020204" pitchFamily="34" charset="0"/>
                      </a:rPr>
                      <a:t> g </a:t>
                    </a:r>
                    <a:r>
                      <a:rPr lang="en-US" baseline="0">
                        <a:latin typeface="Arial" panose="020B0604020202020204" pitchFamily="34" charset="0"/>
                        <a:cs typeface="Arial" panose="020B0604020202020204" pitchFamily="34" charset="0"/>
                      </a:rPr>
                      <a:t>= 0.72 [0.34, 1.01]</a:t>
                    </a:r>
                    <a:endParaRPr lang="en-US">
                      <a:latin typeface="Arial" panose="020B0604020202020204" pitchFamily="34" charset="0"/>
                      <a:cs typeface="Arial" panose="020B0604020202020204" pitchFamily="34" charset="0"/>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52107958958352663"/>
                      <c:h val="8.4611913357400731E-2"/>
                    </c:manualLayout>
                  </c15:layout>
                </c:ext>
                <c:ext xmlns:c16="http://schemas.microsoft.com/office/drawing/2014/chart" uri="{C3380CC4-5D6E-409C-BE32-E72D297353CC}">
                  <c16:uniqueId val="{00000002-DCA1-47A5-8F7D-E2C812DB615A}"/>
                </c:ext>
              </c:extLst>
            </c:dLbl>
            <c:dLbl>
              <c:idx val="2"/>
              <c:layout>
                <c:manualLayout>
                  <c:x val="0.17094026188514377"/>
                  <c:y val="4.5127242104664299E-3"/>
                </c:manualLayout>
              </c:layout>
              <c:tx>
                <c:rich>
                  <a:bodyPr wrap="square" lIns="38100" tIns="19050" rIns="38100" bIns="19050" anchor="ctr">
                    <a:noAutofit/>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Burlingame</a:t>
                    </a:r>
                    <a:r>
                      <a:rPr lang="en-US" baseline="0">
                        <a:latin typeface="Arial" panose="020B0604020202020204" pitchFamily="34" charset="0"/>
                        <a:cs typeface="Arial" panose="020B0604020202020204" pitchFamily="34" charset="0"/>
                      </a:rPr>
                      <a:t> et al. (2007), </a:t>
                    </a:r>
                    <a:r>
                      <a:rPr lang="en-US" i="1" baseline="0">
                        <a:latin typeface="Arial" panose="020B0604020202020204" pitchFamily="34" charset="0"/>
                        <a:cs typeface="Arial" panose="020B0604020202020204" pitchFamily="34" charset="0"/>
                      </a:rPr>
                      <a:t>g </a:t>
                    </a:r>
                    <a:r>
                      <a:rPr lang="en-US" baseline="0">
                        <a:latin typeface="Arial" panose="020B0604020202020204" pitchFamily="34" charset="0"/>
                        <a:cs typeface="Arial" panose="020B0604020202020204" pitchFamily="34" charset="0"/>
                      </a:rPr>
                      <a:t>= 0.01 [-0.49, 0.51]</a:t>
                    </a:r>
                    <a:endParaRPr lang="en-US">
                      <a:latin typeface="Arial" panose="020B0604020202020204" pitchFamily="34" charset="0"/>
                      <a:cs typeface="Arial" panose="020B0604020202020204" pitchFamily="34" charset="0"/>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62486799337193033"/>
                      <c:h val="9.1380866425992774E-2"/>
                    </c:manualLayout>
                  </c15:layout>
                </c:ext>
                <c:ext xmlns:c16="http://schemas.microsoft.com/office/drawing/2014/chart" uri="{C3380CC4-5D6E-409C-BE32-E72D297353CC}">
                  <c16:uniqueId val="{00000003-DCA1-47A5-8F7D-E2C812DB615A}"/>
                </c:ext>
              </c:extLst>
            </c:dLbl>
            <c:dLbl>
              <c:idx val="3"/>
              <c:layout>
                <c:manualLayout>
                  <c:x val="0.22703003907178554"/>
                  <c:y val="0"/>
                </c:manualLayout>
              </c:layout>
              <c:tx>
                <c:rich>
                  <a:bodyPr/>
                  <a:lstStyle/>
                  <a:p>
                    <a:r>
                      <a:rPr lang="en-US"/>
                      <a:t>Crutchfield &amp; Borders (1997), </a:t>
                    </a:r>
                    <a:r>
                      <a:rPr lang="en-US" i="1"/>
                      <a:t>g</a:t>
                    </a:r>
                    <a:r>
                      <a:rPr lang="en-US"/>
                      <a:t> = 0.07 [-0.11, 0.25]</a:t>
                    </a:r>
                  </a:p>
                </c:rich>
              </c:tx>
              <c:dLblPos val="r"/>
              <c:showLegendKey val="0"/>
              <c:showVal val="1"/>
              <c:showCatName val="0"/>
              <c:showSerName val="0"/>
              <c:showPercent val="0"/>
              <c:showBubbleSize val="0"/>
              <c:extLst>
                <c:ext xmlns:c15="http://schemas.microsoft.com/office/drawing/2012/chart" uri="{CE6537A1-D6FC-4f65-9D91-7224C49458BB}">
                  <c15:layout>
                    <c:manualLayout>
                      <c:w val="0.59588924905943419"/>
                      <c:h val="8.4611913357400731E-2"/>
                    </c:manualLayout>
                  </c15:layout>
                </c:ext>
                <c:ext xmlns:c16="http://schemas.microsoft.com/office/drawing/2014/chart" uri="{C3380CC4-5D6E-409C-BE32-E72D297353CC}">
                  <c16:uniqueId val="{00000004-DCA1-47A5-8F7D-E2C812DB615A}"/>
                </c:ext>
              </c:extLst>
            </c:dLbl>
            <c:dLbl>
              <c:idx val="4"/>
              <c:layout>
                <c:manualLayout>
                  <c:x val="0.14585555191713201"/>
                  <c:y val="-2.2563176895307687E-3"/>
                </c:manualLayout>
              </c:layout>
              <c:tx>
                <c:rich>
                  <a:bodyPr/>
                  <a:lstStyle/>
                  <a:p>
                    <a:r>
                      <a:rPr lang="en-US"/>
                      <a:t>Grossl et al. (2014), </a:t>
                    </a:r>
                    <a:r>
                      <a:rPr lang="en-US" i="1"/>
                      <a:t>g</a:t>
                    </a:r>
                    <a:r>
                      <a:rPr lang="en-US"/>
                      <a:t> = 0.10 [-0.05, 0.25]</a:t>
                    </a:r>
                  </a:p>
                </c:rich>
              </c:tx>
              <c:dLblPos val="r"/>
              <c:showLegendKey val="0"/>
              <c:showVal val="1"/>
              <c:showCatName val="0"/>
              <c:showSerName val="0"/>
              <c:showPercent val="0"/>
              <c:showBubbleSize val="0"/>
              <c:extLst>
                <c:ext xmlns:c15="http://schemas.microsoft.com/office/drawing/2012/chart" uri="{CE6537A1-D6FC-4f65-9D91-7224C49458BB}">
                  <c15:layout>
                    <c:manualLayout>
                      <c:w val="0.58474345609507694"/>
                      <c:h val="5.8664259927797835E-2"/>
                    </c:manualLayout>
                  </c15:layout>
                </c:ext>
                <c:ext xmlns:c16="http://schemas.microsoft.com/office/drawing/2014/chart" uri="{C3380CC4-5D6E-409C-BE32-E72D297353CC}">
                  <c16:uniqueId val="{00000005-DCA1-47A5-8F7D-E2C812DB615A}"/>
                </c:ext>
              </c:extLst>
            </c:dLbl>
            <c:dLbl>
              <c:idx val="5"/>
              <c:layout>
                <c:manualLayout>
                  <c:x val="0.16863025957514147"/>
                  <c:y val="-2.2563176895306859E-3"/>
                </c:manualLayout>
              </c:layout>
              <c:tx>
                <c:rich>
                  <a:bodyPr wrap="square" lIns="38100" tIns="19050" rIns="38100" bIns="19050" anchor="ctr">
                    <a:noAutofit/>
                  </a:bodyPr>
                  <a:lstStyle/>
                  <a:p>
                    <a:pPr>
                      <a:defRPr>
                        <a:latin typeface="Arial" panose="020B0604020202020204" pitchFamily="34" charset="0"/>
                        <a:cs typeface="Arial" panose="020B0604020202020204" pitchFamily="34" charset="0"/>
                      </a:defRPr>
                    </a:pPr>
                    <a:r>
                      <a:rPr lang="en-US"/>
                      <a:t>Kivlighan et al. (1991), </a:t>
                    </a:r>
                    <a:r>
                      <a:rPr lang="en-US" i="1"/>
                      <a:t>g </a:t>
                    </a:r>
                    <a:r>
                      <a:rPr lang="en-US"/>
                      <a:t>= 0.21 [0.11, 0.31]</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53756570966437522"/>
                      <c:h val="8.2355595667870041E-2"/>
                    </c:manualLayout>
                  </c15:layout>
                </c:ext>
                <c:ext xmlns:c16="http://schemas.microsoft.com/office/drawing/2014/chart" uri="{C3380CC4-5D6E-409C-BE32-E72D297353CC}">
                  <c16:uniqueId val="{00000006-DCA1-47A5-8F7D-E2C812DB615A}"/>
                </c:ext>
              </c:extLst>
            </c:dLbl>
            <c:dLbl>
              <c:idx val="6"/>
              <c:layout>
                <c:manualLayout>
                  <c:x val="0.16632025726513919"/>
                  <c:y val="8.2730692904101038E-17"/>
                </c:manualLayout>
              </c:layout>
              <c:tx>
                <c:rich>
                  <a:bodyPr/>
                  <a:lstStyle/>
                  <a:p>
                    <a:r>
                      <a:rPr lang="en-US"/>
                      <a:t>Reese et al. (2009), </a:t>
                    </a:r>
                    <a:r>
                      <a:rPr lang="en-US" i="1"/>
                      <a:t>g</a:t>
                    </a:r>
                    <a:r>
                      <a:rPr lang="en-US"/>
                      <a:t> = -0.17, [-0.39, 0.05]</a:t>
                    </a:r>
                  </a:p>
                </c:rich>
              </c:tx>
              <c:dLblPos val="r"/>
              <c:showLegendKey val="0"/>
              <c:showVal val="1"/>
              <c:showCatName val="0"/>
              <c:showSerName val="0"/>
              <c:showPercent val="0"/>
              <c:showBubbleSize val="0"/>
              <c:extLst>
                <c:ext xmlns:c15="http://schemas.microsoft.com/office/drawing/2012/chart" uri="{CE6537A1-D6FC-4f65-9D91-7224C49458BB}">
                  <c15:layout>
                    <c:manualLayout>
                      <c:w val="0.63044884755357866"/>
                      <c:h val="8.4611913357400731E-2"/>
                    </c:manualLayout>
                  </c15:layout>
                </c:ext>
                <c:ext xmlns:c16="http://schemas.microsoft.com/office/drawing/2014/chart" uri="{C3380CC4-5D6E-409C-BE32-E72D297353CC}">
                  <c16:uniqueId val="{00000007-DCA1-47A5-8F7D-E2C812DB615A}"/>
                </c:ext>
              </c:extLst>
            </c:dLbl>
            <c:dLbl>
              <c:idx val="7"/>
              <c:layout>
                <c:manualLayout>
                  <c:x val="0.20790020790020791"/>
                  <c:y val="-2.2563176895306859E-3"/>
                </c:manualLayout>
              </c:layout>
              <c:tx>
                <c:rich>
                  <a:bodyPr/>
                  <a:lstStyle/>
                  <a:p>
                    <a:r>
                      <a:rPr lang="en-US"/>
                      <a:t>Tanner et al.</a:t>
                    </a:r>
                    <a:r>
                      <a:rPr lang="en-US" baseline="0"/>
                      <a:t> (2012), g = -0.05 [-0.42, 0.32]</a:t>
                    </a:r>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51880307319045693"/>
                      <c:h val="8.4611913357400731E-2"/>
                    </c:manualLayout>
                  </c15:layout>
                </c:ext>
                <c:ext xmlns:c16="http://schemas.microsoft.com/office/drawing/2014/chart" uri="{C3380CC4-5D6E-409C-BE32-E72D297353CC}">
                  <c16:uniqueId val="{00000008-DCA1-47A5-8F7D-E2C812DB615A}"/>
                </c:ext>
              </c:extLst>
            </c:dLbl>
            <c:dLbl>
              <c:idx val="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A1-47A5-8F7D-E2C812DB615A}"/>
                </c:ext>
              </c:extLst>
            </c:dLbl>
            <c:dLbl>
              <c:idx val="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CA1-47A5-8F7D-E2C812DB615A}"/>
                </c:ext>
              </c:extLst>
            </c:dLbl>
            <c:dLbl>
              <c:idx val="1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A1-47A5-8F7D-E2C812DB615A}"/>
                </c:ext>
              </c:extLst>
            </c:dLbl>
            <c:dLbl>
              <c:idx val="1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A1-47A5-8F7D-E2C812DB615A}"/>
                </c:ext>
              </c:extLst>
            </c:dLbl>
            <c:dLbl>
              <c:idx val="1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CA1-47A5-8F7D-E2C812DB615A}"/>
                </c:ext>
              </c:extLst>
            </c:dLbl>
            <c:dLbl>
              <c:idx val="1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CA1-47A5-8F7D-E2C812DB615A}"/>
                </c:ext>
              </c:extLst>
            </c:dLbl>
            <c:dLbl>
              <c:idx val="1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CA1-47A5-8F7D-E2C812DB615A}"/>
                </c:ext>
              </c:extLst>
            </c:dLbl>
            <c:dLbl>
              <c:idx val="1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CA1-47A5-8F7D-E2C812DB615A}"/>
                </c:ext>
              </c:extLst>
            </c:dLbl>
            <c:dLbl>
              <c:idx val="1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CA1-47A5-8F7D-E2C812DB615A}"/>
                </c:ext>
              </c:extLst>
            </c:dLbl>
            <c:dLbl>
              <c:idx val="1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CA1-47A5-8F7D-E2C812DB615A}"/>
                </c:ext>
              </c:extLst>
            </c:dLbl>
            <c:dLbl>
              <c:idx val="1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CA1-47A5-8F7D-E2C812DB615A}"/>
                </c:ext>
              </c:extLst>
            </c:dLbl>
            <c:dLbl>
              <c:idx val="1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CA1-47A5-8F7D-E2C812DB615A}"/>
                </c:ext>
              </c:extLst>
            </c:dLbl>
            <c:dLbl>
              <c:idx val="2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CA1-47A5-8F7D-E2C812DB615A}"/>
                </c:ext>
              </c:extLst>
            </c:dLbl>
            <c:dLbl>
              <c:idx val="2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CA1-47A5-8F7D-E2C812DB615A}"/>
                </c:ext>
              </c:extLst>
            </c:dLbl>
            <c:dLbl>
              <c:idx val="2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CA1-47A5-8F7D-E2C812DB615A}"/>
                </c:ext>
              </c:extLst>
            </c:dLbl>
            <c:dLbl>
              <c:idx val="2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CA1-47A5-8F7D-E2C812DB615A}"/>
                </c:ext>
              </c:extLst>
            </c:dLbl>
            <c:dLbl>
              <c:idx val="2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CA1-47A5-8F7D-E2C812DB615A}"/>
                </c:ext>
              </c:extLst>
            </c:dLbl>
            <c:dLbl>
              <c:idx val="2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CA1-47A5-8F7D-E2C812DB615A}"/>
                </c:ext>
              </c:extLst>
            </c:dLbl>
            <c:dLbl>
              <c:idx val="2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CA1-47A5-8F7D-E2C812DB615A}"/>
                </c:ext>
              </c:extLst>
            </c:dLbl>
            <c:dLbl>
              <c:idx val="2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CA1-47A5-8F7D-E2C812DB615A}"/>
                </c:ext>
              </c:extLst>
            </c:dLbl>
            <c:dLbl>
              <c:idx val="2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CA1-47A5-8F7D-E2C812DB615A}"/>
                </c:ext>
              </c:extLst>
            </c:dLbl>
            <c:dLbl>
              <c:idx val="2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CA1-47A5-8F7D-E2C812DB615A}"/>
                </c:ext>
              </c:extLst>
            </c:dLbl>
            <c:dLbl>
              <c:idx val="3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CA1-47A5-8F7D-E2C812DB615A}"/>
                </c:ext>
              </c:extLst>
            </c:dLbl>
            <c:dLbl>
              <c:idx val="3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CA1-47A5-8F7D-E2C812DB615A}"/>
                </c:ext>
              </c:extLst>
            </c:dLbl>
            <c:dLbl>
              <c:idx val="3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CA1-47A5-8F7D-E2C812DB615A}"/>
                </c:ext>
              </c:extLst>
            </c:dLbl>
            <c:dLbl>
              <c:idx val="3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CA1-47A5-8F7D-E2C812DB615A}"/>
                </c:ext>
              </c:extLst>
            </c:dLbl>
            <c:dLbl>
              <c:idx val="3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CA1-47A5-8F7D-E2C812DB615A}"/>
                </c:ext>
              </c:extLst>
            </c:dLbl>
            <c:dLbl>
              <c:idx val="3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DCA1-47A5-8F7D-E2C812DB615A}"/>
                </c:ext>
              </c:extLst>
            </c:dLbl>
            <c:dLbl>
              <c:idx val="3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DCA1-47A5-8F7D-E2C812DB615A}"/>
                </c:ext>
              </c:extLst>
            </c:dLbl>
            <c:dLbl>
              <c:idx val="3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DCA1-47A5-8F7D-E2C812DB615A}"/>
                </c:ext>
              </c:extLst>
            </c:dLbl>
            <c:dLbl>
              <c:idx val="3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DCA1-47A5-8F7D-E2C812DB615A}"/>
                </c:ext>
              </c:extLst>
            </c:dLbl>
            <c:dLbl>
              <c:idx val="3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DCA1-47A5-8F7D-E2C812DB615A}"/>
                </c:ext>
              </c:extLst>
            </c:dLbl>
            <c:dLbl>
              <c:idx val="4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DCA1-47A5-8F7D-E2C812DB615A}"/>
                </c:ext>
              </c:extLst>
            </c:dLbl>
            <c:dLbl>
              <c:idx val="4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DCA1-47A5-8F7D-E2C812DB615A}"/>
                </c:ext>
              </c:extLst>
            </c:dLbl>
            <c:dLbl>
              <c:idx val="4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DCA1-47A5-8F7D-E2C812DB615A}"/>
                </c:ext>
              </c:extLst>
            </c:dLbl>
            <c:dLbl>
              <c:idx val="4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DCA1-47A5-8F7D-E2C812DB615A}"/>
                </c:ext>
              </c:extLst>
            </c:dLbl>
            <c:dLbl>
              <c:idx val="4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DCA1-47A5-8F7D-E2C812DB615A}"/>
                </c:ext>
              </c:extLst>
            </c:dLbl>
            <c:dLbl>
              <c:idx val="4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DCA1-47A5-8F7D-E2C812DB615A}"/>
                </c:ext>
              </c:extLst>
            </c:dLbl>
            <c:dLbl>
              <c:idx val="4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DCA1-47A5-8F7D-E2C812DB615A}"/>
                </c:ext>
              </c:extLst>
            </c:dLbl>
            <c:dLbl>
              <c:idx val="4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DCA1-47A5-8F7D-E2C812DB615A}"/>
                </c:ext>
              </c:extLst>
            </c:dLbl>
            <c:dLbl>
              <c:idx val="4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DCA1-47A5-8F7D-E2C812DB615A}"/>
                </c:ext>
              </c:extLst>
            </c:dLbl>
            <c:dLbl>
              <c:idx val="4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DCA1-47A5-8F7D-E2C812DB615A}"/>
                </c:ext>
              </c:extLst>
            </c:dLbl>
            <c:dLbl>
              <c:idx val="5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DCA1-47A5-8F7D-E2C812DB615A}"/>
                </c:ext>
              </c:extLst>
            </c:dLbl>
            <c:dLbl>
              <c:idx val="5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DCA1-47A5-8F7D-E2C812DB615A}"/>
                </c:ext>
              </c:extLst>
            </c:dLbl>
            <c:dLbl>
              <c:idx val="5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DCA1-47A5-8F7D-E2C812DB615A}"/>
                </c:ext>
              </c:extLst>
            </c:dLbl>
            <c:dLbl>
              <c:idx val="5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DCA1-47A5-8F7D-E2C812DB615A}"/>
                </c:ext>
              </c:extLst>
            </c:dLbl>
            <c:dLbl>
              <c:idx val="5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DCA1-47A5-8F7D-E2C812DB615A}"/>
                </c:ext>
              </c:extLst>
            </c:dLbl>
            <c:dLbl>
              <c:idx val="5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DCA1-47A5-8F7D-E2C812DB615A}"/>
                </c:ext>
              </c:extLst>
            </c:dLbl>
            <c:dLbl>
              <c:idx val="5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DCA1-47A5-8F7D-E2C812DB615A}"/>
                </c:ext>
              </c:extLst>
            </c:dLbl>
            <c:dLbl>
              <c:idx val="5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DCA1-47A5-8F7D-E2C812DB615A}"/>
                </c:ext>
              </c:extLst>
            </c:dLbl>
            <c:dLbl>
              <c:idx val="5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DCA1-47A5-8F7D-E2C812DB615A}"/>
                </c:ext>
              </c:extLst>
            </c:dLbl>
            <c:dLbl>
              <c:idx val="5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DCA1-47A5-8F7D-E2C812DB615A}"/>
                </c:ext>
              </c:extLst>
            </c:dLbl>
            <c:dLbl>
              <c:idx val="6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DCA1-47A5-8F7D-E2C812DB615A}"/>
                </c:ext>
              </c:extLst>
            </c:dLbl>
            <c:dLbl>
              <c:idx val="6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DCA1-47A5-8F7D-E2C812DB615A}"/>
                </c:ext>
              </c:extLst>
            </c:dLbl>
            <c:dLbl>
              <c:idx val="6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DCA1-47A5-8F7D-E2C812DB615A}"/>
                </c:ext>
              </c:extLst>
            </c:dLbl>
            <c:dLbl>
              <c:idx val="6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DCA1-47A5-8F7D-E2C812DB615A}"/>
                </c:ext>
              </c:extLst>
            </c:dLbl>
            <c:dLbl>
              <c:idx val="6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DCA1-47A5-8F7D-E2C812DB615A}"/>
                </c:ext>
              </c:extLst>
            </c:dLbl>
            <c:dLbl>
              <c:idx val="6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DCA1-47A5-8F7D-E2C812DB615A}"/>
                </c:ext>
              </c:extLst>
            </c:dLbl>
            <c:dLbl>
              <c:idx val="6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DCA1-47A5-8F7D-E2C812DB615A}"/>
                </c:ext>
              </c:extLst>
            </c:dLbl>
            <c:dLbl>
              <c:idx val="6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DCA1-47A5-8F7D-E2C812DB615A}"/>
                </c:ext>
              </c:extLst>
            </c:dLbl>
            <c:dLbl>
              <c:idx val="6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DCA1-47A5-8F7D-E2C812DB615A}"/>
                </c:ext>
              </c:extLst>
            </c:dLbl>
            <c:dLbl>
              <c:idx val="6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DCA1-47A5-8F7D-E2C812DB615A}"/>
                </c:ext>
              </c:extLst>
            </c:dLbl>
            <c:dLbl>
              <c:idx val="7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DCA1-47A5-8F7D-E2C812DB615A}"/>
                </c:ext>
              </c:extLst>
            </c:dLbl>
            <c:dLbl>
              <c:idx val="7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DCA1-47A5-8F7D-E2C812DB615A}"/>
                </c:ext>
              </c:extLst>
            </c:dLbl>
            <c:dLbl>
              <c:idx val="7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DCA1-47A5-8F7D-E2C812DB615A}"/>
                </c:ext>
              </c:extLst>
            </c:dLbl>
            <c:dLbl>
              <c:idx val="7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DCA1-47A5-8F7D-E2C812DB615A}"/>
                </c:ext>
              </c:extLst>
            </c:dLbl>
            <c:dLbl>
              <c:idx val="7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DCA1-47A5-8F7D-E2C812DB615A}"/>
                </c:ext>
              </c:extLst>
            </c:dLbl>
            <c:dLbl>
              <c:idx val="7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C-DCA1-47A5-8F7D-E2C812DB615A}"/>
                </c:ext>
              </c:extLst>
            </c:dLbl>
            <c:dLbl>
              <c:idx val="7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D-DCA1-47A5-8F7D-E2C812DB615A}"/>
                </c:ext>
              </c:extLst>
            </c:dLbl>
            <c:dLbl>
              <c:idx val="7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DCA1-47A5-8F7D-E2C812DB615A}"/>
                </c:ext>
              </c:extLst>
            </c:dLbl>
            <c:dLbl>
              <c:idx val="7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F-DCA1-47A5-8F7D-E2C812DB615A}"/>
                </c:ext>
              </c:extLst>
            </c:dLbl>
            <c:dLbl>
              <c:idx val="7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DCA1-47A5-8F7D-E2C812DB615A}"/>
                </c:ext>
              </c:extLst>
            </c:dLbl>
            <c:dLbl>
              <c:idx val="8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1-DCA1-47A5-8F7D-E2C812DB615A}"/>
                </c:ext>
              </c:extLst>
            </c:dLbl>
            <c:dLbl>
              <c:idx val="8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DCA1-47A5-8F7D-E2C812DB615A}"/>
                </c:ext>
              </c:extLst>
            </c:dLbl>
            <c:dLbl>
              <c:idx val="8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3-DCA1-47A5-8F7D-E2C812DB615A}"/>
                </c:ext>
              </c:extLst>
            </c:dLbl>
            <c:dLbl>
              <c:idx val="8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DCA1-47A5-8F7D-E2C812DB615A}"/>
                </c:ext>
              </c:extLst>
            </c:dLbl>
            <c:dLbl>
              <c:idx val="8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5-DCA1-47A5-8F7D-E2C812DB615A}"/>
                </c:ext>
              </c:extLst>
            </c:dLbl>
            <c:dLbl>
              <c:idx val="8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DCA1-47A5-8F7D-E2C812DB615A}"/>
                </c:ext>
              </c:extLst>
            </c:dLbl>
            <c:dLbl>
              <c:idx val="8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7-DCA1-47A5-8F7D-E2C812DB615A}"/>
                </c:ext>
              </c:extLst>
            </c:dLbl>
            <c:dLbl>
              <c:idx val="8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8-DCA1-47A5-8F7D-E2C812DB615A}"/>
                </c:ext>
              </c:extLst>
            </c:dLbl>
            <c:dLbl>
              <c:idx val="8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9-DCA1-47A5-8F7D-E2C812DB615A}"/>
                </c:ext>
              </c:extLst>
            </c:dLbl>
            <c:dLbl>
              <c:idx val="8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DCA1-47A5-8F7D-E2C812DB615A}"/>
                </c:ext>
              </c:extLst>
            </c:dLbl>
            <c:dLbl>
              <c:idx val="9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B-DCA1-47A5-8F7D-E2C812DB615A}"/>
                </c:ext>
              </c:extLst>
            </c:dLbl>
            <c:dLbl>
              <c:idx val="9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C-DCA1-47A5-8F7D-E2C812DB615A}"/>
                </c:ext>
              </c:extLst>
            </c:dLbl>
            <c:dLbl>
              <c:idx val="9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D-DCA1-47A5-8F7D-E2C812DB615A}"/>
                </c:ext>
              </c:extLst>
            </c:dLbl>
            <c:dLbl>
              <c:idx val="9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E-DCA1-47A5-8F7D-E2C812DB615A}"/>
                </c:ext>
              </c:extLst>
            </c:dLbl>
            <c:dLbl>
              <c:idx val="9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F-DCA1-47A5-8F7D-E2C812DB615A}"/>
                </c:ext>
              </c:extLst>
            </c:dLbl>
            <c:dLbl>
              <c:idx val="9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0-DCA1-47A5-8F7D-E2C812DB615A}"/>
                </c:ext>
              </c:extLst>
            </c:dLbl>
            <c:dLbl>
              <c:idx val="9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1-DCA1-47A5-8F7D-E2C812DB615A}"/>
                </c:ext>
              </c:extLst>
            </c:dLbl>
            <c:dLbl>
              <c:idx val="9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2-DCA1-47A5-8F7D-E2C812DB615A}"/>
                </c:ext>
              </c:extLst>
            </c:dLbl>
            <c:dLbl>
              <c:idx val="9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3-DCA1-47A5-8F7D-E2C812DB615A}"/>
                </c:ext>
              </c:extLst>
            </c:dLbl>
            <c:dLbl>
              <c:idx val="9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4-DCA1-47A5-8F7D-E2C812DB615A}"/>
                </c:ext>
              </c:extLst>
            </c:dLbl>
            <c:dLbl>
              <c:idx val="10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5-DCA1-47A5-8F7D-E2C812DB615A}"/>
                </c:ext>
              </c:extLst>
            </c:dLbl>
            <c:dLbl>
              <c:idx val="10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6-DCA1-47A5-8F7D-E2C812DB615A}"/>
                </c:ext>
              </c:extLst>
            </c:dLbl>
            <c:dLbl>
              <c:idx val="10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7-DCA1-47A5-8F7D-E2C812DB615A}"/>
                </c:ext>
              </c:extLst>
            </c:dLbl>
            <c:dLbl>
              <c:idx val="10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8-DCA1-47A5-8F7D-E2C812DB615A}"/>
                </c:ext>
              </c:extLst>
            </c:dLbl>
            <c:dLbl>
              <c:idx val="10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9-DCA1-47A5-8F7D-E2C812DB615A}"/>
                </c:ext>
              </c:extLst>
            </c:dLbl>
            <c:dLbl>
              <c:idx val="10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A-DCA1-47A5-8F7D-E2C812DB615A}"/>
                </c:ext>
              </c:extLst>
            </c:dLbl>
            <c:dLbl>
              <c:idx val="10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B-DCA1-47A5-8F7D-E2C812DB615A}"/>
                </c:ext>
              </c:extLst>
            </c:dLbl>
            <c:dLbl>
              <c:idx val="10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C-DCA1-47A5-8F7D-E2C812DB615A}"/>
                </c:ext>
              </c:extLst>
            </c:dLbl>
            <c:dLbl>
              <c:idx val="10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D-DCA1-47A5-8F7D-E2C812DB615A}"/>
                </c:ext>
              </c:extLst>
            </c:dLbl>
            <c:dLbl>
              <c:idx val="10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E-DCA1-47A5-8F7D-E2C812DB615A}"/>
                </c:ext>
              </c:extLst>
            </c:dLbl>
            <c:dLbl>
              <c:idx val="11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F-DCA1-47A5-8F7D-E2C812DB615A}"/>
                </c:ext>
              </c:extLst>
            </c:dLbl>
            <c:dLbl>
              <c:idx val="11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0-DCA1-47A5-8F7D-E2C812DB615A}"/>
                </c:ext>
              </c:extLst>
            </c:dLbl>
            <c:dLbl>
              <c:idx val="11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1-DCA1-47A5-8F7D-E2C812DB615A}"/>
                </c:ext>
              </c:extLst>
            </c:dLbl>
            <c:dLbl>
              <c:idx val="11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2-DCA1-47A5-8F7D-E2C812DB615A}"/>
                </c:ext>
              </c:extLst>
            </c:dLbl>
            <c:dLbl>
              <c:idx val="11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3-DCA1-47A5-8F7D-E2C812DB615A}"/>
                </c:ext>
              </c:extLst>
            </c:dLbl>
            <c:dLbl>
              <c:idx val="11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4-DCA1-47A5-8F7D-E2C812DB615A}"/>
                </c:ext>
              </c:extLst>
            </c:dLbl>
            <c:dLbl>
              <c:idx val="11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5-DCA1-47A5-8F7D-E2C812DB615A}"/>
                </c:ext>
              </c:extLst>
            </c:dLbl>
            <c:dLbl>
              <c:idx val="11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6-DCA1-47A5-8F7D-E2C812DB615A}"/>
                </c:ext>
              </c:extLst>
            </c:dLbl>
            <c:dLbl>
              <c:idx val="11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7-DCA1-47A5-8F7D-E2C812DB615A}"/>
                </c:ext>
              </c:extLst>
            </c:dLbl>
            <c:dLbl>
              <c:idx val="11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8-DCA1-47A5-8F7D-E2C812DB615A}"/>
                </c:ext>
              </c:extLst>
            </c:dLbl>
            <c:dLbl>
              <c:idx val="12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9-DCA1-47A5-8F7D-E2C812DB615A}"/>
                </c:ext>
              </c:extLst>
            </c:dLbl>
            <c:dLbl>
              <c:idx val="12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A-DCA1-47A5-8F7D-E2C812DB615A}"/>
                </c:ext>
              </c:extLst>
            </c:dLbl>
            <c:dLbl>
              <c:idx val="12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B-DCA1-47A5-8F7D-E2C812DB615A}"/>
                </c:ext>
              </c:extLst>
            </c:dLbl>
            <c:dLbl>
              <c:idx val="12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C-DCA1-47A5-8F7D-E2C812DB615A}"/>
                </c:ext>
              </c:extLst>
            </c:dLbl>
            <c:dLbl>
              <c:idx val="12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D-DCA1-47A5-8F7D-E2C812DB615A}"/>
                </c:ext>
              </c:extLst>
            </c:dLbl>
            <c:dLbl>
              <c:idx val="12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E-DCA1-47A5-8F7D-E2C812DB615A}"/>
                </c:ext>
              </c:extLst>
            </c:dLbl>
            <c:dLbl>
              <c:idx val="12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7F-DCA1-47A5-8F7D-E2C812DB615A}"/>
                </c:ext>
              </c:extLst>
            </c:dLbl>
            <c:dLbl>
              <c:idx val="12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0-DCA1-47A5-8F7D-E2C812DB615A}"/>
                </c:ext>
              </c:extLst>
            </c:dLbl>
            <c:dLbl>
              <c:idx val="12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1-DCA1-47A5-8F7D-E2C812DB615A}"/>
                </c:ext>
              </c:extLst>
            </c:dLbl>
            <c:dLbl>
              <c:idx val="12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2-DCA1-47A5-8F7D-E2C812DB615A}"/>
                </c:ext>
              </c:extLst>
            </c:dLbl>
            <c:dLbl>
              <c:idx val="13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3-DCA1-47A5-8F7D-E2C812DB615A}"/>
                </c:ext>
              </c:extLst>
            </c:dLbl>
            <c:dLbl>
              <c:idx val="13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4-DCA1-47A5-8F7D-E2C812DB615A}"/>
                </c:ext>
              </c:extLst>
            </c:dLbl>
            <c:dLbl>
              <c:idx val="13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5-DCA1-47A5-8F7D-E2C812DB615A}"/>
                </c:ext>
              </c:extLst>
            </c:dLbl>
            <c:dLbl>
              <c:idx val="13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6-DCA1-47A5-8F7D-E2C812DB615A}"/>
                </c:ext>
              </c:extLst>
            </c:dLbl>
            <c:dLbl>
              <c:idx val="13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7-DCA1-47A5-8F7D-E2C812DB615A}"/>
                </c:ext>
              </c:extLst>
            </c:dLbl>
            <c:dLbl>
              <c:idx val="13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8-DCA1-47A5-8F7D-E2C812DB615A}"/>
                </c:ext>
              </c:extLst>
            </c:dLbl>
            <c:dLbl>
              <c:idx val="13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9-DCA1-47A5-8F7D-E2C812DB615A}"/>
                </c:ext>
              </c:extLst>
            </c:dLbl>
            <c:dLbl>
              <c:idx val="13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A-DCA1-47A5-8F7D-E2C812DB615A}"/>
                </c:ext>
              </c:extLst>
            </c:dLbl>
            <c:dLbl>
              <c:idx val="13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B-DCA1-47A5-8F7D-E2C812DB615A}"/>
                </c:ext>
              </c:extLst>
            </c:dLbl>
            <c:dLbl>
              <c:idx val="13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C-DCA1-47A5-8F7D-E2C812DB615A}"/>
                </c:ext>
              </c:extLst>
            </c:dLbl>
            <c:dLbl>
              <c:idx val="14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D-DCA1-47A5-8F7D-E2C812DB615A}"/>
                </c:ext>
              </c:extLst>
            </c:dLbl>
            <c:dLbl>
              <c:idx val="14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E-DCA1-47A5-8F7D-E2C812DB615A}"/>
                </c:ext>
              </c:extLst>
            </c:dLbl>
            <c:dLbl>
              <c:idx val="14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8F-DCA1-47A5-8F7D-E2C812DB615A}"/>
                </c:ext>
              </c:extLst>
            </c:dLbl>
            <c:dLbl>
              <c:idx val="14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0-DCA1-47A5-8F7D-E2C812DB615A}"/>
                </c:ext>
              </c:extLst>
            </c:dLbl>
            <c:dLbl>
              <c:idx val="14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1-DCA1-47A5-8F7D-E2C812DB615A}"/>
                </c:ext>
              </c:extLst>
            </c:dLbl>
            <c:dLbl>
              <c:idx val="14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2-DCA1-47A5-8F7D-E2C812DB615A}"/>
                </c:ext>
              </c:extLst>
            </c:dLbl>
            <c:dLbl>
              <c:idx val="14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3-DCA1-47A5-8F7D-E2C812DB615A}"/>
                </c:ext>
              </c:extLst>
            </c:dLbl>
            <c:dLbl>
              <c:idx val="14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4-DCA1-47A5-8F7D-E2C812DB615A}"/>
                </c:ext>
              </c:extLst>
            </c:dLbl>
            <c:dLbl>
              <c:idx val="14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5-DCA1-47A5-8F7D-E2C812DB615A}"/>
                </c:ext>
              </c:extLst>
            </c:dLbl>
            <c:dLbl>
              <c:idx val="14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6-DCA1-47A5-8F7D-E2C812DB615A}"/>
                </c:ext>
              </c:extLst>
            </c:dLbl>
            <c:dLbl>
              <c:idx val="15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7-DCA1-47A5-8F7D-E2C812DB615A}"/>
                </c:ext>
              </c:extLst>
            </c:dLbl>
            <c:dLbl>
              <c:idx val="15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8-DCA1-47A5-8F7D-E2C812DB615A}"/>
                </c:ext>
              </c:extLst>
            </c:dLbl>
            <c:dLbl>
              <c:idx val="15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9-DCA1-47A5-8F7D-E2C812DB615A}"/>
                </c:ext>
              </c:extLst>
            </c:dLbl>
            <c:dLbl>
              <c:idx val="15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A-DCA1-47A5-8F7D-E2C812DB615A}"/>
                </c:ext>
              </c:extLst>
            </c:dLbl>
            <c:dLbl>
              <c:idx val="15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B-DCA1-47A5-8F7D-E2C812DB615A}"/>
                </c:ext>
              </c:extLst>
            </c:dLbl>
            <c:dLbl>
              <c:idx val="15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C-DCA1-47A5-8F7D-E2C812DB615A}"/>
                </c:ext>
              </c:extLst>
            </c:dLbl>
            <c:dLbl>
              <c:idx val="15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D-DCA1-47A5-8F7D-E2C812DB615A}"/>
                </c:ext>
              </c:extLst>
            </c:dLbl>
            <c:dLbl>
              <c:idx val="15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E-DCA1-47A5-8F7D-E2C812DB615A}"/>
                </c:ext>
              </c:extLst>
            </c:dLbl>
            <c:dLbl>
              <c:idx val="15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9F-DCA1-47A5-8F7D-E2C812DB615A}"/>
                </c:ext>
              </c:extLst>
            </c:dLbl>
            <c:dLbl>
              <c:idx val="15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0-DCA1-47A5-8F7D-E2C812DB615A}"/>
                </c:ext>
              </c:extLst>
            </c:dLbl>
            <c:dLbl>
              <c:idx val="16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1-DCA1-47A5-8F7D-E2C812DB615A}"/>
                </c:ext>
              </c:extLst>
            </c:dLbl>
            <c:dLbl>
              <c:idx val="16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2-DCA1-47A5-8F7D-E2C812DB615A}"/>
                </c:ext>
              </c:extLst>
            </c:dLbl>
            <c:dLbl>
              <c:idx val="16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3-DCA1-47A5-8F7D-E2C812DB615A}"/>
                </c:ext>
              </c:extLst>
            </c:dLbl>
            <c:dLbl>
              <c:idx val="16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4-DCA1-47A5-8F7D-E2C812DB615A}"/>
                </c:ext>
              </c:extLst>
            </c:dLbl>
            <c:dLbl>
              <c:idx val="16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5-DCA1-47A5-8F7D-E2C812DB615A}"/>
                </c:ext>
              </c:extLst>
            </c:dLbl>
            <c:dLbl>
              <c:idx val="16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6-DCA1-47A5-8F7D-E2C812DB615A}"/>
                </c:ext>
              </c:extLst>
            </c:dLbl>
            <c:dLbl>
              <c:idx val="16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7-DCA1-47A5-8F7D-E2C812DB615A}"/>
                </c:ext>
              </c:extLst>
            </c:dLbl>
            <c:dLbl>
              <c:idx val="16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8-DCA1-47A5-8F7D-E2C812DB615A}"/>
                </c:ext>
              </c:extLst>
            </c:dLbl>
            <c:dLbl>
              <c:idx val="16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9-DCA1-47A5-8F7D-E2C812DB615A}"/>
                </c:ext>
              </c:extLst>
            </c:dLbl>
            <c:dLbl>
              <c:idx val="16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A-DCA1-47A5-8F7D-E2C812DB615A}"/>
                </c:ext>
              </c:extLst>
            </c:dLbl>
            <c:dLbl>
              <c:idx val="17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B-DCA1-47A5-8F7D-E2C812DB615A}"/>
                </c:ext>
              </c:extLst>
            </c:dLbl>
            <c:dLbl>
              <c:idx val="17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C-DCA1-47A5-8F7D-E2C812DB615A}"/>
                </c:ext>
              </c:extLst>
            </c:dLbl>
            <c:dLbl>
              <c:idx val="17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D-DCA1-47A5-8F7D-E2C812DB615A}"/>
                </c:ext>
              </c:extLst>
            </c:dLbl>
            <c:dLbl>
              <c:idx val="17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E-DCA1-47A5-8F7D-E2C812DB615A}"/>
                </c:ext>
              </c:extLst>
            </c:dLbl>
            <c:dLbl>
              <c:idx val="17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AF-DCA1-47A5-8F7D-E2C812DB615A}"/>
                </c:ext>
              </c:extLst>
            </c:dLbl>
            <c:dLbl>
              <c:idx val="17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0-DCA1-47A5-8F7D-E2C812DB615A}"/>
                </c:ext>
              </c:extLst>
            </c:dLbl>
            <c:dLbl>
              <c:idx val="17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1-DCA1-47A5-8F7D-E2C812DB615A}"/>
                </c:ext>
              </c:extLst>
            </c:dLbl>
            <c:dLbl>
              <c:idx val="17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2-DCA1-47A5-8F7D-E2C812DB615A}"/>
                </c:ext>
              </c:extLst>
            </c:dLbl>
            <c:dLbl>
              <c:idx val="17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3-DCA1-47A5-8F7D-E2C812DB615A}"/>
                </c:ext>
              </c:extLst>
            </c:dLbl>
            <c:dLbl>
              <c:idx val="17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4-DCA1-47A5-8F7D-E2C812DB615A}"/>
                </c:ext>
              </c:extLst>
            </c:dLbl>
            <c:dLbl>
              <c:idx val="18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5-DCA1-47A5-8F7D-E2C812DB615A}"/>
                </c:ext>
              </c:extLst>
            </c:dLbl>
            <c:dLbl>
              <c:idx val="18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6-DCA1-47A5-8F7D-E2C812DB615A}"/>
                </c:ext>
              </c:extLst>
            </c:dLbl>
            <c:dLbl>
              <c:idx val="18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7-DCA1-47A5-8F7D-E2C812DB615A}"/>
                </c:ext>
              </c:extLst>
            </c:dLbl>
            <c:dLbl>
              <c:idx val="18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8-DCA1-47A5-8F7D-E2C812DB615A}"/>
                </c:ext>
              </c:extLst>
            </c:dLbl>
            <c:dLbl>
              <c:idx val="18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9-DCA1-47A5-8F7D-E2C812DB615A}"/>
                </c:ext>
              </c:extLst>
            </c:dLbl>
            <c:dLbl>
              <c:idx val="18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A-DCA1-47A5-8F7D-E2C812DB615A}"/>
                </c:ext>
              </c:extLst>
            </c:dLbl>
            <c:dLbl>
              <c:idx val="18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B-DCA1-47A5-8F7D-E2C812DB615A}"/>
                </c:ext>
              </c:extLst>
            </c:dLbl>
            <c:dLbl>
              <c:idx val="18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C-DCA1-47A5-8F7D-E2C812DB615A}"/>
                </c:ext>
              </c:extLst>
            </c:dLbl>
            <c:dLbl>
              <c:idx val="18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D-DCA1-47A5-8F7D-E2C812DB615A}"/>
                </c:ext>
              </c:extLst>
            </c:dLbl>
            <c:dLbl>
              <c:idx val="18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E-DCA1-47A5-8F7D-E2C812DB615A}"/>
                </c:ext>
              </c:extLst>
            </c:dLbl>
            <c:dLbl>
              <c:idx val="190"/>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BF-DCA1-47A5-8F7D-E2C812DB615A}"/>
                </c:ext>
              </c:extLst>
            </c:dLbl>
            <c:dLbl>
              <c:idx val="191"/>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0-DCA1-47A5-8F7D-E2C812DB615A}"/>
                </c:ext>
              </c:extLst>
            </c:dLbl>
            <c:dLbl>
              <c:idx val="192"/>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1-DCA1-47A5-8F7D-E2C812DB615A}"/>
                </c:ext>
              </c:extLst>
            </c:dLbl>
            <c:dLbl>
              <c:idx val="193"/>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2-DCA1-47A5-8F7D-E2C812DB615A}"/>
                </c:ext>
              </c:extLst>
            </c:dLbl>
            <c:dLbl>
              <c:idx val="194"/>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3-DCA1-47A5-8F7D-E2C812DB615A}"/>
                </c:ext>
              </c:extLst>
            </c:dLbl>
            <c:dLbl>
              <c:idx val="195"/>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4-DCA1-47A5-8F7D-E2C812DB615A}"/>
                </c:ext>
              </c:extLst>
            </c:dLbl>
            <c:dLbl>
              <c:idx val="196"/>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5-DCA1-47A5-8F7D-E2C812DB615A}"/>
                </c:ext>
              </c:extLst>
            </c:dLbl>
            <c:dLbl>
              <c:idx val="197"/>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6-DCA1-47A5-8F7D-E2C812DB615A}"/>
                </c:ext>
              </c:extLst>
            </c:dLbl>
            <c:dLbl>
              <c:idx val="198"/>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7-DCA1-47A5-8F7D-E2C812DB615A}"/>
                </c:ext>
              </c:extLst>
            </c:dLbl>
            <c:dLbl>
              <c:idx val="199"/>
              <c:tx>
                <c:rich>
                  <a:bodyPr/>
                  <a:lstStyle/>
                  <a:p>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C8-DCA1-47A5-8F7D-E2C812DB615A}"/>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x"/>
            <c:errBarType val="both"/>
            <c:errValType val="cust"/>
            <c:noEndCap val="0"/>
            <c:plus>
              <c:numRef>
                <c:f>Calculations!$R$2:$R$201</c:f>
                <c:numCache>
                  <c:formatCode>General</c:formatCode>
                  <c:ptCount val="200"/>
                  <c:pt idx="0">
                    <c:v>0.32028204710786401</c:v>
                  </c:pt>
                  <c:pt idx="1">
                    <c:v>0.37977379916511433</c:v>
                  </c:pt>
                  <c:pt idx="2">
                    <c:v>0.49972529308145908</c:v>
                  </c:pt>
                  <c:pt idx="3">
                    <c:v>0.17778484179496046</c:v>
                  </c:pt>
                  <c:pt idx="4">
                    <c:v>0.15071076066636999</c:v>
                  </c:pt>
                  <c:pt idx="5">
                    <c:v>0.10058702568648822</c:v>
                  </c:pt>
                  <c:pt idx="6">
                    <c:v>0.21760623931534218</c:v>
                  </c:pt>
                  <c:pt idx="7">
                    <c:v>0.37493833017560174</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plus>
            <c:minus>
              <c:numRef>
                <c:f>Calculations!$Q$2:$Q$201</c:f>
                <c:numCache>
                  <c:formatCode>General</c:formatCode>
                  <c:ptCount val="200"/>
                  <c:pt idx="0">
                    <c:v>0.32028204710786412</c:v>
                  </c:pt>
                  <c:pt idx="1">
                    <c:v>0.37977379916511445</c:v>
                  </c:pt>
                  <c:pt idx="2">
                    <c:v>0.49972529308145902</c:v>
                  </c:pt>
                  <c:pt idx="3">
                    <c:v>0.17778484179496046</c:v>
                  </c:pt>
                  <c:pt idx="4">
                    <c:v>0.15071076066636996</c:v>
                  </c:pt>
                  <c:pt idx="5">
                    <c:v>0.10058702568648821</c:v>
                  </c:pt>
                  <c:pt idx="6">
                    <c:v>0.2176062393153422</c:v>
                  </c:pt>
                  <c:pt idx="7">
                    <c:v>0.37493833017560163</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minus>
          </c:errBars>
          <c:xVal>
            <c:numRef>
              <c:f>Calculations!$P$2:$P$201</c:f>
              <c:numCache>
                <c:formatCode>0.00</c:formatCode>
                <c:ptCount val="200"/>
                <c:pt idx="0">
                  <c:v>1.0099999999999998</c:v>
                </c:pt>
                <c:pt idx="1">
                  <c:v>0.72000000000000008</c:v>
                </c:pt>
                <c:pt idx="2">
                  <c:v>1.0000000000000009E-2</c:v>
                </c:pt>
                <c:pt idx="3">
                  <c:v>7.0000000000000007E-2</c:v>
                </c:pt>
                <c:pt idx="4">
                  <c:v>0.1</c:v>
                </c:pt>
                <c:pt idx="5">
                  <c:v>0.21</c:v>
                </c:pt>
                <c:pt idx="6">
                  <c:v>-0.17</c:v>
                </c:pt>
                <c:pt idx="7">
                  <c:v>-5.0000000000000017E-2</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Calculations!$C$2:$C$201</c:f>
              <c:numCache>
                <c:formatCode>0</c:formatCode>
                <c:ptCount val="200"/>
                <c:pt idx="0">
                  <c:v>1</c:v>
                </c:pt>
                <c:pt idx="1">
                  <c:v>2</c:v>
                </c:pt>
                <c:pt idx="2">
                  <c:v>3</c:v>
                </c:pt>
                <c:pt idx="3">
                  <c:v>4</c:v>
                </c:pt>
                <c:pt idx="4">
                  <c:v>5</c:v>
                </c:pt>
                <c:pt idx="5">
                  <c:v>6</c:v>
                </c:pt>
                <c:pt idx="6">
                  <c:v>7</c:v>
                </c:pt>
                <c:pt idx="7">
                  <c:v>8</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yVal>
          <c:bubbleSize>
            <c:numRef>
              <c:f>Calculations!$M$2:$M$201</c:f>
              <c:numCache>
                <c:formatCode>0.00%</c:formatCode>
                <c:ptCount val="200"/>
                <c:pt idx="0">
                  <c:v>0.11657903548038626</c:v>
                </c:pt>
                <c:pt idx="1">
                  <c:v>0.10460547512650753</c:v>
                </c:pt>
                <c:pt idx="2">
                  <c:v>8.4525633668441236E-2</c:v>
                </c:pt>
                <c:pt idx="3">
                  <c:v>0.1450202124171438</c:v>
                </c:pt>
                <c:pt idx="4">
                  <c:v>0.14967503800288673</c:v>
                </c:pt>
                <c:pt idx="5">
                  <c:v>0.15695017756875604</c:v>
                </c:pt>
                <c:pt idx="6">
                  <c:v>0.13755200692589406</c:v>
                </c:pt>
                <c:pt idx="7">
                  <c:v>0.10509242080998446</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bubbleSize>
          <c:bubble3D val="0"/>
          <c:extLst>
            <c:ext xmlns:c16="http://schemas.microsoft.com/office/drawing/2014/chart" uri="{C3380CC4-5D6E-409C-BE32-E72D297353CC}">
              <c16:uniqueId val="{000000C9-DCA1-47A5-8F7D-E2C812DB615A}"/>
            </c:ext>
          </c:extLst>
        </c:ser>
        <c:ser>
          <c:idx val="1"/>
          <c:order val="2"/>
          <c:tx>
            <c:v>Combined Effect Size CI</c:v>
          </c:tx>
          <c:spPr>
            <a:solidFill>
              <a:schemeClr val="tx1"/>
            </a:solidFill>
            <a:ln w="25400">
              <a:noFill/>
            </a:ln>
          </c:spPr>
          <c:invertIfNegative val="0"/>
          <c:dLbls>
            <c:delete val="1"/>
          </c:dLbls>
          <c:errBars>
            <c:errDir val="x"/>
            <c:errBarType val="both"/>
            <c:errValType val="cust"/>
            <c:noEndCap val="0"/>
            <c:plus>
              <c:numRef>
                <c:f>Calculations!$U$4</c:f>
                <c:numCache>
                  <c:formatCode>General</c:formatCode>
                  <c:ptCount val="1"/>
                  <c:pt idx="0">
                    <c:v>0.33037302872748209</c:v>
                  </c:pt>
                </c:numCache>
              </c:numRef>
            </c:plus>
            <c:minus>
              <c:numRef>
                <c:f>Calculations!$U$3</c:f>
                <c:numCache>
                  <c:formatCode>General</c:formatCode>
                  <c:ptCount val="1"/>
                  <c:pt idx="0">
                    <c:v>0.33037302872748214</c:v>
                  </c:pt>
                </c:numCache>
              </c:numRef>
            </c:minus>
            <c:spPr>
              <a:ln w="28575">
                <a:solidFill>
                  <a:schemeClr val="tx1"/>
                </a:solidFill>
              </a:ln>
            </c:spPr>
          </c:errBars>
          <c:xVal>
            <c:numRef>
              <c:f>'Forest Plot'!$B$10</c:f>
              <c:numCache>
                <c:formatCode>0.00</c:formatCode>
                <c:ptCount val="1"/>
                <c:pt idx="0">
                  <c:v>0.22334601800398624</c:v>
                </c:pt>
              </c:numCache>
            </c:numRef>
          </c:xVal>
          <c:yVal>
            <c:numRef>
              <c:f>Calculations!$U$2</c:f>
              <c:numCache>
                <c:formatCode>0</c:formatCode>
                <c:ptCount val="1"/>
                <c:pt idx="0">
                  <c:v>9</c:v>
                </c:pt>
              </c:numCache>
            </c:numRef>
          </c:yVal>
          <c:bubbleSize>
            <c:numRef>
              <c:f>Calculations!$U$7</c:f>
              <c:numCache>
                <c:formatCode>0.00</c:formatCode>
                <c:ptCount val="1"/>
                <c:pt idx="0">
                  <c:v>0.15695017756875604</c:v>
                </c:pt>
              </c:numCache>
            </c:numRef>
          </c:bubbleSize>
          <c:bubble3D val="0"/>
          <c:extLst>
            <c:ext xmlns:c16="http://schemas.microsoft.com/office/drawing/2014/chart" uri="{C3380CC4-5D6E-409C-BE32-E72D297353CC}">
              <c16:uniqueId val="{000000CA-DCA1-47A5-8F7D-E2C812DB615A}"/>
            </c:ext>
          </c:extLst>
        </c:ser>
        <c:dLbls>
          <c:dLblPos val="r"/>
          <c:showLegendKey val="0"/>
          <c:showVal val="1"/>
          <c:showCatName val="0"/>
          <c:showSerName val="0"/>
          <c:showPercent val="0"/>
          <c:showBubbleSize val="0"/>
        </c:dLbls>
        <c:bubbleScale val="8"/>
        <c:showNegBubbles val="0"/>
        <c:axId val="247917928"/>
        <c:axId val="247918312"/>
      </c:bubbleChart>
      <c:valAx>
        <c:axId val="247917928"/>
        <c:scaling>
          <c:orientation val="minMax"/>
        </c:scaling>
        <c:delete val="0"/>
        <c:axPos val="t"/>
        <c:title>
          <c:tx>
            <c:rich>
              <a:bodyPr/>
              <a:lstStyle/>
              <a:p>
                <a:pPr>
                  <a:defRPr>
                    <a:latin typeface="Arial" panose="020B0604020202020204" pitchFamily="34" charset="0"/>
                    <a:cs typeface="Arial" panose="020B0604020202020204" pitchFamily="34" charset="0"/>
                  </a:defRPr>
                </a:pPr>
                <a:r>
                  <a:rPr lang="nl-NL">
                    <a:latin typeface="Arial" panose="020B0604020202020204" pitchFamily="34" charset="0"/>
                    <a:cs typeface="Arial" panose="020B0604020202020204" pitchFamily="34" charset="0"/>
                  </a:rPr>
                  <a:t>Hedges' </a:t>
                </a:r>
                <a:r>
                  <a:rPr lang="nl-NL" i="1">
                    <a:latin typeface="Arial" panose="020B0604020202020204" pitchFamily="34" charset="0"/>
                    <a:cs typeface="Arial" panose="020B0604020202020204" pitchFamily="34" charset="0"/>
                  </a:rPr>
                  <a:t>g</a:t>
                </a:r>
              </a:p>
            </c:rich>
          </c:tx>
          <c:overlay val="0"/>
        </c:title>
        <c:numFmt formatCode="0.0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47918312"/>
        <c:crosses val="autoZero"/>
        <c:crossBetween val="midCat"/>
      </c:valAx>
      <c:valAx>
        <c:axId val="247918312"/>
        <c:scaling>
          <c:orientation val="maxMin"/>
          <c:max val="10"/>
          <c:min val="0"/>
        </c:scaling>
        <c:delete val="0"/>
        <c:axPos val="l"/>
        <c:numFmt formatCode="0" sourceLinked="1"/>
        <c:majorTickMark val="none"/>
        <c:minorTickMark val="none"/>
        <c:tickLblPos val="none"/>
        <c:crossAx val="247917928"/>
        <c:crosses val="autoZero"/>
        <c:crossBetween val="midCat"/>
        <c:majorUnit val="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19989283346501"/>
          <c:y val="0.14573372157594225"/>
          <c:w val="0.697228019507942"/>
          <c:h val="0.648063786979309"/>
        </c:manualLayout>
      </c:layout>
      <c:bubbleChart>
        <c:varyColors val="0"/>
        <c:ser>
          <c:idx val="0"/>
          <c:order val="0"/>
          <c:tx>
            <c:v>Effect Size</c:v>
          </c:tx>
          <c:spPr>
            <a:solidFill>
              <a:schemeClr val="tx1"/>
            </a:solidFill>
            <a:ln>
              <a:solidFill>
                <a:schemeClr val="tx1"/>
              </a:solidFill>
            </a:ln>
          </c:spPr>
          <c:invertIfNegative val="0"/>
          <c:xVal>
            <c:numRef>
              <c:f>Calculations!$BU$2:$BU$201</c:f>
              <c:numCache>
                <c:formatCode>0.00</c:formatCode>
                <c:ptCount val="200"/>
                <c:pt idx="0">
                  <c:v>#N/A</c:v>
                </c:pt>
                <c:pt idx="1">
                  <c:v>0.5</c:v>
                </c:pt>
                <c:pt idx="2">
                  <c:v>1</c:v>
                </c:pt>
                <c:pt idx="3">
                  <c:v>1</c:v>
                </c:pt>
                <c:pt idx="4">
                  <c:v>1</c:v>
                </c:pt>
                <c:pt idx="5">
                  <c:v>1</c:v>
                </c:pt>
                <c:pt idx="6">
                  <c:v>2</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Calculations!$BV$2:$BV$201</c:f>
              <c:numCache>
                <c:formatCode>0.00</c:formatCode>
                <c:ptCount val="200"/>
                <c:pt idx="0">
                  <c:v>#N/A</c:v>
                </c:pt>
                <c:pt idx="1">
                  <c:v>0.72000000000000008</c:v>
                </c:pt>
                <c:pt idx="2">
                  <c:v>1.0000000000000009E-2</c:v>
                </c:pt>
                <c:pt idx="3">
                  <c:v>7.0000000000000007E-2</c:v>
                </c:pt>
                <c:pt idx="4">
                  <c:v>0.1</c:v>
                </c:pt>
                <c:pt idx="5">
                  <c:v>0.21</c:v>
                </c:pt>
                <c:pt idx="6">
                  <c:v>-0.17</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yVal>
          <c:bubbleSize>
            <c:numRef>
              <c:f>'Moderator Analysis'!$G$2:$G$13</c:f>
              <c:numCache>
                <c:formatCode>0.00%</c:formatCode>
                <c:ptCount val="12"/>
                <c:pt idx="0">
                  <c:v>0</c:v>
                </c:pt>
                <c:pt idx="1">
                  <c:v>6.3432524393000581E-2</c:v>
                </c:pt>
                <c:pt idx="2">
                  <c:v>4.0346814811204078E-2</c:v>
                </c:pt>
                <c:pt idx="3">
                  <c:v>0.19294071478218253</c:v>
                </c:pt>
                <c:pt idx="4">
                  <c:v>0.23088534237433497</c:v>
                </c:pt>
                <c:pt idx="5">
                  <c:v>0.32246930639163984</c:v>
                </c:pt>
                <c:pt idx="6">
                  <c:v>0.14992529724763817</c:v>
                </c:pt>
                <c:pt idx="7">
                  <c:v>0</c:v>
                </c:pt>
                <c:pt idx="8">
                  <c:v>0</c:v>
                </c:pt>
                <c:pt idx="9">
                  <c:v>0</c:v>
                </c:pt>
                <c:pt idx="10">
                  <c:v>0</c:v>
                </c:pt>
                <c:pt idx="11">
                  <c:v>0</c:v>
                </c:pt>
              </c:numCache>
            </c:numRef>
          </c:bubbleSize>
          <c:bubble3D val="0"/>
          <c:extLst>
            <c:ext xmlns:c16="http://schemas.microsoft.com/office/drawing/2014/chart" uri="{C3380CC4-5D6E-409C-BE32-E72D297353CC}">
              <c16:uniqueId val="{00000000-773F-4F6D-B733-5CB2A71EB8BB}"/>
            </c:ext>
          </c:extLst>
        </c:ser>
        <c:ser>
          <c:idx val="1"/>
          <c:order val="1"/>
          <c:tx>
            <c:v>Regression line</c:v>
          </c:tx>
          <c:spPr>
            <a:noFill/>
            <a:ln w="25400">
              <a:noFill/>
            </a:ln>
          </c:spPr>
          <c:invertIfNegative val="0"/>
          <c:trendline>
            <c:spPr>
              <a:ln w="19050" cap="flat">
                <a:solidFill>
                  <a:schemeClr val="tx1"/>
                </a:solidFill>
                <a:miter lim="800000"/>
              </a:ln>
            </c:spPr>
            <c:trendlineType val="linear"/>
            <c:dispRSqr val="0"/>
            <c:dispEq val="0"/>
          </c:trendline>
          <c:xVal>
            <c:numRef>
              <c:f>Calculations!$CF$12:$CF$13</c:f>
              <c:numCache>
                <c:formatCode>0.00</c:formatCode>
                <c:ptCount val="2"/>
                <c:pt idx="0">
                  <c:v>0.45</c:v>
                </c:pt>
                <c:pt idx="1">
                  <c:v>2.2000000000000002</c:v>
                </c:pt>
              </c:numCache>
            </c:numRef>
          </c:xVal>
          <c:yVal>
            <c:numRef>
              <c:f>Calculations!$CG$12:$CG$13</c:f>
              <c:numCache>
                <c:formatCode>0.00</c:formatCode>
                <c:ptCount val="2"/>
                <c:pt idx="0">
                  <c:v>0.40258672743137169</c:v>
                </c:pt>
                <c:pt idx="1">
                  <c:v>-0.3246570404252731</c:v>
                </c:pt>
              </c:numCache>
            </c:numRef>
          </c:yVal>
          <c:bubbleSize>
            <c:numLit>
              <c:formatCode>General</c:formatCode>
              <c:ptCount val="2"/>
              <c:pt idx="0">
                <c:v>0.1</c:v>
              </c:pt>
              <c:pt idx="1">
                <c:v>0.1</c:v>
              </c:pt>
            </c:numLit>
          </c:bubbleSize>
          <c:bubble3D val="0"/>
          <c:extLst>
            <c:ext xmlns:c16="http://schemas.microsoft.com/office/drawing/2014/chart" uri="{C3380CC4-5D6E-409C-BE32-E72D297353CC}">
              <c16:uniqueId val="{00000001-773F-4F6D-B733-5CB2A71EB8BB}"/>
            </c:ext>
          </c:extLst>
        </c:ser>
        <c:dLbls>
          <c:showLegendKey val="0"/>
          <c:showVal val="0"/>
          <c:showCatName val="0"/>
          <c:showSerName val="0"/>
          <c:showPercent val="0"/>
          <c:showBubbleSize val="0"/>
        </c:dLbls>
        <c:bubbleScale val="20"/>
        <c:showNegBubbles val="0"/>
        <c:axId val="247952280"/>
        <c:axId val="247952672"/>
      </c:bubbleChart>
      <c:valAx>
        <c:axId val="24795228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Number of supervision</a:t>
                </a:r>
                <a:r>
                  <a:rPr lang="en-US" baseline="0">
                    <a:latin typeface="Arial" panose="020B0604020202020204" pitchFamily="34" charset="0"/>
                    <a:cs typeface="Arial" panose="020B0604020202020204" pitchFamily="34" charset="0"/>
                  </a:rPr>
                  <a:t> sessions per week</a:t>
                </a:r>
                <a:endParaRPr lang="en-US">
                  <a:latin typeface="Arial" panose="020B0604020202020204" pitchFamily="34" charset="0"/>
                  <a:cs typeface="Arial" panose="020B0604020202020204" pitchFamily="34" charset="0"/>
                </a:endParaRPr>
              </a:p>
            </c:rich>
          </c:tx>
          <c:overlay val="0"/>
        </c:title>
        <c:numFmt formatCode="0.00" sourceLinked="1"/>
        <c:majorTickMark val="in"/>
        <c:minorTickMark val="none"/>
        <c:tickLblPos val="low"/>
        <c:txPr>
          <a:bodyPr/>
          <a:lstStyle/>
          <a:p>
            <a:pPr>
              <a:defRPr>
                <a:latin typeface="Arial" panose="020B0604020202020204" pitchFamily="34" charset="0"/>
                <a:cs typeface="Arial" panose="020B0604020202020204" pitchFamily="34" charset="0"/>
              </a:defRPr>
            </a:pPr>
            <a:endParaRPr lang="en-US"/>
          </a:p>
        </c:txPr>
        <c:crossAx val="247952672"/>
        <c:crosses val="autoZero"/>
        <c:crossBetween val="midCat"/>
      </c:valAx>
      <c:valAx>
        <c:axId val="24795267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Hedges'</a:t>
                </a:r>
                <a:r>
                  <a:rPr lang="en-US" baseline="0">
                    <a:latin typeface="Arial" panose="020B0604020202020204" pitchFamily="34" charset="0"/>
                    <a:cs typeface="Arial" panose="020B0604020202020204" pitchFamily="34" charset="0"/>
                  </a:rPr>
                  <a:t> </a:t>
                </a:r>
                <a:r>
                  <a:rPr lang="en-US" i="1" baseline="0">
                    <a:latin typeface="Arial" panose="020B0604020202020204" pitchFamily="34" charset="0"/>
                    <a:cs typeface="Arial" panose="020B0604020202020204" pitchFamily="34" charset="0"/>
                  </a:rPr>
                  <a:t>g</a:t>
                </a:r>
                <a:endParaRPr lang="en-US" i="1">
                  <a:latin typeface="Arial" panose="020B0604020202020204" pitchFamily="34" charset="0"/>
                  <a:cs typeface="Arial" panose="020B0604020202020204" pitchFamily="34" charset="0"/>
                </a:endParaRPr>
              </a:p>
            </c:rich>
          </c:tx>
          <c:layout>
            <c:manualLayout>
              <c:xMode val="edge"/>
              <c:yMode val="edge"/>
              <c:x val="1.8941957514826219E-2"/>
              <c:y val="0.34694453414143417"/>
            </c:manualLayout>
          </c:layout>
          <c:overlay val="0"/>
        </c:title>
        <c:numFmt formatCode="0.00" sourceLinked="1"/>
        <c:majorTickMark val="in"/>
        <c:minorTickMark val="none"/>
        <c:tickLblPos val="low"/>
        <c:txPr>
          <a:bodyPr/>
          <a:lstStyle/>
          <a:p>
            <a:pPr>
              <a:defRPr>
                <a:latin typeface="Arial" panose="020B0604020202020204" pitchFamily="34" charset="0"/>
                <a:cs typeface="Arial" panose="020B0604020202020204" pitchFamily="34" charset="0"/>
              </a:defRPr>
            </a:pPr>
            <a:endParaRPr lang="en-US"/>
          </a:p>
        </c:txPr>
        <c:crossAx val="247952280"/>
        <c:crosses val="autoZero"/>
        <c:crossBetween val="midCat"/>
      </c:valAx>
    </c:plotArea>
    <c:plotVisOnly val="1"/>
    <c:dispBlanksAs val="gap"/>
    <c:showDLblsOverMax val="0"/>
  </c:chart>
  <c:spPr>
    <a:ln>
      <a:solidFill>
        <a:sysClr val="windowText" lastClr="000000"/>
      </a:solidFill>
    </a:ln>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52511432236439"/>
          <c:y val="0.13298657857042315"/>
          <c:w val="0.67379396538946457"/>
          <c:h val="0.67162721379070522"/>
        </c:manualLayout>
      </c:layout>
      <c:bubbleChart>
        <c:varyColors val="0"/>
        <c:ser>
          <c:idx val="0"/>
          <c:order val="0"/>
          <c:tx>
            <c:v>Effect Size</c:v>
          </c:tx>
          <c:spPr>
            <a:solidFill>
              <a:schemeClr val="tx1"/>
            </a:solidFill>
            <a:ln>
              <a:solidFill>
                <a:schemeClr val="tx1"/>
              </a:solidFill>
            </a:ln>
          </c:spPr>
          <c:invertIfNegative val="0"/>
          <c:xVal>
            <c:numRef>
              <c:f>Calculations!$BU$2:$BU$201</c:f>
              <c:numCache>
                <c:formatCode>0.00</c:formatCode>
                <c:ptCount val="200"/>
                <c:pt idx="0">
                  <c:v>20</c:v>
                </c:pt>
                <c:pt idx="1">
                  <c:v>11</c:v>
                </c:pt>
                <c:pt idx="2">
                  <c:v>15</c:v>
                </c:pt>
                <c:pt idx="3">
                  <c:v>11</c:v>
                </c:pt>
                <c:pt idx="4">
                  <c:v>13</c:v>
                </c:pt>
                <c:pt idx="5">
                  <c:v>16</c:v>
                </c:pt>
                <c:pt idx="6">
                  <c:v>13</c:v>
                </c:pt>
                <c:pt idx="7">
                  <c:v>13</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Calculations!$BV$2:$BV$201</c:f>
              <c:numCache>
                <c:formatCode>0.00</c:formatCode>
                <c:ptCount val="200"/>
                <c:pt idx="0">
                  <c:v>1.0099999999999998</c:v>
                </c:pt>
                <c:pt idx="1">
                  <c:v>0.72000000000000008</c:v>
                </c:pt>
                <c:pt idx="2">
                  <c:v>1.0000000000000009E-2</c:v>
                </c:pt>
                <c:pt idx="3">
                  <c:v>7.0000000000000007E-2</c:v>
                </c:pt>
                <c:pt idx="4">
                  <c:v>0.1</c:v>
                </c:pt>
                <c:pt idx="5">
                  <c:v>0.21</c:v>
                </c:pt>
                <c:pt idx="6">
                  <c:v>-0.17</c:v>
                </c:pt>
                <c:pt idx="7">
                  <c:v>-5.0000000000000017E-2</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yVal>
          <c:bubbleSize>
            <c:numRef>
              <c:f>'Moderator Analysis'!$G$2:$G$13</c:f>
              <c:numCache>
                <c:formatCode>0.00%</c:formatCode>
                <c:ptCount val="12"/>
                <c:pt idx="0">
                  <c:v>0.11546834071101289</c:v>
                </c:pt>
                <c:pt idx="1">
                  <c:v>0.10274145780913663</c:v>
                </c:pt>
                <c:pt idx="2">
                  <c:v>8.1869995260427639E-2</c:v>
                </c:pt>
                <c:pt idx="3">
                  <c:v>0.14657799976600844</c:v>
                </c:pt>
                <c:pt idx="4">
                  <c:v>0.15179121795197023</c:v>
                </c:pt>
                <c:pt idx="5">
                  <c:v>0.16000962923842446</c:v>
                </c:pt>
                <c:pt idx="6">
                  <c:v>0.13828647766097618</c:v>
                </c:pt>
                <c:pt idx="7">
                  <c:v>0.10325488160204348</c:v>
                </c:pt>
                <c:pt idx="8">
                  <c:v>0</c:v>
                </c:pt>
                <c:pt idx="9">
                  <c:v>0</c:v>
                </c:pt>
                <c:pt idx="10">
                  <c:v>0</c:v>
                </c:pt>
                <c:pt idx="11">
                  <c:v>0</c:v>
                </c:pt>
              </c:numCache>
            </c:numRef>
          </c:bubbleSize>
          <c:bubble3D val="0"/>
          <c:extLst>
            <c:ext xmlns:c16="http://schemas.microsoft.com/office/drawing/2014/chart" uri="{C3380CC4-5D6E-409C-BE32-E72D297353CC}">
              <c16:uniqueId val="{00000000-935B-42C2-97E6-E5EED7D63C2C}"/>
            </c:ext>
          </c:extLst>
        </c:ser>
        <c:ser>
          <c:idx val="1"/>
          <c:order val="1"/>
          <c:tx>
            <c:v>Regression line</c:v>
          </c:tx>
          <c:spPr>
            <a:noFill/>
            <a:ln w="25400">
              <a:noFill/>
            </a:ln>
          </c:spPr>
          <c:invertIfNegative val="0"/>
          <c:trendline>
            <c:spPr>
              <a:ln w="19050" cap="flat">
                <a:solidFill>
                  <a:schemeClr val="tx1"/>
                </a:solidFill>
                <a:miter lim="800000"/>
              </a:ln>
            </c:spPr>
            <c:trendlineType val="linear"/>
            <c:dispRSqr val="0"/>
            <c:dispEq val="0"/>
          </c:trendline>
          <c:xVal>
            <c:numRef>
              <c:f>Calculations!$CF$12:$CF$13</c:f>
              <c:numCache>
                <c:formatCode>0.00</c:formatCode>
                <c:ptCount val="2"/>
                <c:pt idx="0">
                  <c:v>9.9</c:v>
                </c:pt>
                <c:pt idx="1">
                  <c:v>22</c:v>
                </c:pt>
              </c:numCache>
            </c:numRef>
          </c:xVal>
          <c:yVal>
            <c:numRef>
              <c:f>Calculations!$CG$12:$CG$13</c:f>
              <c:numCache>
                <c:formatCode>0.00</c:formatCode>
                <c:ptCount val="2"/>
                <c:pt idx="0">
                  <c:v>-6.8921209558109542E-2</c:v>
                </c:pt>
                <c:pt idx="1">
                  <c:v>0.7988803280105844</c:v>
                </c:pt>
              </c:numCache>
            </c:numRef>
          </c:yVal>
          <c:bubbleSize>
            <c:numLit>
              <c:formatCode>General</c:formatCode>
              <c:ptCount val="2"/>
              <c:pt idx="0">
                <c:v>0.1</c:v>
              </c:pt>
              <c:pt idx="1">
                <c:v>0.1</c:v>
              </c:pt>
            </c:numLit>
          </c:bubbleSize>
          <c:bubble3D val="0"/>
          <c:extLst>
            <c:ext xmlns:c16="http://schemas.microsoft.com/office/drawing/2014/chart" uri="{C3380CC4-5D6E-409C-BE32-E72D297353CC}">
              <c16:uniqueId val="{00000001-935B-42C2-97E6-E5EED7D63C2C}"/>
            </c:ext>
          </c:extLst>
        </c:ser>
        <c:dLbls>
          <c:showLegendKey val="0"/>
          <c:showVal val="0"/>
          <c:showCatName val="0"/>
          <c:showSerName val="0"/>
          <c:showPercent val="0"/>
          <c:showBubbleSize val="0"/>
        </c:dLbls>
        <c:bubbleScale val="20"/>
        <c:showNegBubbles val="0"/>
        <c:axId val="247952280"/>
        <c:axId val="247952672"/>
      </c:bubbleChart>
      <c:valAx>
        <c:axId val="24795228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Quality Index</a:t>
                </a:r>
                <a:r>
                  <a:rPr lang="en-US" baseline="0">
                    <a:latin typeface="Arial" panose="020B0604020202020204" pitchFamily="34" charset="0"/>
                    <a:cs typeface="Arial" panose="020B0604020202020204" pitchFamily="34" charset="0"/>
                  </a:rPr>
                  <a:t> score</a:t>
                </a:r>
                <a:endParaRPr lang="en-US">
                  <a:latin typeface="Arial" panose="020B0604020202020204" pitchFamily="34" charset="0"/>
                  <a:cs typeface="Arial" panose="020B0604020202020204" pitchFamily="34" charset="0"/>
                </a:endParaRPr>
              </a:p>
            </c:rich>
          </c:tx>
          <c:overlay val="0"/>
        </c:title>
        <c:numFmt formatCode="0.00" sourceLinked="1"/>
        <c:majorTickMark val="in"/>
        <c:minorTickMark val="none"/>
        <c:tickLblPos val="low"/>
        <c:txPr>
          <a:bodyPr/>
          <a:lstStyle/>
          <a:p>
            <a:pPr>
              <a:defRPr>
                <a:latin typeface="Arial" panose="020B0604020202020204" pitchFamily="34" charset="0"/>
                <a:cs typeface="Arial" panose="020B0604020202020204" pitchFamily="34" charset="0"/>
              </a:defRPr>
            </a:pPr>
            <a:endParaRPr lang="en-US"/>
          </a:p>
        </c:txPr>
        <c:crossAx val="247952672"/>
        <c:crosses val="autoZero"/>
        <c:crossBetween val="midCat"/>
      </c:valAx>
      <c:valAx>
        <c:axId val="24795267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Hedges'</a:t>
                </a:r>
                <a:r>
                  <a:rPr lang="en-US" baseline="0">
                    <a:latin typeface="Arial" panose="020B0604020202020204" pitchFamily="34" charset="0"/>
                    <a:cs typeface="Arial" panose="020B0604020202020204" pitchFamily="34" charset="0"/>
                  </a:rPr>
                  <a:t> </a:t>
                </a:r>
                <a:r>
                  <a:rPr lang="en-US" i="1" baseline="0">
                    <a:latin typeface="Arial" panose="020B0604020202020204" pitchFamily="34" charset="0"/>
                    <a:cs typeface="Arial" panose="020B0604020202020204" pitchFamily="34" charset="0"/>
                  </a:rPr>
                  <a:t>g</a:t>
                </a:r>
                <a:endParaRPr lang="en-US" i="1">
                  <a:latin typeface="Arial" panose="020B0604020202020204" pitchFamily="34" charset="0"/>
                  <a:cs typeface="Arial" panose="020B0604020202020204" pitchFamily="34" charset="0"/>
                </a:endParaRPr>
              </a:p>
            </c:rich>
          </c:tx>
          <c:overlay val="0"/>
        </c:title>
        <c:numFmt formatCode="0.00" sourceLinked="1"/>
        <c:majorTickMark val="in"/>
        <c:minorTickMark val="none"/>
        <c:tickLblPos val="low"/>
        <c:txPr>
          <a:bodyPr/>
          <a:lstStyle/>
          <a:p>
            <a:pPr>
              <a:defRPr>
                <a:latin typeface="Arial" panose="020B0604020202020204" pitchFamily="34" charset="0"/>
                <a:cs typeface="Arial" panose="020B0604020202020204" pitchFamily="34" charset="0"/>
              </a:defRPr>
            </a:pPr>
            <a:endParaRPr lang="en-US"/>
          </a:p>
        </c:txPr>
        <c:crossAx val="247952280"/>
        <c:crosses val="autoZero"/>
        <c:crossBetween val="midCat"/>
      </c:valAx>
    </c:plotArea>
    <c:plotVisOnly val="1"/>
    <c:dispBlanksAs val="gap"/>
    <c:showDLblsOverMax val="0"/>
  </c:chart>
  <c:spPr>
    <a:ln>
      <a:solidFill>
        <a:sysClr val="windowText" lastClr="000000"/>
      </a:solidFill>
    </a:ln>
  </c:spPr>
  <c:txPr>
    <a:bodyPr/>
    <a:lstStyle/>
    <a:p>
      <a:pPr>
        <a:defRPr>
          <a:solidFill>
            <a:sysClr val="windowText" lastClr="000000"/>
          </a:solidFil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055250012903524E-2"/>
          <c:y val="0.11723369673658995"/>
          <c:w val="0.44478286718166066"/>
          <c:h val="0.86706235919498253"/>
        </c:manualLayout>
      </c:layout>
      <c:bubbleChart>
        <c:varyColors val="0"/>
        <c:ser>
          <c:idx val="2"/>
          <c:order val="0"/>
          <c:tx>
            <c:v>Combined Effect Size PI</c:v>
          </c:tx>
          <c:spPr>
            <a:ln w="25400">
              <a:noFill/>
            </a:ln>
          </c:spPr>
          <c:invertIfNegative val="0"/>
          <c:xVal>
            <c:numRef>
              <c:f>'Forest Plot'!$B$10</c:f>
              <c:numCache>
                <c:formatCode>0.00</c:formatCode>
                <c:ptCount val="1"/>
                <c:pt idx="0">
                  <c:v>0.55890007691265775</c:v>
                </c:pt>
              </c:numCache>
            </c:numRef>
          </c:xVal>
          <c:yVal>
            <c:numRef>
              <c:f>Calculations!$U$2</c:f>
              <c:numCache>
                <c:formatCode>0</c:formatCode>
                <c:ptCount val="1"/>
                <c:pt idx="0">
                  <c:v>12</c:v>
                </c:pt>
              </c:numCache>
            </c:numRef>
          </c:yVal>
          <c:bubbleSize>
            <c:numRef>
              <c:f>Calculations!$U$7</c:f>
              <c:numCache>
                <c:formatCode>0.00</c:formatCode>
                <c:ptCount val="1"/>
                <c:pt idx="0">
                  <c:v>0.10798910908019202</c:v>
                </c:pt>
              </c:numCache>
            </c:numRef>
          </c:bubbleSize>
          <c:bubble3D val="0"/>
          <c:extLst>
            <c:ext xmlns:c16="http://schemas.microsoft.com/office/drawing/2014/chart" uri="{C3380CC4-5D6E-409C-BE32-E72D297353CC}">
              <c16:uniqueId val="{00000000-6E87-410D-954B-CB7FDD4A8BA2}"/>
            </c:ext>
          </c:extLst>
        </c:ser>
        <c:ser>
          <c:idx val="0"/>
          <c:order val="1"/>
          <c:tx>
            <c:strRef>
              <c:f>'Forest Plot'!$F$1</c:f>
              <c:strCache>
                <c:ptCount val="1"/>
                <c:pt idx="0">
                  <c:v>Effect size</c:v>
                </c:pt>
              </c:strCache>
            </c:strRef>
          </c:tx>
          <c:spPr>
            <a:noFill/>
            <a:ln>
              <a:solidFill>
                <a:schemeClr val="tx1"/>
              </a:solidFill>
            </a:ln>
          </c:spPr>
          <c:invertIfNegative val="0"/>
          <c:dLbls>
            <c:dLbl>
              <c:idx val="0"/>
              <c:layout>
                <c:manualLayout>
                  <c:x val="8.9827628065064336E-2"/>
                  <c:y val="2.3986567522187576E-3"/>
                </c:manualLayout>
              </c:layout>
              <c:tx>
                <c:rich>
                  <a:bodyPr/>
                  <a:lstStyle/>
                  <a:p>
                    <a:r>
                      <a:rPr lang="en-US"/>
                      <a:t>Berg</a:t>
                    </a:r>
                    <a:r>
                      <a:rPr lang="en-US" baseline="0"/>
                      <a:t> &amp; Stone (1980), </a:t>
                    </a:r>
                    <a:r>
                      <a:rPr lang="en-US" i="1" baseline="0"/>
                      <a:t>g </a:t>
                    </a:r>
                    <a:r>
                      <a:rPr lang="en-US" baseline="0"/>
                      <a:t>= 0.82 [0.42, 1.22]</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50731834814427601"/>
                      <c:h val="0.10539629005059023"/>
                    </c:manualLayout>
                  </c15:layout>
                </c:ext>
                <c:ext xmlns:c16="http://schemas.microsoft.com/office/drawing/2014/chart" uri="{C3380CC4-5D6E-409C-BE32-E72D297353CC}">
                  <c16:uniqueId val="{00000001-6E87-410D-954B-CB7FDD4A8BA2}"/>
                </c:ext>
              </c:extLst>
            </c:dLbl>
            <c:dLbl>
              <c:idx val="1"/>
              <c:layout>
                <c:manualLayout>
                  <c:x val="2.4277737314881364E-3"/>
                  <c:y val="0"/>
                </c:manualLayout>
              </c:layout>
              <c:tx>
                <c:rich>
                  <a:bodyPr/>
                  <a:lstStyle/>
                  <a:p>
                    <a:r>
                      <a:rPr lang="en-US"/>
                      <a:t>Borders</a:t>
                    </a:r>
                    <a:r>
                      <a:rPr lang="en-US" baseline="0"/>
                      <a:t> (1991), </a:t>
                    </a:r>
                    <a:r>
                      <a:rPr lang="en-US" i="1" baseline="0"/>
                      <a:t>g </a:t>
                    </a:r>
                    <a:r>
                      <a:rPr lang="en-US" baseline="0"/>
                      <a:t>= 1.79 [1.33, 2.25]</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45078410872974384"/>
                      <c:h val="0.10539629005059023"/>
                    </c:manualLayout>
                  </c15:layout>
                </c:ext>
                <c:ext xmlns:c16="http://schemas.microsoft.com/office/drawing/2014/chart" uri="{C3380CC4-5D6E-409C-BE32-E72D297353CC}">
                  <c16:uniqueId val="{00000002-6E87-410D-954B-CB7FDD4A8BA2}"/>
                </c:ext>
              </c:extLst>
            </c:dLbl>
            <c:dLbl>
              <c:idx val="2"/>
              <c:layout>
                <c:manualLayout>
                  <c:x val="8.9827628065064294E-2"/>
                  <c:y val="9.4435305205462896E-8"/>
                </c:manualLayout>
              </c:layout>
              <c:tx>
                <c:rich>
                  <a:bodyPr/>
                  <a:lstStyle/>
                  <a:p>
                    <a:r>
                      <a:rPr lang="en-US"/>
                      <a:t>Bradshaw</a:t>
                    </a:r>
                    <a:r>
                      <a:rPr lang="en-US" baseline="0"/>
                      <a:t> et al. (2007), </a:t>
                    </a:r>
                    <a:r>
                      <a:rPr lang="en-US" i="1" baseline="0"/>
                      <a:t>g</a:t>
                    </a:r>
                    <a:r>
                      <a:rPr lang="en-US" baseline="0"/>
                      <a:t> = 0.35 [-0.38, 1.08]</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62457717811410529"/>
                      <c:h val="0.13771781899943789"/>
                    </c:manualLayout>
                  </c15:layout>
                </c:ext>
                <c:ext xmlns:c16="http://schemas.microsoft.com/office/drawing/2014/chart" uri="{C3380CC4-5D6E-409C-BE32-E72D297353CC}">
                  <c16:uniqueId val="{00000003-6E87-410D-954B-CB7FDD4A8BA2}"/>
                </c:ext>
              </c:extLst>
            </c:dLbl>
            <c:dLbl>
              <c:idx val="3"/>
              <c:layout>
                <c:manualLayout>
                  <c:x val="7.7234746603506321E-2"/>
                  <c:y val="-1.5748031496062992E-3"/>
                </c:manualLayout>
              </c:layout>
              <c:tx>
                <c:rich>
                  <a:bodyPr/>
                  <a:lstStyle/>
                  <a:p>
                    <a:r>
                      <a:rPr lang="en-US"/>
                      <a:t>Burlingame</a:t>
                    </a:r>
                    <a:r>
                      <a:rPr lang="en-US" baseline="0"/>
                      <a:t> et al. (2007), </a:t>
                    </a:r>
                    <a:r>
                      <a:rPr lang="en-US" i="1" baseline="0"/>
                      <a:t>g </a:t>
                    </a:r>
                    <a:r>
                      <a:rPr lang="en-US" baseline="0"/>
                      <a:t>= 0.83 [-0.28, 1.94]</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58074718081944054"/>
                      <c:h val="0.1377178386402827"/>
                    </c:manualLayout>
                  </c15:layout>
                </c:ext>
                <c:ext xmlns:c16="http://schemas.microsoft.com/office/drawing/2014/chart" uri="{C3380CC4-5D6E-409C-BE32-E72D297353CC}">
                  <c16:uniqueId val="{00000004-6E87-410D-954B-CB7FDD4A8BA2}"/>
                </c:ext>
              </c:extLst>
            </c:dLbl>
            <c:dLbl>
              <c:idx val="4"/>
              <c:layout>
                <c:manualLayout>
                  <c:x val="0.14688031075503763"/>
                  <c:y val="-5.2090514351334207E-3"/>
                </c:manualLayout>
              </c:layout>
              <c:tx>
                <c:rich>
                  <a:bodyPr/>
                  <a:lstStyle/>
                  <a:p>
                    <a:r>
                      <a:rPr lang="en-US"/>
                      <a:t>Crutchfield &amp; Borders (1997), </a:t>
                    </a:r>
                    <a:r>
                      <a:rPr lang="en-US" i="1"/>
                      <a:t>g </a:t>
                    </a:r>
                    <a:r>
                      <a:rPr lang="en-US"/>
                      <a:t>= 0.31 [-0.22, 0.83]</a:t>
                    </a:r>
                  </a:p>
                </c:rich>
              </c:tx>
              <c:showLegendKey val="0"/>
              <c:showVal val="1"/>
              <c:showCatName val="0"/>
              <c:showSerName val="0"/>
              <c:showPercent val="0"/>
              <c:showBubbleSize val="0"/>
              <c:extLst>
                <c:ext xmlns:c15="http://schemas.microsoft.com/office/drawing/2012/chart" uri="{CE6537A1-D6FC-4f65-9D91-7224C49458BB}">
                  <c15:layout>
                    <c:manualLayout>
                      <c:w val="0.57753219667643507"/>
                      <c:h val="0.1377178386402827"/>
                    </c:manualLayout>
                  </c15:layout>
                </c:ext>
                <c:ext xmlns:c16="http://schemas.microsoft.com/office/drawing/2014/chart" uri="{C3380CC4-5D6E-409C-BE32-E72D297353CC}">
                  <c16:uniqueId val="{00000005-6E87-410D-954B-CB7FDD4A8BA2}"/>
                </c:ext>
              </c:extLst>
            </c:dLbl>
            <c:dLbl>
              <c:idx val="5"/>
              <c:layout>
                <c:manualLayout>
                  <c:x val="8.9444823584961516E-2"/>
                  <c:y val="-1.5748975849115047E-3"/>
                </c:manualLayout>
              </c:layout>
              <c:tx>
                <c:rich>
                  <a:bodyPr/>
                  <a:lstStyle/>
                  <a:p>
                    <a:r>
                      <a:rPr lang="en-US"/>
                      <a:t>Fenell</a:t>
                    </a:r>
                    <a:r>
                      <a:rPr lang="en-US" baseline="0"/>
                      <a:t> et al. (1986), </a:t>
                    </a:r>
                    <a:r>
                      <a:rPr lang="en-US" i="1" baseline="0"/>
                      <a:t>g</a:t>
                    </a:r>
                    <a:r>
                      <a:rPr lang="en-US" baseline="0"/>
                      <a:t> = 0.08 [-0.51, 0.67]</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62777309004696424"/>
                      <c:h val="0.13771781899943789"/>
                    </c:manualLayout>
                  </c15:layout>
                </c:ext>
                <c:ext xmlns:c16="http://schemas.microsoft.com/office/drawing/2014/chart" uri="{C3380CC4-5D6E-409C-BE32-E72D297353CC}">
                  <c16:uniqueId val="{00000006-6E87-410D-954B-CB7FDD4A8BA2}"/>
                </c:ext>
              </c:extLst>
            </c:dLbl>
            <c:dLbl>
              <c:idx val="6"/>
              <c:layout>
                <c:manualLayout>
                  <c:x val="8.0116628720754368E-2"/>
                  <c:y val="-2.3258471319054334E-3"/>
                </c:manualLayout>
              </c:layout>
              <c:tx>
                <c:rich>
                  <a:bodyPr/>
                  <a:lstStyle/>
                  <a:p>
                    <a:r>
                      <a:rPr lang="en-US"/>
                      <a:t>Ladany et al. (1999), </a:t>
                    </a:r>
                    <a:r>
                      <a:rPr lang="en-US" i="1"/>
                      <a:t>g</a:t>
                    </a:r>
                    <a:r>
                      <a:rPr lang="en-US"/>
                      <a:t> = 0.04 [-0.10, 0.18]</a:t>
                    </a:r>
                  </a:p>
                </c:rich>
              </c:tx>
              <c:showLegendKey val="0"/>
              <c:showVal val="1"/>
              <c:showCatName val="0"/>
              <c:showSerName val="0"/>
              <c:showPercent val="0"/>
              <c:showBubbleSize val="0"/>
              <c:extLst>
                <c:ext xmlns:c15="http://schemas.microsoft.com/office/drawing/2012/chart" uri="{CE6537A1-D6FC-4f65-9D91-7224C49458BB}">
                  <c15:layout>
                    <c:manualLayout>
                      <c:w val="0.66061860210495116"/>
                      <c:h val="0.13771781899943789"/>
                    </c:manualLayout>
                  </c15:layout>
                </c:ext>
                <c:ext xmlns:c16="http://schemas.microsoft.com/office/drawing/2014/chart" uri="{C3380CC4-5D6E-409C-BE32-E72D297353CC}">
                  <c16:uniqueId val="{00000007-6E87-410D-954B-CB7FDD4A8BA2}"/>
                </c:ext>
              </c:extLst>
            </c:dLbl>
            <c:dLbl>
              <c:idx val="7"/>
              <c:layout>
                <c:manualLayout>
                  <c:x val="3.6416605972323379E-2"/>
                  <c:y val="-2.3985623169135522E-3"/>
                </c:manualLayout>
              </c:layout>
              <c:tx>
                <c:rich>
                  <a:bodyPr/>
                  <a:lstStyle/>
                  <a:p>
                    <a:r>
                      <a:rPr lang="en-US"/>
                      <a:t>Reese</a:t>
                    </a:r>
                    <a:r>
                      <a:rPr lang="en-US" baseline="0"/>
                      <a:t> et al. (2009), </a:t>
                    </a:r>
                    <a:r>
                      <a:rPr lang="en-US" i="1" baseline="0"/>
                      <a:t>g</a:t>
                    </a:r>
                    <a:r>
                      <a:rPr lang="en-US" baseline="0"/>
                      <a:t> = 1.12 [0.52, 1.71]</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53152117093570306"/>
                      <c:h val="0.13771781899943789"/>
                    </c:manualLayout>
                  </c15:layout>
                </c:ext>
                <c:ext xmlns:c16="http://schemas.microsoft.com/office/drawing/2014/chart" uri="{C3380CC4-5D6E-409C-BE32-E72D297353CC}">
                  <c16:uniqueId val="{00000008-6E87-410D-954B-CB7FDD4A8BA2}"/>
                </c:ext>
              </c:extLst>
            </c:dLbl>
            <c:dLbl>
              <c:idx val="8"/>
              <c:layout>
                <c:manualLayout>
                  <c:x val="9.2255497378195536E-2"/>
                  <c:y val="2.3987511875238751E-3"/>
                </c:manualLayout>
              </c:layout>
              <c:tx>
                <c:rich>
                  <a:bodyPr/>
                  <a:lstStyle/>
                  <a:p>
                    <a:r>
                      <a:rPr lang="en-US"/>
                      <a:t>Sholomskas</a:t>
                    </a:r>
                    <a:r>
                      <a:rPr lang="en-US" baseline="0"/>
                      <a:t> et al. (2005), </a:t>
                    </a:r>
                    <a:r>
                      <a:rPr lang="en-US" i="1" baseline="0"/>
                      <a:t>g</a:t>
                    </a:r>
                    <a:r>
                      <a:rPr lang="en-US" baseline="0"/>
                      <a:t> = 0.55 [-0.01, 1.11]</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60015476371778675"/>
                      <c:h val="0.13771781899943789"/>
                    </c:manualLayout>
                  </c15:layout>
                </c:ext>
                <c:ext xmlns:c16="http://schemas.microsoft.com/office/drawing/2014/chart" uri="{C3380CC4-5D6E-409C-BE32-E72D297353CC}">
                  <c16:uniqueId val="{00000009-6E87-410D-954B-CB7FDD4A8BA2}"/>
                </c:ext>
              </c:extLst>
            </c:dLbl>
            <c:dLbl>
              <c:idx val="9"/>
              <c:layout>
                <c:manualLayout>
                  <c:x val="2.3709122120841915E-2"/>
                  <c:y val="-2.8105835535251625E-3"/>
                </c:manualLayout>
              </c:layout>
              <c:tx>
                <c:rich>
                  <a:bodyPr/>
                  <a:lstStyle/>
                  <a:p>
                    <a:r>
                      <a:rPr lang="en-US"/>
                      <a:t>Singo (1998), </a:t>
                    </a:r>
                    <a:r>
                      <a:rPr lang="en-US" i="1"/>
                      <a:t>g </a:t>
                    </a:r>
                    <a:r>
                      <a:rPr lang="en-US"/>
                      <a:t>= 0.97 [0.36-1.57]</a:t>
                    </a:r>
                  </a:p>
                </c:rich>
              </c:tx>
              <c:showLegendKey val="0"/>
              <c:showVal val="1"/>
              <c:showCatName val="0"/>
              <c:showSerName val="0"/>
              <c:showPercent val="0"/>
              <c:showBubbleSize val="0"/>
              <c:extLst>
                <c:ext xmlns:c15="http://schemas.microsoft.com/office/drawing/2012/chart" uri="{CE6537A1-D6FC-4f65-9D91-7224C49458BB}">
                  <c15:layout>
                    <c:manualLayout>
                      <c:w val="0.5239949619470593"/>
                      <c:h val="0.10539629005059023"/>
                    </c:manualLayout>
                  </c15:layout>
                </c:ext>
                <c:ext xmlns:c16="http://schemas.microsoft.com/office/drawing/2014/chart" uri="{C3380CC4-5D6E-409C-BE32-E72D297353CC}">
                  <c16:uniqueId val="{0000000A-6E87-410D-954B-CB7FDD4A8BA2}"/>
                </c:ext>
              </c:extLst>
            </c:dLbl>
            <c:dLbl>
              <c:idx val="10"/>
              <c:layout>
                <c:manualLayout>
                  <c:x val="0.20636067159485619"/>
                  <c:y val="1.8887061049887552E-7"/>
                </c:manualLayout>
              </c:layout>
              <c:tx>
                <c:rich>
                  <a:bodyPr/>
                  <a:lstStyle/>
                  <a:p>
                    <a:r>
                      <a:rPr lang="en-US"/>
                      <a:t>Weck</a:t>
                    </a:r>
                    <a:r>
                      <a:rPr lang="en-US" baseline="0"/>
                      <a:t> et al. (2016),</a:t>
                    </a:r>
                    <a:r>
                      <a:rPr lang="en-US" i="1" baseline="0"/>
                      <a:t> g </a:t>
                    </a:r>
                    <a:r>
                      <a:rPr lang="en-US" baseline="0"/>
                      <a:t>= -0.57 [-1.05, -0.08]</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51997866617728861"/>
                      <c:h val="0.1377178386402827"/>
                    </c:manualLayout>
                  </c15:layout>
                </c:ext>
                <c:ext xmlns:c16="http://schemas.microsoft.com/office/drawing/2014/chart" uri="{C3380CC4-5D6E-409C-BE32-E72D297353CC}">
                  <c16:uniqueId val="{0000000B-6E87-410D-954B-CB7FDD4A8B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x"/>
            <c:errBarType val="both"/>
            <c:errValType val="cust"/>
            <c:noEndCap val="0"/>
            <c:plus>
              <c:numRef>
                <c:f>Calculations!$R$2:$R$201</c:f>
                <c:numCache>
                  <c:formatCode>General</c:formatCode>
                  <c:ptCount val="200"/>
                  <c:pt idx="0">
                    <c:v>0.40019907561765378</c:v>
                  </c:pt>
                  <c:pt idx="1">
                    <c:v>0.45714990476548589</c:v>
                  </c:pt>
                  <c:pt idx="2">
                    <c:v>0.7284284340456858</c:v>
                  </c:pt>
                  <c:pt idx="3">
                    <c:v>1.1087012035137433</c:v>
                  </c:pt>
                  <c:pt idx="4">
                    <c:v>0.52222944988519138</c:v>
                  </c:pt>
                  <c:pt idx="5">
                    <c:v>0.59172898408271501</c:v>
                  </c:pt>
                  <c:pt idx="6">
                    <c:v>0.14121301598246205</c:v>
                  </c:pt>
                  <c:pt idx="7">
                    <c:v>0.59613166469628776</c:v>
                  </c:pt>
                  <c:pt idx="8">
                    <c:v>0.55655528366812745</c:v>
                  </c:pt>
                  <c:pt idx="9">
                    <c:v>0.60458349056520178</c:v>
                  </c:pt>
                  <c:pt idx="10">
                    <c:v>0.48483758760420514</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plus>
            <c:minus>
              <c:numRef>
                <c:f>Calculations!$Q$2:$Q$201</c:f>
                <c:numCache>
                  <c:formatCode>General</c:formatCode>
                  <c:ptCount val="200"/>
                  <c:pt idx="0">
                    <c:v>0.40019907561765378</c:v>
                  </c:pt>
                  <c:pt idx="1">
                    <c:v>0.45714990476548611</c:v>
                  </c:pt>
                  <c:pt idx="2">
                    <c:v>0.72842843404568591</c:v>
                  </c:pt>
                  <c:pt idx="3">
                    <c:v>1.1087012035137433</c:v>
                  </c:pt>
                  <c:pt idx="4">
                    <c:v>0.52222944988519127</c:v>
                  </c:pt>
                  <c:pt idx="5">
                    <c:v>0.59172898408271501</c:v>
                  </c:pt>
                  <c:pt idx="6">
                    <c:v>0.14121301598246205</c:v>
                  </c:pt>
                  <c:pt idx="7">
                    <c:v>0.59613166469628764</c:v>
                  </c:pt>
                  <c:pt idx="8">
                    <c:v>0.55655528366812745</c:v>
                  </c:pt>
                  <c:pt idx="9">
                    <c:v>0.60458349056520178</c:v>
                  </c:pt>
                  <c:pt idx="10">
                    <c:v>0.48483758760420526</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minus>
          </c:errBars>
          <c:xVal>
            <c:numRef>
              <c:f>Calculations!$P$2:$P$201</c:f>
              <c:numCache>
                <c:formatCode>0.00</c:formatCode>
                <c:ptCount val="200"/>
                <c:pt idx="0">
                  <c:v>0.81625000000000003</c:v>
                </c:pt>
                <c:pt idx="1">
                  <c:v>1.79</c:v>
                </c:pt>
                <c:pt idx="2">
                  <c:v>0.35</c:v>
                </c:pt>
                <c:pt idx="3">
                  <c:v>0.83000000000000007</c:v>
                </c:pt>
                <c:pt idx="4">
                  <c:v>0.30499999999999999</c:v>
                </c:pt>
                <c:pt idx="5">
                  <c:v>7.9921276595744661E-2</c:v>
                </c:pt>
                <c:pt idx="6">
                  <c:v>3.7999999999999999E-2</c:v>
                </c:pt>
                <c:pt idx="7">
                  <c:v>1.1182000000000001</c:v>
                </c:pt>
                <c:pt idx="8">
                  <c:v>0.54999999999999993</c:v>
                </c:pt>
                <c:pt idx="9">
                  <c:v>0.96881549295774649</c:v>
                </c:pt>
                <c:pt idx="10">
                  <c:v>-0.56606551724137932</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Calculations!$C$2:$C$201</c:f>
              <c:numCache>
                <c:formatCode>0</c:formatCode>
                <c:ptCount val="200"/>
                <c:pt idx="0">
                  <c:v>1</c:v>
                </c:pt>
                <c:pt idx="1">
                  <c:v>2</c:v>
                </c:pt>
                <c:pt idx="2">
                  <c:v>3</c:v>
                </c:pt>
                <c:pt idx="3">
                  <c:v>4</c:v>
                </c:pt>
                <c:pt idx="4">
                  <c:v>5</c:v>
                </c:pt>
                <c:pt idx="5">
                  <c:v>6</c:v>
                </c:pt>
                <c:pt idx="6">
                  <c:v>7</c:v>
                </c:pt>
                <c:pt idx="7">
                  <c:v>8</c:v>
                </c:pt>
                <c:pt idx="8">
                  <c:v>9</c:v>
                </c:pt>
                <c:pt idx="9">
                  <c:v>10</c:v>
                </c:pt>
                <c:pt idx="10">
                  <c:v>11</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yVal>
          <c:bubbleSize>
            <c:numRef>
              <c:f>Calculations!$M$2:$M$201</c:f>
              <c:numCache>
                <c:formatCode>0.00%</c:formatCode>
                <c:ptCount val="200"/>
                <c:pt idx="0">
                  <c:v>9.9036427324881063E-2</c:v>
                </c:pt>
                <c:pt idx="1">
                  <c:v>9.6089204236099734E-2</c:v>
                </c:pt>
                <c:pt idx="2">
                  <c:v>8.2652616584018276E-2</c:v>
                </c:pt>
                <c:pt idx="3">
                  <c:v>6.7096933413169607E-2</c:v>
                </c:pt>
                <c:pt idx="4">
                  <c:v>9.3480586244415145E-2</c:v>
                </c:pt>
                <c:pt idx="5">
                  <c:v>8.9937936310580335E-2</c:v>
                </c:pt>
                <c:pt idx="6">
                  <c:v>0.10798910908019202</c:v>
                </c:pt>
                <c:pt idx="7">
                  <c:v>8.8799567872580393E-2</c:v>
                </c:pt>
                <c:pt idx="8">
                  <c:v>9.1238306389364615E-2</c:v>
                </c:pt>
                <c:pt idx="9">
                  <c:v>8.8695935517548743E-2</c:v>
                </c:pt>
                <c:pt idx="10">
                  <c:v>9.4983377027150137E-2</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bubbleSize>
          <c:bubble3D val="0"/>
          <c:extLst>
            <c:ext xmlns:c16="http://schemas.microsoft.com/office/drawing/2014/chart" uri="{C3380CC4-5D6E-409C-BE32-E72D297353CC}">
              <c16:uniqueId val="{0000000C-6E87-410D-954B-CB7FDD4A8BA2}"/>
            </c:ext>
          </c:extLst>
        </c:ser>
        <c:ser>
          <c:idx val="1"/>
          <c:order val="2"/>
          <c:tx>
            <c:v>Combined Effect Size CI</c:v>
          </c:tx>
          <c:spPr>
            <a:solidFill>
              <a:schemeClr val="tx1"/>
            </a:solidFill>
            <a:ln w="25400">
              <a:noFill/>
            </a:ln>
          </c:spPr>
          <c:invertIfNegative val="0"/>
          <c:errBars>
            <c:errDir val="x"/>
            <c:errBarType val="both"/>
            <c:errValType val="cust"/>
            <c:noEndCap val="0"/>
            <c:plus>
              <c:numRef>
                <c:f>Calculations!$U$4</c:f>
                <c:numCache>
                  <c:formatCode>General</c:formatCode>
                  <c:ptCount val="1"/>
                  <c:pt idx="0">
                    <c:v>0.43410804838073902</c:v>
                  </c:pt>
                </c:numCache>
              </c:numRef>
            </c:plus>
            <c:minus>
              <c:numRef>
                <c:f>Calculations!$U$3</c:f>
                <c:numCache>
                  <c:formatCode>General</c:formatCode>
                  <c:ptCount val="1"/>
                  <c:pt idx="0">
                    <c:v>0.43410804838073902</c:v>
                  </c:pt>
                </c:numCache>
              </c:numRef>
            </c:minus>
            <c:spPr>
              <a:ln w="28575">
                <a:solidFill>
                  <a:schemeClr val="tx1"/>
                </a:solidFill>
              </a:ln>
            </c:spPr>
          </c:errBars>
          <c:xVal>
            <c:numRef>
              <c:f>'Forest Plot'!$B$10</c:f>
              <c:numCache>
                <c:formatCode>0.00</c:formatCode>
                <c:ptCount val="1"/>
                <c:pt idx="0">
                  <c:v>0.55890007691265775</c:v>
                </c:pt>
              </c:numCache>
            </c:numRef>
          </c:xVal>
          <c:yVal>
            <c:numRef>
              <c:f>Calculations!$U$2</c:f>
              <c:numCache>
                <c:formatCode>0</c:formatCode>
                <c:ptCount val="1"/>
                <c:pt idx="0">
                  <c:v>12</c:v>
                </c:pt>
              </c:numCache>
            </c:numRef>
          </c:yVal>
          <c:bubbleSize>
            <c:numRef>
              <c:f>Calculations!$U$7</c:f>
              <c:numCache>
                <c:formatCode>0.00</c:formatCode>
                <c:ptCount val="1"/>
                <c:pt idx="0">
                  <c:v>0.10798910908019202</c:v>
                </c:pt>
              </c:numCache>
            </c:numRef>
          </c:bubbleSize>
          <c:bubble3D val="0"/>
          <c:extLst>
            <c:ext xmlns:c16="http://schemas.microsoft.com/office/drawing/2014/chart" uri="{C3380CC4-5D6E-409C-BE32-E72D297353CC}">
              <c16:uniqueId val="{0000000D-6E87-410D-954B-CB7FDD4A8BA2}"/>
            </c:ext>
          </c:extLst>
        </c:ser>
        <c:dLbls>
          <c:showLegendKey val="0"/>
          <c:showVal val="0"/>
          <c:showCatName val="0"/>
          <c:showSerName val="0"/>
          <c:showPercent val="0"/>
          <c:showBubbleSize val="0"/>
        </c:dLbls>
        <c:bubbleScale val="8"/>
        <c:showNegBubbles val="0"/>
        <c:axId val="247917928"/>
        <c:axId val="247918312"/>
      </c:bubbleChart>
      <c:valAx>
        <c:axId val="247917928"/>
        <c:scaling>
          <c:orientation val="minMax"/>
        </c:scaling>
        <c:delete val="0"/>
        <c:axPos val="t"/>
        <c:title>
          <c:tx>
            <c:rich>
              <a:bodyPr/>
              <a:lstStyle/>
              <a:p>
                <a:pPr>
                  <a:defRPr/>
                </a:pPr>
                <a:r>
                  <a:rPr lang="nl-NL"/>
                  <a:t>Hedges' </a:t>
                </a:r>
                <a:r>
                  <a:rPr lang="nl-NL" i="1"/>
                  <a:t>g</a:t>
                </a:r>
              </a:p>
            </c:rich>
          </c:tx>
          <c:overlay val="0"/>
        </c:title>
        <c:numFmt formatCode="0.00" sourceLinked="1"/>
        <c:majorTickMark val="out"/>
        <c:minorTickMark val="none"/>
        <c:tickLblPos val="nextTo"/>
        <c:crossAx val="247918312"/>
        <c:crosses val="autoZero"/>
        <c:crossBetween val="midCat"/>
      </c:valAx>
      <c:valAx>
        <c:axId val="247918312"/>
        <c:scaling>
          <c:orientation val="maxMin"/>
          <c:max val="13"/>
          <c:min val="0"/>
        </c:scaling>
        <c:delete val="0"/>
        <c:axPos val="l"/>
        <c:numFmt formatCode="0" sourceLinked="1"/>
        <c:majorTickMark val="none"/>
        <c:minorTickMark val="none"/>
        <c:tickLblPos val="none"/>
        <c:crossAx val="247917928"/>
        <c:crosses val="autoZero"/>
        <c:crossBetween val="midCat"/>
        <c:majorUnit val="1"/>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2319052134723"/>
          <c:y val="6.3793948833318903E-2"/>
          <c:w val="0.81865713594311351"/>
          <c:h val="0.77177372872934313"/>
        </c:manualLayout>
      </c:layout>
      <c:bubbleChart>
        <c:varyColors val="0"/>
        <c:ser>
          <c:idx val="0"/>
          <c:order val="0"/>
          <c:tx>
            <c:v>Effect Size</c:v>
          </c:tx>
          <c:spPr>
            <a:solidFill>
              <a:schemeClr val="tx1"/>
            </a:solidFill>
            <a:ln>
              <a:solidFill>
                <a:schemeClr val="tx1"/>
              </a:solidFill>
            </a:ln>
          </c:spPr>
          <c:invertIfNegative val="0"/>
          <c:xVal>
            <c:numRef>
              <c:f>Calculations!$BU$2:$BU$201</c:f>
              <c:numCache>
                <c:formatCode>0.00</c:formatCode>
                <c:ptCount val="200"/>
                <c:pt idx="0">
                  <c:v>#N/A</c:v>
                </c:pt>
                <c:pt idx="1">
                  <c:v>#N/A</c:v>
                </c:pt>
                <c:pt idx="2">
                  <c:v>18</c:v>
                </c:pt>
                <c:pt idx="3">
                  <c:v>16</c:v>
                </c:pt>
                <c:pt idx="4">
                  <c:v>#N/A</c:v>
                </c:pt>
                <c:pt idx="5">
                  <c:v>#N/A</c:v>
                </c:pt>
                <c:pt idx="6">
                  <c:v>#N/A</c:v>
                </c:pt>
                <c:pt idx="7">
                  <c:v>14</c:v>
                </c:pt>
                <c:pt idx="8">
                  <c:v>18</c:v>
                </c:pt>
                <c:pt idx="9">
                  <c:v>#N/A</c:v>
                </c:pt>
                <c:pt idx="10">
                  <c:v>22</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Calculations!$BV$2:$BV$201</c:f>
              <c:numCache>
                <c:formatCode>0.00</c:formatCode>
                <c:ptCount val="200"/>
                <c:pt idx="0">
                  <c:v>#N/A</c:v>
                </c:pt>
                <c:pt idx="1">
                  <c:v>#N/A</c:v>
                </c:pt>
                <c:pt idx="2">
                  <c:v>0.35</c:v>
                </c:pt>
                <c:pt idx="3">
                  <c:v>0.83000000000000007</c:v>
                </c:pt>
                <c:pt idx="4">
                  <c:v>#N/A</c:v>
                </c:pt>
                <c:pt idx="5">
                  <c:v>#N/A</c:v>
                </c:pt>
                <c:pt idx="6">
                  <c:v>#N/A</c:v>
                </c:pt>
                <c:pt idx="7">
                  <c:v>1.1182000000000001</c:v>
                </c:pt>
                <c:pt idx="8">
                  <c:v>0.54999999999999993</c:v>
                </c:pt>
                <c:pt idx="9">
                  <c:v>#N/A</c:v>
                </c:pt>
                <c:pt idx="10">
                  <c:v>-0.56606551724137932</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yVal>
          <c:bubbleSize>
            <c:numRef>
              <c:f>'Moderator Analysis'!$G$2:$G$13</c:f>
              <c:numCache>
                <c:formatCode>0.00%</c:formatCode>
                <c:ptCount val="12"/>
                <c:pt idx="0">
                  <c:v>0</c:v>
                </c:pt>
                <c:pt idx="1">
                  <c:v>0</c:v>
                </c:pt>
                <c:pt idx="2">
                  <c:v>0.15012104502133403</c:v>
                </c:pt>
                <c:pt idx="3">
                  <c:v>7.7102334171360934E-2</c:v>
                </c:pt>
                <c:pt idx="4">
                  <c:v>0</c:v>
                </c:pt>
                <c:pt idx="5">
                  <c:v>0</c:v>
                </c:pt>
                <c:pt idx="6">
                  <c:v>0</c:v>
                </c:pt>
                <c:pt idx="7">
                  <c:v>0.20930590376830521</c:v>
                </c:pt>
                <c:pt idx="8">
                  <c:v>0.24385952957436779</c:v>
                </c:pt>
                <c:pt idx="9">
                  <c:v>0</c:v>
                </c:pt>
                <c:pt idx="10">
                  <c:v>0.31961118746463196</c:v>
                </c:pt>
                <c:pt idx="11">
                  <c:v>0</c:v>
                </c:pt>
              </c:numCache>
            </c:numRef>
          </c:bubbleSize>
          <c:bubble3D val="0"/>
          <c:extLst>
            <c:ext xmlns:c16="http://schemas.microsoft.com/office/drawing/2014/chart" uri="{C3380CC4-5D6E-409C-BE32-E72D297353CC}">
              <c16:uniqueId val="{00000000-FF82-4236-9E21-C5E18D0893F5}"/>
            </c:ext>
          </c:extLst>
        </c:ser>
        <c:ser>
          <c:idx val="1"/>
          <c:order val="1"/>
          <c:tx>
            <c:v>Regression line</c:v>
          </c:tx>
          <c:spPr>
            <a:noFill/>
            <a:ln w="25400">
              <a:noFill/>
            </a:ln>
          </c:spPr>
          <c:invertIfNegative val="0"/>
          <c:trendline>
            <c:spPr>
              <a:ln w="19050" cap="flat">
                <a:solidFill>
                  <a:schemeClr val="tx1"/>
                </a:solidFill>
                <a:miter lim="800000"/>
              </a:ln>
            </c:spPr>
            <c:trendlineType val="linear"/>
            <c:dispRSqr val="0"/>
            <c:dispEq val="0"/>
          </c:trendline>
          <c:xVal>
            <c:numRef>
              <c:f>Calculations!$CF$12:$CF$13</c:f>
              <c:numCache>
                <c:formatCode>0.00</c:formatCode>
                <c:ptCount val="2"/>
                <c:pt idx="0">
                  <c:v>12.6</c:v>
                </c:pt>
                <c:pt idx="1">
                  <c:v>24.200000000000003</c:v>
                </c:pt>
              </c:numCache>
            </c:numRef>
          </c:xVal>
          <c:yVal>
            <c:numRef>
              <c:f>Calculations!$CG$12:$CG$13</c:f>
              <c:numCache>
                <c:formatCode>0.00</c:formatCode>
                <c:ptCount val="2"/>
                <c:pt idx="0">
                  <c:v>1.5310600212336123</c:v>
                </c:pt>
                <c:pt idx="1">
                  <c:v>-0.97225431553239705</c:v>
                </c:pt>
              </c:numCache>
            </c:numRef>
          </c:yVal>
          <c:bubbleSize>
            <c:numLit>
              <c:formatCode>General</c:formatCode>
              <c:ptCount val="2"/>
              <c:pt idx="0">
                <c:v>0.1</c:v>
              </c:pt>
              <c:pt idx="1">
                <c:v>0.1</c:v>
              </c:pt>
            </c:numLit>
          </c:bubbleSize>
          <c:bubble3D val="0"/>
          <c:extLst>
            <c:ext xmlns:c16="http://schemas.microsoft.com/office/drawing/2014/chart" uri="{C3380CC4-5D6E-409C-BE32-E72D297353CC}">
              <c16:uniqueId val="{00000001-FF82-4236-9E21-C5E18D0893F5}"/>
            </c:ext>
          </c:extLst>
        </c:ser>
        <c:dLbls>
          <c:showLegendKey val="0"/>
          <c:showVal val="0"/>
          <c:showCatName val="0"/>
          <c:showSerName val="0"/>
          <c:showPercent val="0"/>
          <c:showBubbleSize val="0"/>
        </c:dLbls>
        <c:bubbleScale val="20"/>
        <c:showNegBubbles val="0"/>
        <c:axId val="247952280"/>
        <c:axId val="247952672"/>
      </c:bubbleChart>
      <c:valAx>
        <c:axId val="247952280"/>
        <c:scaling>
          <c:orientation val="minMax"/>
        </c:scaling>
        <c:delete val="0"/>
        <c:axPos val="b"/>
        <c:title>
          <c:tx>
            <c:rich>
              <a:bodyPr/>
              <a:lstStyle/>
              <a:p>
                <a:pPr>
                  <a:defRPr/>
                </a:pPr>
                <a:r>
                  <a:rPr lang="en-US"/>
                  <a:t>QI Score</a:t>
                </a:r>
              </a:p>
            </c:rich>
          </c:tx>
          <c:overlay val="0"/>
        </c:title>
        <c:numFmt formatCode="0.00" sourceLinked="1"/>
        <c:majorTickMark val="in"/>
        <c:minorTickMark val="none"/>
        <c:tickLblPos val="low"/>
        <c:crossAx val="247952672"/>
        <c:crosses val="autoZero"/>
        <c:crossBetween val="midCat"/>
      </c:valAx>
      <c:valAx>
        <c:axId val="247952672"/>
        <c:scaling>
          <c:orientation val="minMax"/>
        </c:scaling>
        <c:delete val="0"/>
        <c:axPos val="l"/>
        <c:title>
          <c:tx>
            <c:rich>
              <a:bodyPr rot="-5400000" vert="horz"/>
              <a:lstStyle/>
              <a:p>
                <a:pPr>
                  <a:defRPr/>
                </a:pPr>
                <a:r>
                  <a:rPr lang="en-US"/>
                  <a:t>Hedges' </a:t>
                </a:r>
                <a:r>
                  <a:rPr lang="en-US" i="1"/>
                  <a:t>g</a:t>
                </a:r>
              </a:p>
            </c:rich>
          </c:tx>
          <c:layout>
            <c:manualLayout>
              <c:xMode val="edge"/>
              <c:yMode val="edge"/>
              <c:x val="1.1352729844939595E-2"/>
              <c:y val="0.43366664912988334"/>
            </c:manualLayout>
          </c:layout>
          <c:overlay val="0"/>
        </c:title>
        <c:numFmt formatCode="0.00" sourceLinked="1"/>
        <c:majorTickMark val="in"/>
        <c:minorTickMark val="none"/>
        <c:tickLblPos val="low"/>
        <c:crossAx val="247952280"/>
        <c:crosses val="autoZero"/>
        <c:crossBetween val="midCat"/>
      </c:valAx>
    </c:plotArea>
    <c:plotVisOnly val="1"/>
    <c:dispBlanksAs val="gap"/>
    <c:showDLblsOverMax val="0"/>
  </c:chart>
  <c:spPr>
    <a:ln>
      <a:solidFill>
        <a:sysClr val="windowText" lastClr="000000"/>
      </a:solidFill>
    </a:ln>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5810270226945"/>
          <c:y val="0.13032921882547388"/>
          <c:w val="0.81221727912304709"/>
          <c:h val="0.78186031624095775"/>
        </c:manualLayout>
      </c:layout>
      <c:scatterChart>
        <c:scatterStyle val="lineMarker"/>
        <c:varyColors val="0"/>
        <c:ser>
          <c:idx val="0"/>
          <c:order val="0"/>
          <c:tx>
            <c:v>Studies</c:v>
          </c:tx>
          <c:spPr>
            <a:ln w="25400" cap="rnd">
              <a:noFill/>
              <a:round/>
            </a:ln>
            <a:effectLst/>
          </c:spPr>
          <c:marker>
            <c:symbol val="circle"/>
            <c:size val="5"/>
            <c:spPr>
              <a:solidFill>
                <a:schemeClr val="tx1"/>
              </a:solidFill>
              <a:ln w="9525">
                <a:noFill/>
              </a:ln>
              <a:effectLst/>
            </c:spPr>
          </c:marker>
          <c:xVal>
            <c:numRef>
              <c:f>Calculations!$CU$2:$CU$201</c:f>
              <c:numCache>
                <c:formatCode>0.00</c:formatCode>
                <c:ptCount val="200"/>
                <c:pt idx="0">
                  <c:v>0.81625000000000003</c:v>
                </c:pt>
                <c:pt idx="1">
                  <c:v>#N/A</c:v>
                </c:pt>
                <c:pt idx="2">
                  <c:v>0.35</c:v>
                </c:pt>
                <c:pt idx="3">
                  <c:v>0.83000000000000007</c:v>
                </c:pt>
                <c:pt idx="4">
                  <c:v>0.30499999999999999</c:v>
                </c:pt>
                <c:pt idx="5">
                  <c:v>#N/A</c:v>
                </c:pt>
                <c:pt idx="6">
                  <c:v>#N/A</c:v>
                </c:pt>
                <c:pt idx="7">
                  <c:v>#N/A</c:v>
                </c:pt>
                <c:pt idx="8">
                  <c:v>0.54999999999999993</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xVal>
          <c:yVal>
            <c:numRef>
              <c:f>Calculations!$CV$2:$CV$201</c:f>
              <c:numCache>
                <c:formatCode>0.00</c:formatCode>
                <c:ptCount val="200"/>
                <c:pt idx="0">
                  <c:v>0.2</c:v>
                </c:pt>
                <c:pt idx="1">
                  <c:v>#N/A</c:v>
                </c:pt>
                <c:pt idx="2">
                  <c:v>0.35124060643782673</c:v>
                </c:pt>
                <c:pt idx="3">
                  <c:v>0.49010794729324686</c:v>
                </c:pt>
                <c:pt idx="4">
                  <c:v>0.25494416575188472</c:v>
                </c:pt>
                <c:pt idx="5">
                  <c:v>#N/A</c:v>
                </c:pt>
                <c:pt idx="6">
                  <c:v>#N/A</c:v>
                </c:pt>
                <c:pt idx="7">
                  <c:v>#N/A</c:v>
                </c:pt>
                <c:pt idx="8">
                  <c:v>0.275585042251701</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numCache>
            </c:numRef>
          </c:yVal>
          <c:smooth val="0"/>
          <c:extLst>
            <c:ext xmlns:c16="http://schemas.microsoft.com/office/drawing/2014/chart" uri="{C3380CC4-5D6E-409C-BE32-E72D297353CC}">
              <c16:uniqueId val="{00000000-C1CF-4C9F-895F-1E1FA393A721}"/>
            </c:ext>
          </c:extLst>
        </c:ser>
        <c:ser>
          <c:idx val="1"/>
          <c:order val="1"/>
          <c:tx>
            <c:v>Diagonals</c:v>
          </c:tx>
          <c:spPr>
            <a:ln w="25400" cap="rnd">
              <a:solidFill>
                <a:schemeClr val="tx1"/>
              </a:solidFill>
              <a:round/>
            </a:ln>
            <a:effectLst/>
          </c:spPr>
          <c:marker>
            <c:symbol val="none"/>
          </c:marker>
          <c:xVal>
            <c:numRef>
              <c:f>Calculations!$CY$3:$CY$5</c:f>
              <c:numCache>
                <c:formatCode>0.00</c:formatCode>
                <c:ptCount val="3"/>
                <c:pt idx="0">
                  <c:v>-1.0459707968874756</c:v>
                </c:pt>
                <c:pt idx="1">
                  <c:v>0.58693857664957194</c:v>
                </c:pt>
                <c:pt idx="2">
                  <c:v>2.2198479501866197</c:v>
                </c:pt>
              </c:numCache>
            </c:numRef>
          </c:xVal>
          <c:yVal>
            <c:numRef>
              <c:f>Calculations!$CZ$3:$CZ$5</c:f>
              <c:numCache>
                <c:formatCode>0.00</c:formatCode>
                <c:ptCount val="3"/>
                <c:pt idx="0">
                  <c:v>0.58812953675189616</c:v>
                </c:pt>
                <c:pt idx="1">
                  <c:v>0</c:v>
                </c:pt>
                <c:pt idx="2">
                  <c:v>0.58812953675189616</c:v>
                </c:pt>
              </c:numCache>
            </c:numRef>
          </c:yVal>
          <c:smooth val="0"/>
          <c:extLst>
            <c:ext xmlns:c16="http://schemas.microsoft.com/office/drawing/2014/chart" uri="{C3380CC4-5D6E-409C-BE32-E72D297353CC}">
              <c16:uniqueId val="{00000001-C1CF-4C9F-895F-1E1FA393A721}"/>
            </c:ext>
          </c:extLst>
        </c:ser>
        <c:ser>
          <c:idx val="2"/>
          <c:order val="2"/>
          <c:tx>
            <c:v>Mid line</c:v>
          </c:tx>
          <c:spPr>
            <a:ln w="25400" cap="rnd">
              <a:solidFill>
                <a:schemeClr val="tx1"/>
              </a:solidFill>
              <a:round/>
            </a:ln>
            <a:effectLst/>
          </c:spPr>
          <c:marker>
            <c:symbol val="none"/>
          </c:marker>
          <c:xVal>
            <c:numRef>
              <c:f>Calculations!$CY$7:$CY$8</c:f>
              <c:numCache>
                <c:formatCode>0.00</c:formatCode>
                <c:ptCount val="2"/>
                <c:pt idx="0">
                  <c:v>0.58693857664957194</c:v>
                </c:pt>
                <c:pt idx="1">
                  <c:v>0.58693857664957194</c:v>
                </c:pt>
              </c:numCache>
            </c:numRef>
          </c:xVal>
          <c:yVal>
            <c:numRef>
              <c:f>Calculations!$CZ$7:$CZ$8</c:f>
              <c:numCache>
                <c:formatCode>0.00</c:formatCode>
                <c:ptCount val="2"/>
                <c:pt idx="0">
                  <c:v>0</c:v>
                </c:pt>
                <c:pt idx="1">
                  <c:v>0.58812953675189616</c:v>
                </c:pt>
              </c:numCache>
            </c:numRef>
          </c:yVal>
          <c:smooth val="0"/>
          <c:extLst>
            <c:ext xmlns:c16="http://schemas.microsoft.com/office/drawing/2014/chart" uri="{C3380CC4-5D6E-409C-BE32-E72D297353CC}">
              <c16:uniqueId val="{00000002-C1CF-4C9F-895F-1E1FA393A721}"/>
            </c:ext>
          </c:extLst>
        </c:ser>
        <c:ser>
          <c:idx val="3"/>
          <c:order val="3"/>
          <c:tx>
            <c:v>Combined Effect Size PI</c:v>
          </c:tx>
          <c:spPr>
            <a:ln w="28575">
              <a:noFill/>
            </a:ln>
          </c:spPr>
          <c:marker>
            <c:symbol val="circle"/>
            <c:size val="7"/>
            <c:spPr>
              <a:solidFill>
                <a:schemeClr val="accent3"/>
              </a:solidFill>
              <a:ln>
                <a:noFill/>
              </a:ln>
            </c:spPr>
          </c:marker>
          <c:errBars>
            <c:errDir val="x"/>
            <c:errBarType val="both"/>
            <c:errValType val="cust"/>
            <c:noEndCap val="0"/>
            <c:plus>
              <c:numRef>
                <c:f>Calculations!$CZ$12</c:f>
                <c:numCache>
                  <c:formatCode>General</c:formatCode>
                  <c:ptCount val="1"/>
                  <c:pt idx="0">
                    <c:v>0.30878359964325536</c:v>
                  </c:pt>
                </c:numCache>
              </c:numRef>
            </c:plus>
            <c:minus>
              <c:numRef>
                <c:f>Calculations!$CZ$12</c:f>
                <c:numCache>
                  <c:formatCode>General</c:formatCode>
                  <c:ptCount val="1"/>
                  <c:pt idx="0">
                    <c:v>0.30878359964325536</c:v>
                  </c:pt>
                </c:numCache>
              </c:numRef>
            </c:minus>
            <c:spPr>
              <a:ln w="19050">
                <a:solidFill>
                  <a:schemeClr val="accent3"/>
                </a:solidFill>
              </a:ln>
            </c:spPr>
          </c:errBars>
          <c:xVal>
            <c:numRef>
              <c:f>'Publication Bias Analysis'!$I$29</c:f>
              <c:numCache>
                <c:formatCode>0.00</c:formatCode>
                <c:ptCount val="1"/>
                <c:pt idx="0">
                  <c:v>0.58693857664957194</c:v>
                </c:pt>
              </c:numCache>
            </c:numRef>
          </c:xVal>
          <c:yVal>
            <c:numRef>
              <c:f>Calculations!$CZ$13</c:f>
              <c:numCache>
                <c:formatCode>0.00</c:formatCode>
                <c:ptCount val="1"/>
                <c:pt idx="0">
                  <c:v>0.5391187420225716</c:v>
                </c:pt>
              </c:numCache>
            </c:numRef>
          </c:yVal>
          <c:smooth val="0"/>
          <c:extLst>
            <c:ext xmlns:c16="http://schemas.microsoft.com/office/drawing/2014/chart" uri="{C3380CC4-5D6E-409C-BE32-E72D297353CC}">
              <c16:uniqueId val="{00000003-C1CF-4C9F-895F-1E1FA393A721}"/>
            </c:ext>
          </c:extLst>
        </c:ser>
        <c:ser>
          <c:idx val="4"/>
          <c:order val="4"/>
          <c:tx>
            <c:v>Combined Effect Size</c:v>
          </c:tx>
          <c:spPr>
            <a:ln w="28575">
              <a:noFill/>
            </a:ln>
          </c:spPr>
          <c:marker>
            <c:symbol val="circle"/>
            <c:size val="7"/>
            <c:spPr>
              <a:solidFill>
                <a:schemeClr val="accent3"/>
              </a:solidFill>
              <a:ln>
                <a:noFill/>
              </a:ln>
            </c:spPr>
          </c:marker>
          <c:errBars>
            <c:errDir val="x"/>
            <c:errBarType val="both"/>
            <c:errValType val="cust"/>
            <c:noEndCap val="0"/>
            <c:plus>
              <c:numRef>
                <c:f>Calculations!$CZ$11</c:f>
                <c:numCache>
                  <c:formatCode>General</c:formatCode>
                  <c:ptCount val="1"/>
                  <c:pt idx="0">
                    <c:v>0.30878359964325536</c:v>
                  </c:pt>
                </c:numCache>
              </c:numRef>
            </c:plus>
            <c:minus>
              <c:numRef>
                <c:f>Calculations!$CZ$11</c:f>
                <c:numCache>
                  <c:formatCode>General</c:formatCode>
                  <c:ptCount val="1"/>
                  <c:pt idx="0">
                    <c:v>0.30878359964325536</c:v>
                  </c:pt>
                </c:numCache>
              </c:numRef>
            </c:minus>
            <c:spPr>
              <a:ln w="19050">
                <a:solidFill>
                  <a:schemeClr val="tx1"/>
                </a:solidFill>
              </a:ln>
            </c:spPr>
          </c:errBars>
          <c:xVal>
            <c:numRef>
              <c:f>'Publication Bias Analysis'!$I$29</c:f>
              <c:numCache>
                <c:formatCode>0.00</c:formatCode>
                <c:ptCount val="1"/>
                <c:pt idx="0">
                  <c:v>0.58693857664957194</c:v>
                </c:pt>
              </c:numCache>
            </c:numRef>
          </c:xVal>
          <c:yVal>
            <c:numRef>
              <c:f>Calculations!$CZ$13</c:f>
              <c:numCache>
                <c:formatCode>0.00</c:formatCode>
                <c:ptCount val="1"/>
                <c:pt idx="0">
                  <c:v>0.5391187420225716</c:v>
                </c:pt>
              </c:numCache>
            </c:numRef>
          </c:yVal>
          <c:smooth val="0"/>
          <c:extLst>
            <c:ext xmlns:c16="http://schemas.microsoft.com/office/drawing/2014/chart" uri="{C3380CC4-5D6E-409C-BE32-E72D297353CC}">
              <c16:uniqueId val="{00000004-C1CF-4C9F-895F-1E1FA393A721}"/>
            </c:ext>
          </c:extLst>
        </c:ser>
        <c:ser>
          <c:idx val="6"/>
          <c:order val="5"/>
          <c:tx>
            <c:v>Adjusted PI</c:v>
          </c:tx>
          <c:spPr>
            <a:ln w="28575">
              <a:noFill/>
            </a:ln>
          </c:spPr>
          <c:marker>
            <c:symbol val="circle"/>
            <c:size val="7"/>
            <c:spPr>
              <a:solidFill>
                <a:schemeClr val="accent2"/>
              </a:solidFill>
              <a:ln>
                <a:noFill/>
              </a:ln>
            </c:spPr>
          </c:marker>
          <c:errBars>
            <c:errDir val="x"/>
            <c:errBarType val="both"/>
            <c:errValType val="cust"/>
            <c:noEndCap val="0"/>
            <c:plus>
              <c:numRef>
                <c:f>Calculations!$CZ$17</c:f>
                <c:numCache>
                  <c:formatCode>General</c:formatCode>
                  <c:ptCount val="1"/>
                  <c:pt idx="0">
                    <c:v>0.30878359964325536</c:v>
                  </c:pt>
                </c:numCache>
              </c:numRef>
            </c:plus>
            <c:minus>
              <c:numRef>
                <c:f>Calculations!$CZ$17</c:f>
                <c:numCache>
                  <c:formatCode>General</c:formatCode>
                  <c:ptCount val="1"/>
                  <c:pt idx="0">
                    <c:v>0.30878359964325536</c:v>
                  </c:pt>
                </c:numCache>
              </c:numRef>
            </c:minus>
            <c:spPr>
              <a:ln w="19050">
                <a:solidFill>
                  <a:schemeClr val="accent2"/>
                </a:solidFill>
              </a:ln>
            </c:spPr>
          </c:errBars>
          <c:xVal>
            <c:numRef>
              <c:f>'Publication Bias Analysis'!$I$37</c:f>
              <c:numCache>
                <c:formatCode>0.00</c:formatCode>
                <c:ptCount val="1"/>
                <c:pt idx="0">
                  <c:v>0.58693857664957194</c:v>
                </c:pt>
              </c:numCache>
            </c:numRef>
          </c:xVal>
          <c:yVal>
            <c:numRef>
              <c:f>Calculations!$CZ$18</c:f>
              <c:numCache>
                <c:formatCode>0.00</c:formatCode>
                <c:ptCount val="1"/>
                <c:pt idx="0">
                  <c:v>0.58812953675189616</c:v>
                </c:pt>
              </c:numCache>
            </c:numRef>
          </c:yVal>
          <c:smooth val="0"/>
          <c:extLst>
            <c:ext xmlns:c16="http://schemas.microsoft.com/office/drawing/2014/chart" uri="{C3380CC4-5D6E-409C-BE32-E72D297353CC}">
              <c16:uniqueId val="{00000005-C1CF-4C9F-895F-1E1FA393A721}"/>
            </c:ext>
          </c:extLst>
        </c:ser>
        <c:ser>
          <c:idx val="7"/>
          <c:order val="6"/>
          <c:tx>
            <c:v>Adjusted CES</c:v>
          </c:tx>
          <c:spPr>
            <a:ln w="28575">
              <a:noFill/>
            </a:ln>
          </c:spPr>
          <c:marker>
            <c:symbol val="circle"/>
            <c:size val="7"/>
            <c:spPr>
              <a:solidFill>
                <a:schemeClr val="bg1">
                  <a:lumMod val="85000"/>
                </a:schemeClr>
              </a:solidFill>
              <a:ln>
                <a:noFill/>
              </a:ln>
            </c:spPr>
          </c:marker>
          <c:errBars>
            <c:errDir val="x"/>
            <c:errBarType val="both"/>
            <c:errValType val="cust"/>
            <c:noEndCap val="0"/>
            <c:plus>
              <c:numRef>
                <c:f>Calculations!$CZ$16</c:f>
                <c:numCache>
                  <c:formatCode>General</c:formatCode>
                  <c:ptCount val="1"/>
                  <c:pt idx="0">
                    <c:v>0.30878359964325536</c:v>
                  </c:pt>
                </c:numCache>
              </c:numRef>
            </c:plus>
            <c:minus>
              <c:numRef>
                <c:f>Calculations!$CZ$16</c:f>
                <c:numCache>
                  <c:formatCode>General</c:formatCode>
                  <c:ptCount val="1"/>
                  <c:pt idx="0">
                    <c:v>0.30878359964325536</c:v>
                  </c:pt>
                </c:numCache>
              </c:numRef>
            </c:minus>
            <c:spPr>
              <a:ln w="19050">
                <a:solidFill>
                  <a:schemeClr val="tx1"/>
                </a:solidFill>
              </a:ln>
            </c:spPr>
          </c:errBars>
          <c:xVal>
            <c:numRef>
              <c:f>'Publication Bias Analysis'!$I$37</c:f>
              <c:numCache>
                <c:formatCode>0.00</c:formatCode>
                <c:ptCount val="1"/>
                <c:pt idx="0">
                  <c:v>0.58693857664957194</c:v>
                </c:pt>
              </c:numCache>
            </c:numRef>
          </c:xVal>
          <c:yVal>
            <c:numRef>
              <c:f>Calculations!$CZ$18</c:f>
              <c:numCache>
                <c:formatCode>0.00</c:formatCode>
                <c:ptCount val="1"/>
                <c:pt idx="0">
                  <c:v>0.58812953675189616</c:v>
                </c:pt>
              </c:numCache>
            </c:numRef>
          </c:yVal>
          <c:smooth val="0"/>
          <c:extLst>
            <c:ext xmlns:c16="http://schemas.microsoft.com/office/drawing/2014/chart" uri="{C3380CC4-5D6E-409C-BE32-E72D297353CC}">
              <c16:uniqueId val="{00000006-C1CF-4C9F-895F-1E1FA393A721}"/>
            </c:ext>
          </c:extLst>
        </c:ser>
        <c:ser>
          <c:idx val="8"/>
          <c:order val="7"/>
          <c:tx>
            <c:v>Inputed Data Points</c:v>
          </c:tx>
          <c:spPr>
            <a:ln w="28575">
              <a:noFill/>
            </a:ln>
          </c:spPr>
          <c:marker>
            <c:symbol val="circle"/>
            <c:size val="7"/>
            <c:spPr>
              <a:noFill/>
              <a:ln w="19050">
                <a:solidFill>
                  <a:schemeClr val="accent6"/>
                </a:solidFill>
              </a:ln>
            </c:spPr>
          </c:marker>
          <c:xVal>
            <c:numRef>
              <c:f>Calculations!$DY$2:$DY$41</c:f>
              <c:numCache>
                <c:formatCode>0.00</c:formatCode>
                <c:ptCount val="4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numCache>
            </c:numRef>
          </c:xVal>
          <c:yVal>
            <c:numRef>
              <c:f>Calculations!$DZ$2:$DZ$41</c:f>
              <c:numCache>
                <c:formatCode>0.00</c:formatCode>
                <c:ptCount val="40"/>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numCache>
            </c:numRef>
          </c:yVal>
          <c:smooth val="0"/>
          <c:extLst>
            <c:ext xmlns:c16="http://schemas.microsoft.com/office/drawing/2014/chart" uri="{C3380CC4-5D6E-409C-BE32-E72D297353CC}">
              <c16:uniqueId val="{00000007-C1CF-4C9F-895F-1E1FA393A721}"/>
            </c:ext>
          </c:extLst>
        </c:ser>
        <c:dLbls>
          <c:showLegendKey val="0"/>
          <c:showVal val="0"/>
          <c:showCatName val="0"/>
          <c:showSerName val="0"/>
          <c:showPercent val="0"/>
          <c:showBubbleSize val="0"/>
        </c:dLbls>
        <c:axId val="253856384"/>
        <c:axId val="195220424"/>
      </c:scatterChart>
      <c:valAx>
        <c:axId val="253856384"/>
        <c:scaling>
          <c:orientation val="minMax"/>
        </c:scaling>
        <c:delete val="0"/>
        <c:axPos val="t"/>
        <c:title>
          <c:tx>
            <c:rich>
              <a:bodyPr rot="0" vert="horz"/>
              <a:lstStyle/>
              <a:p>
                <a:pPr>
                  <a:defRPr/>
                </a:pPr>
                <a:r>
                  <a:rPr lang="en-GB"/>
                  <a:t>Hedges' </a:t>
                </a:r>
                <a:r>
                  <a:rPr lang="en-GB" i="1"/>
                  <a:t>g</a:t>
                </a:r>
              </a:p>
            </c:rich>
          </c:tx>
          <c:layout>
            <c:manualLayout>
              <c:xMode val="edge"/>
              <c:yMode val="edge"/>
              <c:x val="0.50894128417527618"/>
              <c:y val="1.9826457391273984E-2"/>
            </c:manualLayout>
          </c:layout>
          <c:overlay val="0"/>
          <c:spPr>
            <a:noFill/>
            <a:ln>
              <a:noFill/>
            </a:ln>
            <a:effectLst/>
          </c:spPr>
        </c:title>
        <c:numFmt formatCode="0.00" sourceLinked="1"/>
        <c:majorTickMark val="in"/>
        <c:minorTickMark val="none"/>
        <c:tickLblPos val="nextTo"/>
        <c:spPr>
          <a:noFill/>
          <a:effectLst/>
        </c:spPr>
        <c:txPr>
          <a:bodyPr rot="-60000000" vert="horz"/>
          <a:lstStyle/>
          <a:p>
            <a:pPr>
              <a:defRPr/>
            </a:pPr>
            <a:endParaRPr lang="en-US"/>
          </a:p>
        </c:txPr>
        <c:crossAx val="195220424"/>
        <c:crossesAt val="0"/>
        <c:crossBetween val="midCat"/>
      </c:valAx>
      <c:valAx>
        <c:axId val="195220424"/>
        <c:scaling>
          <c:orientation val="maxMin"/>
        </c:scaling>
        <c:delete val="0"/>
        <c:axPos val="l"/>
        <c:title>
          <c:tx>
            <c:rich>
              <a:bodyPr rot="-5400000" vert="horz"/>
              <a:lstStyle/>
              <a:p>
                <a:pPr>
                  <a:defRPr/>
                </a:pPr>
                <a:r>
                  <a:rPr lang="en-GB"/>
                  <a:t>Standard error</a:t>
                </a:r>
              </a:p>
            </c:rich>
          </c:tx>
          <c:overlay val="0"/>
          <c:spPr>
            <a:noFill/>
            <a:ln>
              <a:noFill/>
            </a:ln>
            <a:effectLst/>
          </c:spPr>
        </c:title>
        <c:numFmt formatCode="0.00" sourceLinked="1"/>
        <c:majorTickMark val="in"/>
        <c:minorTickMark val="none"/>
        <c:tickLblPos val="low"/>
        <c:spPr>
          <a:effectLst/>
        </c:spPr>
        <c:txPr>
          <a:bodyPr rot="-60000000" vert="horz"/>
          <a:lstStyle/>
          <a:p>
            <a:pPr>
              <a:defRPr/>
            </a:pPr>
            <a:endParaRPr lang="en-US"/>
          </a:p>
        </c:txPr>
        <c:crossAx val="253856384"/>
        <c:crosses val="autoZero"/>
        <c:crossBetween val="midCat"/>
      </c:valAx>
    </c:plotArea>
    <c:legend>
      <c:legendPos val="b"/>
      <c:legendEntry>
        <c:idx val="1"/>
        <c:delete val="1"/>
      </c:legendEntry>
      <c:legendEntry>
        <c:idx val="2"/>
        <c:delete val="1"/>
      </c:legendEntry>
      <c:legendEntry>
        <c:idx val="3"/>
        <c:delete val="1"/>
      </c:legendEntry>
      <c:legendEntry>
        <c:idx val="5"/>
        <c:delete val="1"/>
      </c:legendEntry>
      <c:legendEntry>
        <c:idx val="7"/>
        <c:delete val="1"/>
      </c:legendEntry>
      <c:layout>
        <c:manualLayout>
          <c:xMode val="edge"/>
          <c:yMode val="edge"/>
          <c:x val="0"/>
          <c:y val="0.91691064703868541"/>
          <c:w val="0.99837783930354163"/>
          <c:h val="6.5698048613488533E-2"/>
        </c:manualLayout>
      </c:layout>
      <c:overlay val="0"/>
    </c:legend>
    <c:plotVisOnly val="1"/>
    <c:dispBlanksAs val="gap"/>
    <c:showDLblsOverMax val="0"/>
  </c:chart>
  <c:spPr>
    <a:solidFill>
      <a:schemeClr val="bg1"/>
    </a:solidFill>
    <a:ln>
      <a:solidFill>
        <a:sysClr val="windowText" lastClr="000000"/>
      </a:solidFill>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0.02021</cdr:x>
      <cdr:y>0</cdr:y>
    </cdr:from>
    <cdr:to>
      <cdr:x>0.19451</cdr:x>
      <cdr:y>0.1041</cdr:y>
    </cdr:to>
    <cdr:sp macro="" textlink="">
      <cdr:nvSpPr>
        <cdr:cNvPr id="2" name="Text Box 4"/>
        <cdr:cNvSpPr txBox="1"/>
      </cdr:nvSpPr>
      <cdr:spPr>
        <a:xfrm xmlns:a="http://schemas.openxmlformats.org/drawingml/2006/main">
          <a:off x="55230" y="-988828"/>
          <a:ext cx="476250" cy="3143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1200" b="1">
              <a:effectLst/>
              <a:latin typeface="Arial" panose="020B0604020202020204" pitchFamily="34" charset="0"/>
              <a:ea typeface="+mn-ea"/>
              <a:cs typeface="Arial" panose="020B0604020202020204" pitchFamily="34" charset="0"/>
            </a:rPr>
            <a:t>(a)</a:t>
          </a:r>
          <a:endParaRPr lang="en-GB" sz="1200">
            <a:effectLst/>
            <a:latin typeface="Arial" panose="020B0604020202020204" pitchFamily="34" charset="0"/>
            <a:ea typeface="+mn-ea"/>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3E1E-4419-4B72-ADC0-2DA3CECE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449</Pages>
  <Words>92508</Words>
  <Characters>527302</Characters>
  <Application>Microsoft Office Word</Application>
  <DocSecurity>0</DocSecurity>
  <Lines>4394</Lines>
  <Paragraphs>1237</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Arp10sm</dc:creator>
  <cp:lastModifiedBy>Chloe</cp:lastModifiedBy>
  <cp:revision>2</cp:revision>
  <cp:lastPrinted>2019-11-21T21:08:00Z</cp:lastPrinted>
  <dcterms:created xsi:type="dcterms:W3CDTF">2020-09-09T09:21:00Z</dcterms:created>
  <dcterms:modified xsi:type="dcterms:W3CDTF">2020-09-09T09:21:00Z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